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61" w:rsidRDefault="001A5C9B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DFE2205-BD42-4C2D-9EA9-EEAEF7EFBB9A" style="width:450.75pt;height:333.75pt">
            <v:imagedata r:id="rId11" o:title=""/>
          </v:shape>
        </w:pict>
      </w:r>
    </w:p>
    <w:bookmarkEnd w:id="0"/>
    <w:p w:rsidR="001A4B61" w:rsidRDefault="001A4B61">
      <w:pPr>
        <w:pStyle w:val="Pagedecouverture"/>
        <w:rPr>
          <w:noProof/>
        </w:rPr>
        <w:sectPr w:rsidR="001A4B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299"/>
        </w:sectPr>
      </w:pPr>
    </w:p>
    <w:p w:rsidR="001A4B61" w:rsidRDefault="001A5C9B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SPRÁVA KOMISIE EURÓPSKEMU PARLAMENTU A RADE</w:t>
      </w:r>
    </w:p>
    <w:p w:rsidR="001A4B61" w:rsidRDefault="001A5C9B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 výkone právomoci prijímať delegované akty udelenej Komisii podľa smernice Európskeho parlamentu a Rady</w:t>
      </w:r>
      <w:r>
        <w:rPr>
          <w:rFonts w:ascii="Times New Roman" w:hAnsi="Times New Roman"/>
          <w:b/>
          <w:noProof/>
          <w:sz w:val="24"/>
          <w:szCs w:val="24"/>
        </w:rPr>
        <w:t xml:space="preserve"> 2014/94/EÚ z 22. októbra 2014 o zavádzaní infraštruktúry pre alternatívne palivá</w:t>
      </w:r>
    </w:p>
    <w:p w:rsidR="001A4B61" w:rsidRDefault="001A5C9B">
      <w:pPr>
        <w:pStyle w:val="Heading1"/>
        <w:rPr>
          <w:rFonts w:ascii="Times New Roman" w:hAnsi="Times New Roman" w:cs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noProof/>
          <w:sz w:val="24"/>
          <w:szCs w:val="24"/>
        </w:rPr>
        <w:t>ÚVOD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V smernici Európskeho parlamentu a Rady 2014/94/EÚ z 22. októbra 2014 o zavádzaní infraštruktúry pre alternatívne palivá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sa stanovujú minimálne požiadavky na výstavbu i</w:t>
      </w:r>
      <w:r>
        <w:rPr>
          <w:noProof/>
        </w:rPr>
        <w:t>nfraštruktúry pre alternatívne palivá, vrátane nabíjacích staníc pre elektrické vozidlá a čerpacích staníc zemného plynu (LNG a CNG) a vodíka. V článku 4 ods. 4 a 6, článku 5 ods. 2 a článku 6 ods. 9 smernice sa stanovuje, že takéto nabíjacie a čerpacie st</w:t>
      </w:r>
      <w:r>
        <w:rPr>
          <w:noProof/>
        </w:rPr>
        <w:t>anice, ktoré boli zavedené alebo renovované od 18. novembra 2017, musia spĺňať aspoň technické špecifikácie stanovené v prílohe II k smernici.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V súlade s článkom 8 smernice je Komisia oprávnená prijímať delegované akty uvedené:</w:t>
      </w:r>
    </w:p>
    <w:p w:rsidR="001A4B61" w:rsidRDefault="001A5C9B">
      <w:pPr>
        <w:pStyle w:val="Text1"/>
        <w:numPr>
          <w:ilvl w:val="0"/>
          <w:numId w:val="28"/>
        </w:numPr>
        <w:jc w:val="both"/>
        <w:rPr>
          <w:noProof/>
        </w:rPr>
      </w:pPr>
      <w:r>
        <w:rPr>
          <w:noProof/>
        </w:rPr>
        <w:t>v článku 4 ods. 14 s cieľom:</w:t>
      </w:r>
    </w:p>
    <w:p w:rsidR="001A4B61" w:rsidRDefault="001A5C9B">
      <w:pPr>
        <w:pStyle w:val="Text1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doplniť tento článok a body 1.3, 1.4, 1.5, 1.6 a 1.8 prílohy II so zámerom vyžadovať, aby infraštruktúry, ktoré sa majú zaviesť alebo renovovať, spĺňali technické špecifikácie stanovené v normách, ktoré majú vypracovať príslušné európske normalizačné orga</w:t>
      </w:r>
      <w:r>
        <w:rPr>
          <w:noProof/>
        </w:rPr>
        <w:t>nizácie (ESO)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1A4B61" w:rsidRDefault="001A5C9B">
      <w:pPr>
        <w:pStyle w:val="Text1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 xml:space="preserve">aktualizovať odkazy na normy uvádzané v technických špecifikáciách, ktoré sa stanovujú alebo majú stanoviť v bode 1 prílohy II, keď sa uvedené normy nahradia novými verziami, ktoré prijmú príslušné európske alebo medzinárodné normalizačné </w:t>
      </w:r>
      <w:r>
        <w:rPr>
          <w:noProof/>
        </w:rPr>
        <w:t>organizácie;</w:t>
      </w:r>
    </w:p>
    <w:p w:rsidR="001A4B61" w:rsidRDefault="001A5C9B">
      <w:pPr>
        <w:pStyle w:val="Text1"/>
        <w:numPr>
          <w:ilvl w:val="0"/>
          <w:numId w:val="28"/>
        </w:numPr>
        <w:jc w:val="both"/>
        <w:rPr>
          <w:noProof/>
        </w:rPr>
      </w:pPr>
      <w:r>
        <w:rPr>
          <w:noProof/>
        </w:rPr>
        <w:t>v článku 5 ods. 3 s cieľom aktualizovať odkazy na normy uvádzané v technických špecifikáciách stanovených v bode 2 prílohy II, keď sa uvedené normy nahradia novými verziami, ktoré prijmú príslušné normalizačné organizácie,</w:t>
      </w:r>
    </w:p>
    <w:p w:rsidR="001A4B61" w:rsidRDefault="001A5C9B">
      <w:pPr>
        <w:pStyle w:val="Text1"/>
        <w:numPr>
          <w:ilvl w:val="0"/>
          <w:numId w:val="28"/>
        </w:numPr>
        <w:jc w:val="both"/>
        <w:rPr>
          <w:noProof/>
        </w:rPr>
      </w:pPr>
      <w:r>
        <w:rPr>
          <w:noProof/>
        </w:rPr>
        <w:t>v článku 6 ods. 11 s</w:t>
      </w:r>
      <w:r>
        <w:rPr>
          <w:noProof/>
        </w:rPr>
        <w:t> cieľom:</w:t>
      </w:r>
    </w:p>
    <w:p w:rsidR="001A4B61" w:rsidRDefault="001A5C9B">
      <w:pPr>
        <w:pStyle w:val="Text1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doplniť tento článok a body 3.1, 3.2 a 3.4 prílohy II so zámerom vyžadovať, aby infraštruktúry, ktoré sa majú zaviesť alebo renovovať, spĺňali technické špecifikácie stanovené v normách, ktoré majú vypracovať príslušné organizácie ESO;</w:t>
      </w:r>
    </w:p>
    <w:p w:rsidR="001A4B61" w:rsidRDefault="001A5C9B">
      <w:pPr>
        <w:pStyle w:val="Text1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aktualizova</w:t>
      </w:r>
      <w:r>
        <w:rPr>
          <w:noProof/>
        </w:rPr>
        <w:t>ť odkazy na normy uvádzané v technických špecifikáciách, ktoré sa stanovujú alebo majú stanoviť v bode 3 prílohy II, keď sa uvedené normy nahradia novými verziami, ktoré prijmú príslušné európske alebo medzinárodné normalizačné organizácie,</w:t>
      </w:r>
    </w:p>
    <w:p w:rsidR="001A4B61" w:rsidRDefault="001A5C9B">
      <w:pPr>
        <w:pStyle w:val="Text1"/>
        <w:ind w:left="720"/>
        <w:jc w:val="both"/>
        <w:rPr>
          <w:noProof/>
        </w:rPr>
      </w:pPr>
      <w:r>
        <w:rPr>
          <w:noProof/>
        </w:rPr>
        <w:lastRenderedPageBreak/>
        <w:t>v článku 6 ods.</w:t>
      </w:r>
      <w:r>
        <w:rPr>
          <w:noProof/>
        </w:rPr>
        <w:t xml:space="preserve"> 12 s cieľom stanoviť:</w:t>
      </w:r>
    </w:p>
    <w:p w:rsidR="001A4B61" w:rsidRDefault="001A5C9B">
      <w:pPr>
        <w:pStyle w:val="Text1"/>
        <w:numPr>
          <w:ilvl w:val="0"/>
          <w:numId w:val="39"/>
        </w:numPr>
        <w:jc w:val="both"/>
        <w:rPr>
          <w:noProof/>
        </w:rPr>
      </w:pPr>
      <w:r>
        <w:rPr>
          <w:noProof/>
        </w:rPr>
        <w:t>požiadavky na rozhranie pre prepravu LNG v zásobníkoch v námornej a vnútrozemskej vodnej doprave,</w:t>
      </w:r>
    </w:p>
    <w:p w:rsidR="001A4B61" w:rsidRDefault="001A5C9B">
      <w:pPr>
        <w:pStyle w:val="Text1"/>
        <w:numPr>
          <w:ilvl w:val="0"/>
          <w:numId w:val="39"/>
        </w:numPr>
        <w:jc w:val="both"/>
        <w:rPr>
          <w:noProof/>
        </w:rPr>
      </w:pPr>
      <w:r>
        <w:rPr>
          <w:noProof/>
        </w:rPr>
        <w:t>požiadavky súvisiace s bezpečnostnými aspektmi postupu skladovania a čerpania LNG na pevnine v námornej a vnútrozemskej vodnej doprave.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V smernici 2014/94/EÚ sa už stanovujú minimálne technické špecifikácie pre niektoré časti sietí infraštruktúry pre alternatívne palivá vrátane:</w:t>
      </w:r>
    </w:p>
    <w:p w:rsidR="001A4B61" w:rsidRDefault="001A5C9B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nabíjacích staníc pre bežné a vysokovýkonné nabíjanie motorových vozidiel (body 1.1 a 1.2 prílohy II),</w:t>
      </w:r>
    </w:p>
    <w:p w:rsidR="001A4B61" w:rsidRDefault="001A5C9B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pobrežného zásobovania elektrickou energiou pre námorné lode (bod 1.7 prílohy II),</w:t>
      </w:r>
    </w:p>
    <w:p w:rsidR="001A4B61" w:rsidRDefault="001A5C9B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čerpacích staníc vodíka pre motorové vozidlá (bod 2 prílohy II),</w:t>
      </w:r>
    </w:p>
    <w:p w:rsidR="001A4B61" w:rsidRDefault="001A5C9B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konektorov/nádrží pre stlačený zemný plyn (CNG) (bod 3.3 prílohy II).</w:t>
      </w:r>
    </w:p>
    <w:p w:rsidR="001A4B61" w:rsidRDefault="001A5C9B">
      <w:pPr>
        <w:pStyle w:val="Text1"/>
        <w:ind w:left="60"/>
        <w:jc w:val="both"/>
        <w:rPr>
          <w:noProof/>
        </w:rPr>
      </w:pPr>
      <w:r>
        <w:rPr>
          <w:noProof/>
        </w:rPr>
        <w:t xml:space="preserve">Tieto ustanovenia už pomohli vytvoriť </w:t>
      </w:r>
      <w:r>
        <w:rPr>
          <w:noProof/>
        </w:rPr>
        <w:t>istotu pre trhové investície. V prílohe II k smernici sa však uvádzajú ďalšie potreby stanovenia technických špecifikácií v oblastiach, v ktorých zatiaľ neexistuje odkaz na normy, vrátane: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nabíjacích staníc pre bezdrôtové nabíjanie motorových vozidiel (bod</w:t>
      </w:r>
      <w:r>
        <w:rPr>
          <w:noProof/>
        </w:rPr>
        <w:t xml:space="preserve"> 1.3 prílohy II),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výmeny batérií motorových vozidiel (bod 1.4 prílohy II),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nabíjacích staníc pre motorové vozidlá kategórie L (bod 1.5 prílohy II),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nabíjacích staníc pre elektrické autobusy (bod 1.6 prílohy II),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 xml:space="preserve">pobrežného zásobovania elektrickou energiou </w:t>
      </w:r>
      <w:r>
        <w:rPr>
          <w:noProof/>
        </w:rPr>
        <w:t>pre plavidlá vnútrozemskej vodnej dopravy (bod 1.8 prílohy II),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čerpacích staníc LNG pre plavidlá vnútrozemskej vodnej dopravy, námorné lode a motorové vozidlá (body 3.1 a 3.2 prílohy II),</w:t>
      </w:r>
    </w:p>
    <w:p w:rsidR="001A4B61" w:rsidRDefault="001A5C9B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čerpacích staníc CNG pre motorové vozidlá (bod 3.4 prílohy II).</w:t>
      </w:r>
    </w:p>
    <w:p w:rsidR="001A4B61" w:rsidRDefault="001A5C9B">
      <w:pPr>
        <w:pStyle w:val="Text1"/>
        <w:ind w:left="60"/>
        <w:jc w:val="both"/>
        <w:rPr>
          <w:noProof/>
        </w:rPr>
      </w:pPr>
      <w:r>
        <w:rPr>
          <w:noProof/>
        </w:rPr>
        <w:t>Okrem toho, už existujúce technické špecifikácie pre:</w:t>
      </w:r>
    </w:p>
    <w:p w:rsidR="001A4B61" w:rsidRDefault="001A5C9B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vonkajšie čerpacie stanice vodíka (bod 2.1 prílohy II),</w:t>
      </w:r>
    </w:p>
    <w:p w:rsidR="001A4B61" w:rsidRDefault="001A5C9B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čistotu vodíka vydávaného na čerpacích staniciach vodíka (bod 2.2 prílohy II),</w:t>
      </w:r>
    </w:p>
    <w:p w:rsidR="001A4B61" w:rsidRDefault="001A5C9B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 xml:space="preserve"> algoritmy dopĺňania vodíka a zariadenia (bod 2.3 prílohy II),</w:t>
      </w:r>
    </w:p>
    <w:p w:rsidR="001A4B61" w:rsidRDefault="001A5C9B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kone</w:t>
      </w:r>
      <w:r>
        <w:rPr>
          <w:noProof/>
        </w:rPr>
        <w:t>ktory pre motorové vozidlá na dopĺňanie plynného vodíka (bod 2.4 prílohy II) a</w:t>
      </w:r>
    </w:p>
    <w:p w:rsidR="001A4B61" w:rsidRDefault="001A5C9B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konektory/nádrže CNG (bod 3.3 prílohy II)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boli aktualizované, pretože príslušné európske normalizačné organizácie prijali nové verzie príslušných noriem.</w:t>
      </w:r>
    </w:p>
    <w:p w:rsidR="001A4B61" w:rsidRDefault="001A4B61">
      <w:pPr>
        <w:pStyle w:val="Text1"/>
        <w:ind w:left="0"/>
        <w:jc w:val="both"/>
        <w:rPr>
          <w:noProof/>
        </w:rPr>
      </w:pPr>
    </w:p>
    <w:p w:rsidR="001A4B61" w:rsidRDefault="001A5C9B">
      <w:pPr>
        <w:pStyle w:val="Heading1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>PRÁVNY ZÁKLAD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Povinnos</w:t>
      </w:r>
      <w:r>
        <w:rPr>
          <w:noProof/>
        </w:rPr>
        <w:t>ť vypracovať túto správu sa ukladá článkom 8 ods. 2 smernice 2014/94/EÚ.</w:t>
      </w:r>
    </w:p>
    <w:p w:rsidR="001A4B61" w:rsidRDefault="001A5C9B">
      <w:pPr>
        <w:pStyle w:val="Text1"/>
        <w:ind w:left="0"/>
        <w:jc w:val="both"/>
        <w:rPr>
          <w:noProof/>
          <w:shd w:val="clear" w:color="auto" w:fill="FFFFFF"/>
        </w:rPr>
      </w:pPr>
      <w:r>
        <w:rPr>
          <w:noProof/>
        </w:rPr>
        <w:t xml:space="preserve">Touto správou Komisia informuje Európsky parlament a Radu o delegovaných nariadeniach Komisie, ktoré boli prijaté alebo ktoré sa majú prijať, aby </w:t>
      </w:r>
      <w:r>
        <w:rPr>
          <w:noProof/>
          <w:shd w:val="clear" w:color="auto" w:fill="FFFFFF"/>
        </w:rPr>
        <w:t>doplnili alebo zmenili odkazy na norm</w:t>
      </w:r>
      <w:r>
        <w:rPr>
          <w:noProof/>
          <w:shd w:val="clear" w:color="auto" w:fill="FFFFFF"/>
        </w:rPr>
        <w:t>y uvedené v bodoch 1.5, 1.8, 2.1, 2.2, 2.3, 2.4, 3.1, 3.2, 3.3 a 3.4 v technických špecifikáciách stanovených v prílohe II k smernici.</w:t>
      </w:r>
    </w:p>
    <w:p w:rsidR="001A4B61" w:rsidRDefault="001A5C9B">
      <w:pPr>
        <w:pStyle w:val="Heading1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>VYKONÁVANIE DELEGOVANIA PRÁVOMOCI</w:t>
      </w:r>
    </w:p>
    <w:p w:rsidR="001A4B61" w:rsidRDefault="001A5C9B">
      <w:pPr>
        <w:pStyle w:val="Text1"/>
        <w:numPr>
          <w:ilvl w:val="0"/>
          <w:numId w:val="27"/>
        </w:numPr>
        <w:ind w:left="426" w:hanging="426"/>
        <w:jc w:val="both"/>
        <w:rPr>
          <w:noProof/>
        </w:rPr>
      </w:pPr>
      <w:r>
        <w:rPr>
          <w:noProof/>
        </w:rPr>
        <w:t>Listom z 13. júla 2017 CEN a CENELEC informovali Komisiu o týchto normách, ktoré odporú</w:t>
      </w:r>
      <w:r>
        <w:rPr>
          <w:noProof/>
        </w:rPr>
        <w:t xml:space="preserve">čajú na doplnenie alebo zmenu technických špecifikácií uvedených v bodoch </w:t>
      </w:r>
      <w:r>
        <w:rPr>
          <w:noProof/>
          <w:shd w:val="clear" w:color="auto" w:fill="FFFFFF"/>
        </w:rPr>
        <w:t xml:space="preserve">1.5, 1.8, 2.4 a 3.1 </w:t>
      </w:r>
      <w:r>
        <w:rPr>
          <w:noProof/>
        </w:rPr>
        <w:t>prílohy II k smernici 2014/94/EÚ:</w:t>
      </w:r>
    </w:p>
    <w:p w:rsidR="001A4B61" w:rsidRDefault="001A5C9B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 xml:space="preserve">norma EN 62196-2 „Vidlice, zásuvky, konektory vozidiel a prívodky vozidiel. Nabíjanie elektrických vozidiel vodivým prepojením. </w:t>
      </w:r>
      <w:r>
        <w:rPr>
          <w:noProof/>
        </w:rPr>
        <w:t>Požiadavky na rozmerovú kompatibilitu a zameniteľnosť príslušenstiev s kolíkmi a dutinkami na striedavé napätie“ a norma IEC 60884-1 „Vidlice a zásuvky na používanie v domácnostiach a na podobné účely. Časť 1: Všeobecné požiadavky“, ktoré by sa mali uplatň</w:t>
      </w:r>
      <w:r>
        <w:rPr>
          <w:noProof/>
        </w:rPr>
        <w:t>ovať na nabíjacie stanice pre motorové vozidlá kategórie L, a to v závislosti od výkonu a/alebo režimu nabíjania, s cieľom doplniť bod 1.5 prílohy II,</w:t>
      </w:r>
    </w:p>
    <w:p w:rsidR="001A4B61" w:rsidRDefault="001A5C9B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>norma EN 15869-2 „Lode vnútrozemskej plavby. Pobrežné elektrické pripojenie, trojfázový prúd 400 V, do 63</w:t>
      </w:r>
      <w:r>
        <w:rPr>
          <w:noProof/>
        </w:rPr>
        <w:t xml:space="preserve"> A, 50 Hz. Časť 2: Pobrežná jednotka, bezpečnostné požiadavky“ s cieľom doplniť bod 1.8 prílohy II pre pobrežné zásobovanie plavidiel vnútrozemskej vodnej dopravy elektrickou energiou,</w:t>
      </w:r>
    </w:p>
    <w:p w:rsidR="001A4B61" w:rsidRDefault="001A5C9B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>norma EN ISO 17268 „Pripájacie zariadenia na tankovanie plynného vodíka</w:t>
      </w:r>
      <w:r>
        <w:rPr>
          <w:noProof/>
        </w:rPr>
        <w:t xml:space="preserve"> do pozemných vozidiel“ s cieľom zmeniť bod 2.4 prílohy II pre konektory vodíka,</w:t>
      </w:r>
    </w:p>
    <w:p w:rsidR="001A4B61" w:rsidRDefault="001A5C9B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>norma EN ISO 20519 „Lode a námorná technológia. Špecifikácia týkajúca sa plnenia zásobníkov lodí s plynovým pohonom“ s cieľom doplniť bod 3.1 prílohy II pre plavidlá vnútrozem</w:t>
      </w:r>
      <w:r>
        <w:rPr>
          <w:noProof/>
        </w:rPr>
        <w:t>skej vodnej dopravy alebo námorné lode.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Po konzultácii s expertnou skupinou Komisie „Fórum pre udržateľnú dopravu“ a po informovaní Európskeho parlamentu a Rady o tejto konzultácii Európska komisia prijala delegované nariadenie Komisie (EÚ) 2018/674 zo 17.</w:t>
      </w:r>
      <w:r>
        <w:rPr>
          <w:noProof/>
        </w:rPr>
        <w:t> novembra 2017, ktorým sa dopĺňa smernica Európskeho parlamentu a Rady 2014/94/EÚ, pokiaľ ide o nabíjacie stanice pre motorové vozidlá kategórie L, pobrežné zásobovanie plavidiel vnútrozemskej vodnej dopravy elektrickou energiou, čerpacie stanice LNG pre v</w:t>
      </w:r>
      <w:r>
        <w:rPr>
          <w:noProof/>
        </w:rPr>
        <w:t>odnú dopravu, a ktorým sa mení uvedená smernica, pokiaľ ide o konektory pre motorové vozidlá na tankovanie plynného vodíka</w:t>
      </w:r>
      <w:r>
        <w:rPr>
          <w:noProof/>
          <w:vertAlign w:val="superscript"/>
        </w:rPr>
        <w:footnoteReference w:id="3"/>
      </w:r>
      <w:r>
        <w:rPr>
          <w:noProof/>
        </w:rPr>
        <w:t>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V uvedenom delegovanom nariadení sa stanovujú tieto ustanovenia:</w:t>
      </w:r>
    </w:p>
    <w:p w:rsidR="001A4B61" w:rsidRDefault="001A5C9B">
      <w:pPr>
        <w:pStyle w:val="Text1"/>
        <w:numPr>
          <w:ilvl w:val="0"/>
          <w:numId w:val="34"/>
        </w:numPr>
        <w:jc w:val="both"/>
        <w:rPr>
          <w:noProof/>
        </w:rPr>
      </w:pPr>
      <w:r>
        <w:rPr>
          <w:noProof/>
        </w:rPr>
        <w:t>Verejne prístupné nabíjacie stanice na striedavý prúd s výkonom až</w:t>
      </w:r>
      <w:r>
        <w:rPr>
          <w:noProof/>
        </w:rPr>
        <w:t xml:space="preserve"> 3,7 kVA vyhradené pre elektrické vozidlá kategórie L musia byť na účely interoperability vybavené aspoň jedným z týchto zariadení:</w:t>
      </w:r>
    </w:p>
    <w:p w:rsidR="001A4B61" w:rsidRDefault="001A5C9B">
      <w:pPr>
        <w:pStyle w:val="Text1"/>
        <w:numPr>
          <w:ilvl w:val="1"/>
          <w:numId w:val="35"/>
        </w:numPr>
        <w:jc w:val="both"/>
        <w:rPr>
          <w:noProof/>
        </w:rPr>
      </w:pPr>
      <w:r>
        <w:rPr>
          <w:noProof/>
        </w:rPr>
        <w:t>zásuvky alebo konektory pre vozidlá typu 3a podľa normy EN 62196-2 (pre nabíjanie v režime 3);</w:t>
      </w:r>
    </w:p>
    <w:p w:rsidR="001A4B61" w:rsidRDefault="001A5C9B">
      <w:pPr>
        <w:pStyle w:val="Text1"/>
        <w:numPr>
          <w:ilvl w:val="1"/>
          <w:numId w:val="35"/>
        </w:numPr>
        <w:jc w:val="both"/>
        <w:rPr>
          <w:noProof/>
        </w:rPr>
      </w:pPr>
      <w:r>
        <w:rPr>
          <w:noProof/>
        </w:rPr>
        <w:t xml:space="preserve">zásuvky a konektory v súlade </w:t>
      </w:r>
      <w:r>
        <w:rPr>
          <w:noProof/>
        </w:rPr>
        <w:t>s IEC 60884 (pre nabíjanie v režime 1 alebo 2).</w:t>
      </w:r>
    </w:p>
    <w:p w:rsidR="001A4B61" w:rsidRDefault="001A5C9B">
      <w:pPr>
        <w:pStyle w:val="Text1"/>
        <w:ind w:left="720"/>
        <w:jc w:val="both"/>
        <w:rPr>
          <w:noProof/>
        </w:rPr>
      </w:pPr>
      <w:r>
        <w:rPr>
          <w:noProof/>
        </w:rPr>
        <w:t>Verejne prístupné nabíjacie stanice na striedavý prúd s výkonom nad 3,7 kVA vyhradené pre elektrické vozidlá kategórie L musia byť na účely interoperability vybavené aspoň zásuvkami alebo konektormi pre vozid</w:t>
      </w:r>
      <w:r>
        <w:rPr>
          <w:noProof/>
        </w:rPr>
        <w:t>lá typu 2 podľa normy EN 62196-2.</w:t>
      </w:r>
    </w:p>
    <w:p w:rsidR="001A4B61" w:rsidRDefault="001A5C9B">
      <w:pPr>
        <w:pStyle w:val="Text1"/>
        <w:numPr>
          <w:ilvl w:val="0"/>
          <w:numId w:val="34"/>
        </w:numPr>
        <w:jc w:val="both"/>
        <w:rPr>
          <w:noProof/>
        </w:rPr>
      </w:pPr>
      <w:r>
        <w:rPr>
          <w:noProof/>
        </w:rPr>
        <w:t>Pobrežné zásobovanie plavidiel vnútrozemskej vodnej dopravy elektrickou energiou musí byť v súlade s normou EN 15869-2 „Lode vnútrozemskej plavby. Pobrežné elektrické pripojenie, trojfázový prúd 400 V, do 63 A, 50 Hz. Časť</w:t>
      </w:r>
      <w:r>
        <w:rPr>
          <w:noProof/>
        </w:rPr>
        <w:t xml:space="preserve"> 2: Pobrežná jednotka, bezpečnostné požiadavky“.</w:t>
      </w:r>
    </w:p>
    <w:p w:rsidR="001A4B61" w:rsidRDefault="001A5C9B">
      <w:pPr>
        <w:pStyle w:val="Text1"/>
        <w:numPr>
          <w:ilvl w:val="0"/>
          <w:numId w:val="34"/>
        </w:numPr>
        <w:jc w:val="both"/>
        <w:rPr>
          <w:noProof/>
        </w:rPr>
      </w:pPr>
      <w:r>
        <w:rPr>
          <w:noProof/>
        </w:rPr>
        <w:t xml:space="preserve">Čerpacie stanice LNG pre plavidlá vnútrozemskej vodnej dopravy alebo námorné lode, na ktoré sa nevzťahuje Medzinárodný kódex pre stavbu a vybavenie lodí prepravujúcich skvapalnené plyny ako hromadný tovar </w:t>
      </w:r>
      <w:r>
        <w:rPr>
          <w:noProof/>
        </w:rPr>
        <w:t>(kódex IGC), musia byť v súlade s normou EN ISO 20519.</w:t>
      </w:r>
    </w:p>
    <w:p w:rsidR="001A4B61" w:rsidRDefault="001A5C9B">
      <w:pPr>
        <w:pStyle w:val="Text1"/>
        <w:numPr>
          <w:ilvl w:val="0"/>
          <w:numId w:val="34"/>
        </w:numPr>
        <w:jc w:val="both"/>
        <w:rPr>
          <w:noProof/>
        </w:rPr>
      </w:pPr>
      <w:r>
        <w:rPr>
          <w:noProof/>
        </w:rPr>
        <w:t>Konektory pre motorové vozidlá na tankovanie plynného vodíka musia spĺňať normu EN ISO 17268 „Pripájacie zariadenia na tankovanie plynného vodíka do pozemných vozidiel“.</w:t>
      </w:r>
    </w:p>
    <w:p w:rsidR="001A4B61" w:rsidRDefault="001A5C9B">
      <w:pPr>
        <w:pStyle w:val="Text1"/>
        <w:numPr>
          <w:ilvl w:val="0"/>
          <w:numId w:val="27"/>
        </w:numPr>
        <w:ind w:left="720" w:hanging="720"/>
        <w:jc w:val="both"/>
        <w:rPr>
          <w:noProof/>
        </w:rPr>
      </w:pPr>
      <w:r>
        <w:rPr>
          <w:noProof/>
        </w:rPr>
        <w:t>Na základe plavbu na Rýne (CCNR</w:t>
      </w:r>
      <w:r>
        <w:rPr>
          <w:noProof/>
        </w:rPr>
        <w:t>) o technickú aktualizáciu a doplnenie delegovaného nariadenia Komisie EÚ 2018/674 zo 17. novembra 2017 a na základe listu CEN a CENELEC z 26. novembra 2018, ktorým informovali Komisiu o novom vývoji v oblasti normalizácie infraštruktúry čerpacích staníc z</w:t>
      </w:r>
      <w:r>
        <w:rPr>
          <w:noProof/>
        </w:rPr>
        <w:t>emného plynu a vodíka, Komisia prijala 13. augusta 2019 nové delegované nariadenie</w:t>
      </w:r>
      <w:r>
        <w:rPr>
          <w:rStyle w:val="FootnoteReference"/>
          <w:noProof/>
        </w:rPr>
        <w:footnoteReference w:id="4"/>
      </w:r>
      <w:r>
        <w:rPr>
          <w:noProof/>
        </w:rPr>
        <w:t>, ktorým sa zrušuje delegované nariadenie Komisie žiadostí od jednotlivých členských štátov a od Ústrednej komisie pre (EÚ) 2018/674 zo 17. novembra 2017 a v ktorom sa uvádz</w:t>
      </w:r>
      <w:r>
        <w:rPr>
          <w:noProof/>
        </w:rPr>
        <w:t>ajú vyššie spomenuté aktualizácie a doplnenia, ako aj nový vývoj v oblasti normalizácie infraštruktúry čerpacích staníc zemného plynu a vodíka.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Toto delegované nariadenie Komisie: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dopĺňa bod 1.5 zahrnutím noriem (v závislosti od výkonu a/alebo režimu nabíj</w:t>
      </w:r>
      <w:r>
        <w:rPr>
          <w:noProof/>
        </w:rPr>
        <w:t>ania) pre nabíjacie stanice motorových vozidiel kategórie L, a to:</w:t>
      </w:r>
    </w:p>
    <w:p w:rsidR="001A4B61" w:rsidRDefault="001A5C9B">
      <w:pPr>
        <w:pStyle w:val="ListParagraph"/>
        <w:numPr>
          <w:ilvl w:val="1"/>
          <w:numId w:val="23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normy EN 62196-2 „Vidlice, zásuvky, konektory vozidiel a prívodky vozidiel. Nabíjanie elektrických vozidiel vodivým prepojením. Požiadavky na rozmerovú kompatibilitu a zameniteľnosť príslu</w:t>
      </w:r>
      <w:r>
        <w:rPr>
          <w:rFonts w:ascii="Times New Roman" w:hAnsi="Times New Roman"/>
          <w:noProof/>
          <w:sz w:val="24"/>
          <w:szCs w:val="24"/>
        </w:rPr>
        <w:t>šenstiev s kolíkmi a dutinkami na striedavé napätie“ a</w:t>
      </w:r>
    </w:p>
    <w:p w:rsidR="001A4B61" w:rsidRDefault="001A5C9B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normy IEC 60884-1 „Vidlice a zásuvky na používanie v domácnostiach a na podobné účely. Časť 1: Všeobecné požiadavky“, ktoré by sa mali uplatňovať na tieto nabíjacie stanice,</w:t>
      </w:r>
    </w:p>
    <w:p w:rsidR="001A4B61" w:rsidRPr="001A5C9B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dopĺňa bod 1.8 prílohy II z</w:t>
      </w:r>
      <w:r>
        <w:rPr>
          <w:noProof/>
        </w:rPr>
        <w:t xml:space="preserve">ahrnutím normy týkajúcej sa pobrežného </w:t>
      </w:r>
      <w:r w:rsidRPr="001A5C9B">
        <w:rPr>
          <w:noProof/>
        </w:rPr>
        <w:t>zásobovania plavidiel vnútrozemskej vodnej dopravy elektrickou energiou, a to:</w:t>
      </w:r>
    </w:p>
    <w:p w:rsidR="001A4B61" w:rsidRDefault="001A5C9B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1A5C9B">
        <w:rPr>
          <w:rFonts w:ascii="Times New Roman" w:hAnsi="Times New Roman"/>
          <w:noProof/>
          <w:sz w:val="24"/>
          <w:szCs w:val="24"/>
        </w:rPr>
        <w:t xml:space="preserve">normy EN 15869-2 „Lode vnútrozemskej plavby. Pobrežné elektrické pripojenie, trojfázový prúd 400 V, do 63 A, 50 Hz. Časť 2: </w:t>
      </w:r>
      <w:bookmarkStart w:id="1" w:name="_GoBack"/>
      <w:bookmarkEnd w:id="1"/>
      <w:r w:rsidRPr="001A5C9B">
        <w:rPr>
          <w:rFonts w:ascii="Times New Roman" w:hAnsi="Times New Roman"/>
          <w:noProof/>
          <w:sz w:val="24"/>
          <w:szCs w:val="24"/>
        </w:rPr>
        <w:t>Pobrežná jedno</w:t>
      </w:r>
      <w:r w:rsidRPr="001A5C9B">
        <w:rPr>
          <w:rFonts w:ascii="Times New Roman" w:hAnsi="Times New Roman"/>
          <w:noProof/>
          <w:sz w:val="24"/>
          <w:szCs w:val="24"/>
        </w:rPr>
        <w:t xml:space="preserve">tka, bezpečnostné požiadavky“ </w:t>
      </w:r>
      <w:r w:rsidRPr="001A5C9B">
        <w:rPr>
          <w:rFonts w:ascii="Times New Roman" w:hAnsi="Times New Roman"/>
          <w:noProof/>
          <w:sz w:val="24"/>
          <w:szCs w:val="24"/>
        </w:rPr>
        <w:t>alebo normy EN 16840 „Lode vnútrozemskej plavby. Pobrežné elektrické pripojenie, trojfázový prúd 400 V, minimálne 250 A, 50 Hz“ v závislosti od energetických požiadaviek</w:t>
      </w:r>
      <w:r>
        <w:rPr>
          <w:rFonts w:ascii="Times New Roman" w:hAnsi="Times New Roman"/>
          <w:noProof/>
          <w:color w:val="FF0000"/>
          <w:sz w:val="24"/>
          <w:szCs w:val="24"/>
        </w:rPr>
        <w:t>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mení body 2.1 a 2.3 prílohy II zahrnutím európskej norm</w:t>
      </w:r>
      <w:r>
        <w:rPr>
          <w:noProof/>
        </w:rPr>
        <w:t>y EN 17127 „Vonkajšie vodíkové čerpacie stanice na výdaj plynného vodíka obsahujúce plniace protokoly“,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mení bod 2.2 prílohy II zahrnutím európskej normy EN 17124 „Vodíkové palivo. Špecifikácia výrobku a zabezpečenie kvality. Palivové články s protónovou v</w:t>
      </w:r>
      <w:r>
        <w:rPr>
          <w:noProof/>
        </w:rPr>
        <w:t>ýmennou membránou (PEM) pre cestné vozidlá“,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mení bod 2.4 prílohy II zahrnutím európskej normy EN ISO 17268 „Pripájacie zariadenia na tankovanie plynného vodíka do pozemných vozidiel“,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dopĺňa bod 3.1 prílohy II zahrnutím normy týkajúcej sa čerpacích staníc</w:t>
      </w:r>
      <w:r>
        <w:rPr>
          <w:noProof/>
        </w:rPr>
        <w:t xml:space="preserve"> LNG pre námorné lode a plavidlá vnútrozemskej vodnej dopravy, a to:</w:t>
      </w:r>
    </w:p>
    <w:p w:rsidR="001A4B61" w:rsidRDefault="001A5C9B">
      <w:pPr>
        <w:pStyle w:val="Text1"/>
        <w:numPr>
          <w:ilvl w:val="1"/>
          <w:numId w:val="23"/>
        </w:numPr>
        <w:jc w:val="both"/>
        <w:rPr>
          <w:noProof/>
        </w:rPr>
      </w:pPr>
      <w:r>
        <w:rPr>
          <w:noProof/>
        </w:rPr>
        <w:t>normy EN ISO 20519 „Lode a námorná technológia. Špecifikácia týkajúca sa plnenia zásobníkov lodí s plynovým pohonom“ ktorá sa bude uplatňovať na námorné lode, na ktoré sa nevzťahuje Medzi</w:t>
      </w:r>
      <w:r>
        <w:rPr>
          <w:noProof/>
        </w:rPr>
        <w:t>národný kódex pre stavbu a vybavenie lodí prepravujúcich skvapalnené plyny ako hromadný tovar (kódex IGC),</w:t>
      </w:r>
    </w:p>
    <w:p w:rsidR="001A4B61" w:rsidRDefault="001A5C9B">
      <w:pPr>
        <w:pStyle w:val="Text1"/>
        <w:numPr>
          <w:ilvl w:val="1"/>
          <w:numId w:val="23"/>
        </w:numPr>
        <w:jc w:val="both"/>
        <w:rPr>
          <w:noProof/>
        </w:rPr>
      </w:pPr>
      <w:r>
        <w:rPr>
          <w:noProof/>
        </w:rPr>
        <w:t>normy EN ISO 20519 (časti 5.3 až 5.7), ktorá sa bude uplatňovať na plavidlá vnútrozemskej vodnej dopravy,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 xml:space="preserve">dopĺňa bod 3.2 prílohy II zahrnutím prvkov </w:t>
      </w:r>
      <w:r>
        <w:rPr>
          <w:noProof/>
        </w:rPr>
        <w:t>interoperability európskej normy EN ISO 16924 „Plniace stanice na zemný plyn. Plniace stanice LNG na plnenie vozidiel“, ako je plniaci tlak a konektor, ktorý sa má použiť,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mení bod 3.3 prílohy II, v ktorom sa požaduje, aby sa európska norma EN ISO 14469 „C</w:t>
      </w:r>
      <w:r>
        <w:rPr>
          <w:noProof/>
        </w:rPr>
        <w:t>estné vozidlá. Plniaci konektor na stlačený zemný plyn (CNG)“ uplatňovala na konektory/nádrže CNG,</w:t>
      </w:r>
    </w:p>
    <w:p w:rsidR="001A4B61" w:rsidRDefault="001A5C9B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 xml:space="preserve">dopĺňa bod 3.4 prílohy II zahrnutím prvkov interoperability európskej normy EN ISO 16923 „Plniace stanice na zemný plyn. Plniace stanice CNG na plnenie </w:t>
      </w:r>
      <w:r>
        <w:rPr>
          <w:noProof/>
        </w:rPr>
        <w:t>vozidiel“, ako je plniaci tlak.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Návrh delegovaného nariadenia Komisie bol uverejnený na portáli pre lepšiu právnu reguláciu od 15. marca 2019 do 12. apríla 2019. Komisia dostala spätnú väzbu od 10 respondentov. Okrem toho sa v rôznych fázach prípravy deleg</w:t>
      </w:r>
      <w:r>
        <w:rPr>
          <w:noProof/>
        </w:rPr>
        <w:t>ovaného nariadenia Komisie uskutočnili konzultácie s odborníkmi z členských štátov v rámci Fóra pre udržateľnú dopravu.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Komisia prijala delegované nariadenie Komisie 13. augusta 2019</w:t>
      </w:r>
      <w:r>
        <w:rPr>
          <w:rStyle w:val="FootnoteReference"/>
          <w:noProof/>
        </w:rPr>
        <w:footnoteReference w:id="5"/>
      </w:r>
      <w:r>
        <w:rPr>
          <w:noProof/>
        </w:rPr>
        <w:t>. Podľa článku 8 ods. 5 smernice 2014/94/EÚ sa uskutočnili konzultácie s </w:t>
      </w:r>
      <w:r>
        <w:rPr>
          <w:noProof/>
        </w:rPr>
        <w:t>Európskou radou a Európskym parlamentom a neboli vznesené žiadne námietky. Preto toto delegované nariadenie Komisie nadobúda účinnosť dvadsiatym dňom po jeho uverejnení v </w:t>
      </w:r>
      <w:r>
        <w:rPr>
          <w:i/>
          <w:noProof/>
        </w:rPr>
        <w:t>Úradnom vestníku Európskej únie</w:t>
      </w:r>
      <w:r>
        <w:rPr>
          <w:noProof/>
        </w:rPr>
        <w:t xml:space="preserve"> 22. októbra 2019. Uplatňuje sa od 12. novembra 2021.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Okrem toho, v poslednom štvrťroku roka 2020 sa predpokladá prijatie nového delegovaného nariadenia Komisie s cieľom doplniť technické špecifikácie pre body 1.3 (bezdrôtové nabíjanie motorových vozidiel) a 1.6 (nabíjacie stanice pre elektrické autobusy) prí</w:t>
      </w:r>
      <w:r>
        <w:rPr>
          <w:noProof/>
        </w:rPr>
        <w:t>lohy II k smernici 2014/94/EÚ.</w:t>
      </w:r>
    </w:p>
    <w:p w:rsidR="001A4B61" w:rsidRDefault="001A4B61">
      <w:pPr>
        <w:pStyle w:val="Text1"/>
        <w:ind w:left="0"/>
        <w:jc w:val="both"/>
        <w:rPr>
          <w:noProof/>
        </w:rPr>
      </w:pP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Komisia nemá v úmysle zahrnúť technické špecifikácie týkajúce sa bodu 1.4 prílohy II (výmena batérií motorových vozidiel) do vyššie uvedeného delegovaného nariadenia Komisie, pretože príslušná európska normalizačná organizác</w:t>
      </w:r>
      <w:r>
        <w:rPr>
          <w:noProof/>
        </w:rPr>
        <w:t>ia nepovažuje takúto normu za prioritu pre priemysel EÚ.</w:t>
      </w:r>
    </w:p>
    <w:p w:rsidR="001A4B61" w:rsidRDefault="001A5C9B">
      <w:pPr>
        <w:pStyle w:val="Heading1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>ZÁVER A VÝHĽAD DO BUDÚCNOSTI</w:t>
      </w:r>
    </w:p>
    <w:p w:rsidR="001A4B61" w:rsidRDefault="001A5C9B">
      <w:pPr>
        <w:pStyle w:val="Text1"/>
        <w:ind w:left="0"/>
        <w:jc w:val="both"/>
        <w:rPr>
          <w:noProof/>
        </w:rPr>
      </w:pPr>
      <w:r>
        <w:rPr>
          <w:noProof/>
        </w:rPr>
        <w:t>Komisia vyzýva Európsky parlament a Radu, aby túto správu vzali na vedomie.</w:t>
      </w:r>
    </w:p>
    <w:sectPr w:rsidR="001A4B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CC4BE" w16cid:durableId="2135F0BD"/>
  <w16cid:commentId w16cid:paraId="101398B1" w16cid:durableId="2135F190"/>
  <w16cid:commentId w16cid:paraId="0CEA7850" w16cid:durableId="2135F0EA"/>
  <w16cid:commentId w16cid:paraId="24305BAF" w16cid:durableId="2135F374"/>
  <w16cid:commentId w16cid:paraId="336B3BFE" w16cid:durableId="21360000"/>
  <w16cid:commentId w16cid:paraId="6031BE4A" w16cid:durableId="21360023"/>
  <w16cid:commentId w16cid:paraId="79D949FA" w16cid:durableId="213606A7"/>
  <w16cid:commentId w16cid:paraId="666DD3C8" w16cid:durableId="21360543"/>
  <w16cid:commentId w16cid:paraId="431005D6" w16cid:durableId="21360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61" w:rsidRDefault="001A5C9B">
      <w:pPr>
        <w:spacing w:after="0" w:line="240" w:lineRule="auto"/>
      </w:pPr>
      <w:r>
        <w:separator/>
      </w:r>
    </w:p>
  </w:endnote>
  <w:endnote w:type="continuationSeparator" w:id="0">
    <w:p w:rsidR="001A4B61" w:rsidRDefault="001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5C9B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5C9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61" w:rsidRDefault="001A5C9B">
      <w:pPr>
        <w:spacing w:after="0" w:line="240" w:lineRule="auto"/>
      </w:pPr>
      <w:r>
        <w:separator/>
      </w:r>
    </w:p>
  </w:footnote>
  <w:footnote w:type="continuationSeparator" w:id="0">
    <w:p w:rsidR="001A4B61" w:rsidRDefault="001A5C9B">
      <w:pPr>
        <w:spacing w:after="0" w:line="240" w:lineRule="auto"/>
      </w:pPr>
      <w:r>
        <w:continuationSeparator/>
      </w:r>
    </w:p>
  </w:footnote>
  <w:footnote w:id="1">
    <w:p w:rsidR="001A4B61" w:rsidRDefault="001A5C9B">
      <w:pPr>
        <w:pStyle w:val="FootnoteText"/>
        <w:spacing w:after="0"/>
        <w:contextualSpacing/>
        <w:rPr>
          <w:rFonts w:ascii="Times New Roman" w:hAnsi="Times New Roman" w:cs="Times New Roman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Cs w:val="20"/>
        </w:rPr>
        <w:t>Ú</w:t>
      </w:r>
      <w:r>
        <w:rPr>
          <w:rFonts w:ascii="Times New Roman" w:hAnsi="Times New Roman" w:cs="Times New Roman"/>
          <w:szCs w:val="20"/>
        </w:rPr>
        <w:t>. v. EÚ L 307, 28.10.2014, s. 1.</w:t>
      </w:r>
    </w:p>
  </w:footnote>
  <w:footnote w:id="2">
    <w:p w:rsidR="001A4B61" w:rsidRDefault="001A5C9B">
      <w:pPr>
        <w:pStyle w:val="FootnoteText"/>
        <w:jc w:val="both"/>
        <w:rPr>
          <w:rFonts w:ascii="Times New Roman" w:hAnsi="Times New Roman" w:cs="Times New Roman"/>
          <w:szCs w:val="20"/>
        </w:rPr>
      </w:pPr>
      <w:r>
        <w:rPr>
          <w:rStyle w:val="FootnoteReference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 xml:space="preserve">Výbor pre normalizáciu (CEN) a </w:t>
      </w:r>
      <w:r>
        <w:rPr>
          <w:rFonts w:ascii="Times New Roman" w:hAnsi="Times New Roman" w:cs="Times New Roman"/>
          <w:szCs w:val="20"/>
        </w:rPr>
        <w:t>Európsky výbor pre normalizáciu v elektrotechnike (CENELEC).</w:t>
      </w:r>
    </w:p>
  </w:footnote>
  <w:footnote w:id="3">
    <w:p w:rsidR="001A4B61" w:rsidRDefault="001A5C9B">
      <w:pPr>
        <w:pStyle w:val="FootnoteText"/>
        <w:rPr>
          <w:rFonts w:ascii="Times New Roman" w:hAnsi="Times New Roman" w:cs="Times New Roman"/>
          <w:szCs w:val="20"/>
        </w:rPr>
      </w:pPr>
      <w:r>
        <w:rPr>
          <w:rStyle w:val="FootnoteReference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Cs w:val="20"/>
        </w:rPr>
        <w:t xml:space="preserve">Ú. v. EÚ L 114, 4.5.2018, s. 1 – 3, </w:t>
      </w:r>
      <w:hyperlink r:id="rId1" w:history="1">
        <w:r>
          <w:rPr>
            <w:rStyle w:val="Hyperlink"/>
            <w:rFonts w:ascii="Times New Roman" w:hAnsi="Times New Roman" w:cs="Times New Roman"/>
            <w:szCs w:val="20"/>
          </w:rPr>
          <w:t>https://eur-lex.europa.eu/legal-content/EN/TXT/?ur</w:t>
        </w:r>
        <w:r>
          <w:rPr>
            <w:rStyle w:val="Hyperlink"/>
            <w:rFonts w:ascii="Times New Roman" w:hAnsi="Times New Roman" w:cs="Times New Roman"/>
            <w:szCs w:val="20"/>
          </w:rPr>
          <w:t>i=uriserv%3AOJ.L_.2018.114.01.0001.01.ENG</w:t>
        </w:r>
      </w:hyperlink>
      <w:r>
        <w:rPr>
          <w:rFonts w:ascii="Times New Roman" w:hAnsi="Times New Roman" w:cs="Times New Roman"/>
          <w:szCs w:val="20"/>
        </w:rPr>
        <w:t>.</w:t>
      </w:r>
    </w:p>
  </w:footnote>
  <w:footnote w:id="4">
    <w:p w:rsidR="001A4B61" w:rsidRDefault="001A5C9B">
      <w:pPr>
        <w:pStyle w:val="FootnoteText"/>
        <w:rPr>
          <w:rFonts w:ascii="Times New Roman" w:hAnsi="Times New Roman" w:cs="Times New Roman"/>
          <w:szCs w:val="20"/>
        </w:rPr>
      </w:pPr>
      <w:r>
        <w:rPr>
          <w:rStyle w:val="FootnoteReference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>C(2019) 5960 final.</w:t>
      </w:r>
    </w:p>
  </w:footnote>
  <w:footnote w:id="5">
    <w:p w:rsidR="001A4B61" w:rsidRDefault="001A5C9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Cs w:val="20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Delegované nariadenie Komisie (EÚ) 2019/1745 z 13. augusta 2019, ktorým sa mení a dopĺňa smernica Európskeho parlamentu a Rady 2014/94/EÚ, pokiaľ ide o nabíjacie stanice pre motorové vozi</w:t>
      </w:r>
      <w:r>
        <w:rPr>
          <w:rFonts w:ascii="Times New Roman" w:hAnsi="Times New Roman" w:cs="Times New Roman"/>
        </w:rPr>
        <w:t>dlá kategórie L, pobrežné zásobovanie plavidiel vnútrozemskej vodnej dopravy elektrickou energiou, zásobovanie vodíkom v cestnej doprave a zásobovanie zemným plynom v cestnej a vodnej doprave, a ktorým sa zrušuje delegované nariadenie Komisie (EÚ) 2018/674</w:t>
      </w:r>
      <w:r>
        <w:rPr>
          <w:rFonts w:ascii="Times New Roman" w:hAnsi="Times New Roman" w:cs="Times New Roman"/>
        </w:rPr>
        <w:t xml:space="preserve"> (</w:t>
      </w:r>
      <w:r>
        <w:rPr>
          <w:rStyle w:val="Emphasis"/>
          <w:rFonts w:ascii="Times New Roman" w:hAnsi="Times New Roman" w:cs="Times New Roman"/>
          <w:i w:val="0"/>
          <w:szCs w:val="20"/>
        </w:rPr>
        <w:t>Ú. v. EÚ L 268, 22.10.2019, s. 1</w:t>
      </w:r>
      <w:r>
        <w:rPr>
          <w:rFonts w:ascii="Times New Roman" w:hAnsi="Times New Roman" w:cs="Times New Roman"/>
        </w:rPr>
        <w:t>).</w:t>
      </w:r>
    </w:p>
    <w:p w:rsidR="001A4B61" w:rsidRDefault="001A4B6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61" w:rsidRDefault="001A4B6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8426AE6"/>
    <w:multiLevelType w:val="hybridMultilevel"/>
    <w:tmpl w:val="398E8EDC"/>
    <w:lvl w:ilvl="0" w:tplc="B1407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BEF"/>
    <w:multiLevelType w:val="hybridMultilevel"/>
    <w:tmpl w:val="DC74CC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C394B77E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805BF"/>
    <w:multiLevelType w:val="hybridMultilevel"/>
    <w:tmpl w:val="03C4EEAE"/>
    <w:lvl w:ilvl="0" w:tplc="18090015">
      <w:start w:val="1"/>
      <w:numFmt w:val="upperLetter"/>
      <w:lvlText w:val="%1."/>
      <w:lvlJc w:val="left"/>
      <w:pPr>
        <w:ind w:left="30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806" w:hanging="360"/>
      </w:pPr>
    </w:lvl>
    <w:lvl w:ilvl="2" w:tplc="1809001B" w:tentative="1">
      <w:start w:val="1"/>
      <w:numFmt w:val="lowerRoman"/>
      <w:lvlText w:val="%3."/>
      <w:lvlJc w:val="right"/>
      <w:pPr>
        <w:ind w:left="4526" w:hanging="180"/>
      </w:pPr>
    </w:lvl>
    <w:lvl w:ilvl="3" w:tplc="1809000F" w:tentative="1">
      <w:start w:val="1"/>
      <w:numFmt w:val="decimal"/>
      <w:lvlText w:val="%4."/>
      <w:lvlJc w:val="left"/>
      <w:pPr>
        <w:ind w:left="5246" w:hanging="360"/>
      </w:pPr>
    </w:lvl>
    <w:lvl w:ilvl="4" w:tplc="18090019" w:tentative="1">
      <w:start w:val="1"/>
      <w:numFmt w:val="lowerLetter"/>
      <w:lvlText w:val="%5."/>
      <w:lvlJc w:val="left"/>
      <w:pPr>
        <w:ind w:left="5966" w:hanging="360"/>
      </w:pPr>
    </w:lvl>
    <w:lvl w:ilvl="5" w:tplc="1809001B" w:tentative="1">
      <w:start w:val="1"/>
      <w:numFmt w:val="lowerRoman"/>
      <w:lvlText w:val="%6."/>
      <w:lvlJc w:val="right"/>
      <w:pPr>
        <w:ind w:left="6686" w:hanging="180"/>
      </w:pPr>
    </w:lvl>
    <w:lvl w:ilvl="6" w:tplc="1809000F" w:tentative="1">
      <w:start w:val="1"/>
      <w:numFmt w:val="decimal"/>
      <w:lvlText w:val="%7."/>
      <w:lvlJc w:val="left"/>
      <w:pPr>
        <w:ind w:left="7406" w:hanging="360"/>
      </w:pPr>
    </w:lvl>
    <w:lvl w:ilvl="7" w:tplc="18090019" w:tentative="1">
      <w:start w:val="1"/>
      <w:numFmt w:val="lowerLetter"/>
      <w:lvlText w:val="%8."/>
      <w:lvlJc w:val="left"/>
      <w:pPr>
        <w:ind w:left="8126" w:hanging="360"/>
      </w:pPr>
    </w:lvl>
    <w:lvl w:ilvl="8" w:tplc="1809001B" w:tentative="1">
      <w:start w:val="1"/>
      <w:numFmt w:val="lowerRoman"/>
      <w:lvlText w:val="%9."/>
      <w:lvlJc w:val="right"/>
      <w:pPr>
        <w:ind w:left="8846" w:hanging="180"/>
      </w:p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797311"/>
    <w:multiLevelType w:val="hybridMultilevel"/>
    <w:tmpl w:val="30DA8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6C5914"/>
    <w:multiLevelType w:val="hybridMultilevel"/>
    <w:tmpl w:val="FED85268"/>
    <w:lvl w:ilvl="0" w:tplc="351248FC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spacing w:val="12"/>
      </w:rPr>
    </w:lvl>
    <w:lvl w:ilvl="1" w:tplc="D02CAF00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F25E70"/>
    <w:multiLevelType w:val="hybridMultilevel"/>
    <w:tmpl w:val="7472AE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310F77"/>
    <w:multiLevelType w:val="hybridMultilevel"/>
    <w:tmpl w:val="09B4C1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E7066E"/>
    <w:multiLevelType w:val="hybridMultilevel"/>
    <w:tmpl w:val="A5FE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3F705C39"/>
    <w:multiLevelType w:val="hybridMultilevel"/>
    <w:tmpl w:val="A12C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73E4881"/>
    <w:multiLevelType w:val="hybridMultilevel"/>
    <w:tmpl w:val="953CA254"/>
    <w:lvl w:ilvl="0" w:tplc="06D441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A65720"/>
    <w:multiLevelType w:val="hybridMultilevel"/>
    <w:tmpl w:val="54F6CA2E"/>
    <w:lvl w:ilvl="0" w:tplc="351248FC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spacing w:val="12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6" w15:restartNumberingAfterBreak="0">
    <w:nsid w:val="4E832C3F"/>
    <w:multiLevelType w:val="hybridMultilevel"/>
    <w:tmpl w:val="5AD4E508"/>
    <w:lvl w:ilvl="0" w:tplc="BA609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8C36CE8"/>
    <w:multiLevelType w:val="hybridMultilevel"/>
    <w:tmpl w:val="B81C9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62256BC0"/>
    <w:multiLevelType w:val="hybridMultilevel"/>
    <w:tmpl w:val="F8AA42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711C8"/>
    <w:multiLevelType w:val="hybridMultilevel"/>
    <w:tmpl w:val="A7D075A4"/>
    <w:lvl w:ilvl="0" w:tplc="08090017">
      <w:start w:val="1"/>
      <w:numFmt w:val="lowerLetter"/>
      <w:lvlText w:val="%1)"/>
      <w:lvlJc w:val="left"/>
      <w:pPr>
        <w:ind w:left="1202" w:hanging="360"/>
      </w:p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885816"/>
    <w:multiLevelType w:val="hybridMultilevel"/>
    <w:tmpl w:val="FCD080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3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1"/>
  </w:num>
  <w:num w:numId="5">
    <w:abstractNumId w:val="12"/>
  </w:num>
  <w:num w:numId="6">
    <w:abstractNumId w:val="20"/>
  </w:num>
  <w:num w:numId="7">
    <w:abstractNumId w:val="32"/>
  </w:num>
  <w:num w:numId="8">
    <w:abstractNumId w:val="35"/>
  </w:num>
  <w:num w:numId="9">
    <w:abstractNumId w:val="18"/>
  </w:num>
  <w:num w:numId="10">
    <w:abstractNumId w:val="31"/>
  </w:num>
  <w:num w:numId="11">
    <w:abstractNumId w:val="30"/>
  </w:num>
  <w:num w:numId="12">
    <w:abstractNumId w:val="23"/>
  </w:num>
  <w:num w:numId="13">
    <w:abstractNumId w:val="27"/>
  </w:num>
  <w:num w:numId="14">
    <w:abstractNumId w:val="10"/>
  </w:num>
  <w:num w:numId="15">
    <w:abstractNumId w:val="19"/>
  </w:num>
  <w:num w:numId="16">
    <w:abstractNumId w:val="6"/>
  </w:num>
  <w:num w:numId="17">
    <w:abstractNumId w:val="13"/>
  </w:num>
  <w:num w:numId="18">
    <w:abstractNumId w:val="36"/>
  </w:num>
  <w:num w:numId="19">
    <w:abstractNumId w:val="15"/>
  </w:num>
  <w:num w:numId="20">
    <w:abstractNumId w:val="39"/>
  </w:num>
  <w:num w:numId="21">
    <w:abstractNumId w:val="34"/>
  </w:num>
  <w:num w:numId="22">
    <w:abstractNumId w:val="25"/>
  </w:num>
  <w:num w:numId="23">
    <w:abstractNumId w:val="9"/>
  </w:num>
  <w:num w:numId="24">
    <w:abstractNumId w:val="11"/>
  </w:num>
  <w:num w:numId="25">
    <w:abstractNumId w:val="29"/>
    <w:lvlOverride w:ilvl="0">
      <w:startOverride w:val="1"/>
    </w:lvlOverride>
  </w:num>
  <w:num w:numId="26">
    <w:abstractNumId w:val="14"/>
  </w:num>
  <w:num w:numId="27">
    <w:abstractNumId w:val="5"/>
  </w:num>
  <w:num w:numId="28">
    <w:abstractNumId w:val="26"/>
  </w:num>
  <w:num w:numId="29">
    <w:abstractNumId w:val="3"/>
  </w:num>
  <w:num w:numId="30">
    <w:abstractNumId w:val="16"/>
  </w:num>
  <w:num w:numId="31">
    <w:abstractNumId w:val="8"/>
  </w:num>
  <w:num w:numId="32">
    <w:abstractNumId w:val="28"/>
  </w:num>
  <w:num w:numId="33">
    <w:abstractNumId w:val="33"/>
  </w:num>
  <w:num w:numId="34">
    <w:abstractNumId w:val="17"/>
  </w:num>
  <w:num w:numId="35">
    <w:abstractNumId w:val="22"/>
  </w:num>
  <w:num w:numId="36">
    <w:abstractNumId w:val="4"/>
  </w:num>
  <w:num w:numId="37">
    <w:abstractNumId w:val="2"/>
  </w:num>
  <w:num w:numId="38">
    <w:abstractNumId w:val="37"/>
  </w:num>
  <w:num w:numId="3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DFE2205-BD42-4C2D-9EA9-EEAEF7EFBB9A"/>
    <w:docVar w:name="LW_COVERPAGE_TYPE" w:val="1"/>
    <w:docVar w:name="LW_CROSSREFERENCE" w:val="&lt;UNUSED&gt;"/>
    <w:docVar w:name="LW_DocType" w:val="REP"/>
    <w:docVar w:name="LW_EMISSION" w:val="19. 11. 2019"/>
    <w:docVar w:name="LW_EMISSION_ISODATE" w:val="2019-11-19"/>
    <w:docVar w:name="LW_EMISSION_LOCATION" w:val="BRX"/>
    <w:docVar w:name="LW_EMISSION_PREFIX" w:val="V Bruseli"/>
    <w:docVar w:name="LW_EMISSION_SUFFIX" w:val=" "/>
    <w:docVar w:name="LW_ID_DOCTYPE_NONLW" w:val="CP-00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5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o výkone právomoci prijíma\u357? delegované akty udelenej Komisii pod\u318?a smernice Európskeho parlamentu a Rady 2014/94/EÚ z 22. októbra 2014 o zavádzaní infra\u353?truktúry pre alternatívne palivá&lt;/FMT&gt;_x000d__x000d__x000b_"/>
    <w:docVar w:name="LW_TYPE.DOC.CP" w:val="SPRÁVA KOMISIE EURÓPSKEMU PARLAMENTU A RADE"/>
  </w:docVars>
  <w:rsids>
    <w:rsidRoot w:val="001A4B61"/>
    <w:rsid w:val="001A4B61"/>
    <w:rsid w:val="001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E344BAE-0E93-4A76-9048-38EE76B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  <w:rPr>
      <w:rFonts w:ascii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ind w:left="952" w:hanging="476"/>
    </w:p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</w:pPr>
  </w:style>
  <w:style w:type="character" w:styleId="PageNumber">
    <w:name w:val="page number"/>
    <w:basedOn w:val="DefaultParagraphFont"/>
    <w:uiPriority w:val="99"/>
    <w:semiHidden/>
    <w:unhideWhenUsed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nsidrant">
    <w:name w:val="Considérant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  <w:lang w:eastAsia="en-US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eastAsiaTheme="minorHAnsi"/>
      <w:b/>
      <w:sz w:val="32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  <w:lang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eastAsiaTheme="minorHAnsi"/>
      <w:b/>
      <w:sz w:val="32"/>
      <w:szCs w:val="22"/>
      <w:lang w:eastAsia="en-US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art">
    <w:name w:val="ti-ar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customStyle="1" w:styleId="Tiret0">
    <w:name w:val="Tiret 0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3">
    <w:name w:val="Tiret 3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uriserv:OJ.L_.2018.114.01.0001.01.E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urolookProperties>
  <ProductCustomizationId/>
  <Created>
    <Version>4.6</Version>
    <Date>2019-06-07T13:06:23</Date>
    <Language>EN</Language>
  </Created>
  <Edited>
    <Version>10.0.40183.0</Version>
    <Date>2019-11-19T11:29:53</Date>
  </Edited>
  <DocumentModel>
    <Id>6cbda13a-4db2-46c6-876a-ef72275827ef</Id>
    <Name>Report</Name>
  </DocumentModel>
  <DocumentDate/>
  <DocumentVersion/>
  <CompatibilityMode>Eurolook4X</CompatibilityMode>
  <Address/>
</EurolookProperties>
</file>

<file path=customXml/item2.xml><?xml version="1.0" encoding="utf-8"?>
<Author Role="Creator">
  <Id>751c4b5e-1cf5-4f61-b2e7-6cc821cbb6fe</Id>
  <Names>
    <Latin>
      <FirstName>Herald</FirstName>
      <LastName>RUIJTERS</LastName>
    </Latin>
    <Greek>
      <FirstName/>
      <LastName/>
    </Greek>
    <Cyrillic>
      <FirstName/>
      <LastName/>
    </Cyrillic>
    <DocumentScript>
      <FirstName>Herald</FirstName>
      <LastName>RUIJTERS</LastName>
      <FullName>Herald RUIJTERS</FullName>
    </DocumentScript>
  </Names>
  <Initials>HR</Initials>
  <Gender>m</Gender>
  <Email>Herald.RUIJTERS@ec.europa.eu</Email>
  <Service>MOVE.DDG1.B</Service>
  <Function ShowInSignature="false">Director</Function>
  <WebAddress/>
  <InheritedWebAddress>WebAddress</InheritedWebAddress>
  <OrgaEntity1>
    <Id>ea1c3ed3-e8e7-4193-871c-fb723702a017</Id>
    <LogicalLevel>1</LogicalLevel>
    <Name>MOVE</Name>
    <HeadLine1>DIRECTORATE-GENERAL FOR MOBILITY AND TRANSPORT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14d4d6da-d69c-4940-972d-a6e5b743c263</Id>
    <LogicalLevel>2</LogicalLevel>
    <Name>MOVE.DDG1.B</Name>
    <HeadLine1>Directorate B - Investment, Innovative &amp; Sustainable Transport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f6e386b3-212f-490a-a5ed-9eb35f3ff909</Id>
    <LogicalLevel>3</LogicalLevel>
    <Name>MOVE.DDG1.B</Name>
    <HeadLine1>The Director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+32 229 68372</Phone>
    <Office>DM28 06/109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+32 229 68372</Phone>
      <Office>DM28 06/109</Office>
    </Workplace>
  </Workplaces>
</Author>
</file>

<file path=customXml/item3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420F-9BCB-4B8D-8367-718BBE15CE73}">
  <ds:schemaRefs/>
</ds:datastoreItem>
</file>

<file path=customXml/itemProps2.xml><?xml version="1.0" encoding="utf-8"?>
<ds:datastoreItem xmlns:ds="http://schemas.openxmlformats.org/officeDocument/2006/customXml" ds:itemID="{AB0ECA16-6294-4FDC-AAFB-1966959CF558}">
  <ds:schemaRefs/>
</ds:datastoreItem>
</file>

<file path=customXml/itemProps3.xml><?xml version="1.0" encoding="utf-8"?>
<ds:datastoreItem xmlns:ds="http://schemas.openxmlformats.org/officeDocument/2006/customXml" ds:itemID="{B85048A5-D475-4A7B-B5B1-D79BC785FA0C}">
  <ds:schemaRefs/>
</ds:datastoreItem>
</file>

<file path=customXml/itemProps4.xml><?xml version="1.0" encoding="utf-8"?>
<ds:datastoreItem xmlns:ds="http://schemas.openxmlformats.org/officeDocument/2006/customXml" ds:itemID="{2B4ACE80-3616-4C63-8DBC-AB3832DA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101</TotalTime>
  <Pages>8</Pages>
  <Words>1865</Words>
  <Characters>10973</Characters>
  <Application>Microsoft Office Word</Application>
  <DocSecurity>0</DocSecurity>
  <PresentationFormat>Microsoft Word 14.0</PresentationFormat>
  <Lines>211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EL4</cp:keywords>
  <cp:lastModifiedBy>TORRE UNGUREANU Ana-Claudia (SG)</cp:lastModifiedBy>
  <cp:revision>24</cp:revision>
  <cp:lastPrinted>2019-09-30T13:19:00Z</cp:lastPrinted>
  <dcterms:created xsi:type="dcterms:W3CDTF">2019-11-14T12:15:00Z</dcterms:created>
  <dcterms:modified xsi:type="dcterms:W3CDTF">2019-11-19T10:29:00Z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anguage">
    <vt:lpwstr>EN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CP-006</vt:lpwstr>
  </property>
  <property fmtid="{D5CDD505-2E9C-101B-9397-08002B2CF9AE}" pid="10" name="_LW_INVALIDATED__LW_INVALIDATED__LW_INVALIDATED__LW_INVALIDATED_TemplateVersion">
    <vt:lpwstr>4.6.5.1000</vt:lpwstr>
  </property>
  <property fmtid="{D5CDD505-2E9C-101B-9397-08002B2CF9AE}" pid="11" name="_LW_INVALIDATED__LW_INVALIDATED__LW_INVALIDATED__LW_INVALIDATED_EurolookVersion">
    <vt:lpwstr>4.6</vt:lpwstr>
  </property>
  <property fmtid="{D5CDD505-2E9C-101B-9397-08002B2CF9AE}" pid="12" name="_LW_INVALIDATED__LW_INVALIDATED__LW_INVALIDATED__LW_INVALIDATED_DocID_EU">
    <vt:lpwstr> </vt:lpwstr>
  </property>
  <property fmtid="{D5CDD505-2E9C-101B-9397-08002B2CF9AE}" pid="13" name="_LW_INVALIDATED__LW_INVALIDATED__LW_INVALIDATED__LW_INVALIDATED_ELDocType">
    <vt:lpwstr>rep.dot</vt:lpwstr>
  </property>
  <property fmtid="{D5CDD505-2E9C-101B-9397-08002B2CF9AE}" pid="14" name="_LW_INVALIDATED__LW_INVALIDATED__LW_INVALIDATED__LW_INVALIDATED_Formatting">
    <vt:lpwstr>4.1</vt:lpwstr>
  </property>
  <property fmtid="{D5CDD505-2E9C-101B-9397-08002B2CF9AE}" pid="15" name="_LW_INVALIDATED__LW_INVALIDATED__LW_INVALIDATED__LW_INVALIDATED_EL_Author">
    <vt:lpwstr>Herald RUIJTERS</vt:lpwstr>
  </property>
  <property fmtid="{D5CDD505-2E9C-101B-9397-08002B2CF9AE}" pid="16" name="_LW_INVALIDATED__LW_INVALIDATED__LW_INVALIDATED__LW_INVALIDATED_Type">
    <vt:lpwstr>Eurolook Report</vt:lpwstr>
  </property>
  <property fmtid="{D5CDD505-2E9C-101B-9397-08002B2CF9AE}" pid="17" name="_LW_INVALIDATED__LW_INVALIDATED__LW_INVALIDATED__LW_INVALIDATED_EL_Language">
    <vt:lpwstr>EN</vt:lpwstr>
  </property>
</Properties>
</file>