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3E" w:rsidRDefault="00AE6C58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ECDEDE-6E1A-48DA-9D28-15EC4E9C26A3" style="width:450.25pt;height:321.45pt">
            <v:imagedata r:id="rId11" o:title=""/>
          </v:shape>
        </w:pict>
      </w:r>
    </w:p>
    <w:bookmarkEnd w:id="0"/>
    <w:p w:rsidR="00D6303E" w:rsidRDefault="00D6303E">
      <w:pPr>
        <w:pStyle w:val="Pagedecouverture"/>
        <w:rPr>
          <w:noProof/>
        </w:rPr>
        <w:sectPr w:rsidR="00D6303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299"/>
        </w:sectPr>
      </w:pPr>
    </w:p>
    <w:p w:rsidR="00D6303E" w:rsidRDefault="00AE6C58">
      <w:pPr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IZVJEŠĆE KOMISIJE EUROPSKOM PARLAMENTU I VIJEĆU</w:t>
      </w:r>
    </w:p>
    <w:p w:rsidR="00D6303E" w:rsidRDefault="00AE6C58">
      <w:pPr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o izvršavanju ovlasti za donošenje delegiranih akata dodijeljene Komisiji na temelju Direktive </w:t>
      </w:r>
      <w:r>
        <w:rPr>
          <w:rFonts w:ascii="Times New Roman" w:hAnsi="Times New Roman"/>
          <w:b/>
          <w:noProof/>
          <w:sz w:val="24"/>
          <w:szCs w:val="24"/>
        </w:rPr>
        <w:t>2014/94/EU Europskog parlamenta i Vijeća od 22. listopada 2014. o uspostavi infrastrukture za alternativna goriva</w:t>
      </w:r>
    </w:p>
    <w:p w:rsidR="00D6303E" w:rsidRDefault="00AE6C58">
      <w:pPr>
        <w:pStyle w:val="Heading1"/>
        <w:rPr>
          <w:rFonts w:ascii="Times New Roman" w:hAnsi="Times New Roman" w:cs="Times New Roman"/>
          <w:smallCaps w:val="0"/>
          <w:noProof/>
          <w:sz w:val="24"/>
          <w:szCs w:val="24"/>
        </w:rPr>
      </w:pPr>
      <w:r>
        <w:rPr>
          <w:rFonts w:ascii="Times New Roman" w:hAnsi="Times New Roman"/>
          <w:smallCaps w:val="0"/>
          <w:noProof/>
        </w:rPr>
        <w:t>UVOD</w:t>
      </w:r>
    </w:p>
    <w:p w:rsidR="00D6303E" w:rsidRDefault="00AE6C58">
      <w:pPr>
        <w:pStyle w:val="Text1"/>
        <w:ind w:left="0"/>
        <w:jc w:val="both"/>
        <w:rPr>
          <w:noProof/>
        </w:rPr>
      </w:pPr>
      <w:r>
        <w:rPr>
          <w:noProof/>
        </w:rPr>
        <w:t>Direktivom 2014/94/EU Europskog parlamenta i Vijeća od 22. listopada 2014. o uspostavi infrastrukture za alternativna goriva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utvrđuju se</w:t>
      </w:r>
      <w:r>
        <w:rPr>
          <w:noProof/>
        </w:rPr>
        <w:t xml:space="preserve"> minimalni zahtjevi za izgradnju infrastrukture za alternativna goriva, uključujući mjesta za punjenje električnih vozila i mjesta za opskrbu prirodnim plinom (UPP i SPP) i vodikom. Člankom 4. stavcima 4. i 6., člankom 5. stavkom 2. i člankom 6. stavkom 9.</w:t>
      </w:r>
      <w:r>
        <w:rPr>
          <w:noProof/>
        </w:rPr>
        <w:t xml:space="preserve"> Direktive propisano je da takva mjesta za punjenje i opskrbu, koja su postavljena ili obnovljena od 18. studenoga 2017., moraju ispunjavati barem tehničke specifikacije iz Priloga II. Direktivi. </w:t>
      </w:r>
    </w:p>
    <w:p w:rsidR="00D6303E" w:rsidRDefault="00AE6C58">
      <w:pPr>
        <w:pStyle w:val="Text1"/>
        <w:ind w:left="0"/>
        <w:jc w:val="both"/>
        <w:rPr>
          <w:noProof/>
        </w:rPr>
      </w:pPr>
      <w:r>
        <w:rPr>
          <w:noProof/>
        </w:rPr>
        <w:t>U skladu s člankom 8. Direktive Komisija je ovlaštena za do</w:t>
      </w:r>
      <w:r>
        <w:rPr>
          <w:noProof/>
        </w:rPr>
        <w:t>nošenje delegiranih akata iz:</w:t>
      </w:r>
    </w:p>
    <w:p w:rsidR="00D6303E" w:rsidRDefault="00AE6C58">
      <w:pPr>
        <w:pStyle w:val="Text1"/>
        <w:numPr>
          <w:ilvl w:val="0"/>
          <w:numId w:val="28"/>
        </w:numPr>
        <w:jc w:val="both"/>
        <w:rPr>
          <w:noProof/>
        </w:rPr>
      </w:pPr>
      <w:r>
        <w:rPr>
          <w:noProof/>
        </w:rPr>
        <w:t>članka 4. stavka 14. radi:</w:t>
      </w:r>
    </w:p>
    <w:p w:rsidR="00D6303E" w:rsidRDefault="00AE6C58">
      <w:pPr>
        <w:pStyle w:val="Text1"/>
        <w:numPr>
          <w:ilvl w:val="0"/>
          <w:numId w:val="21"/>
        </w:numPr>
        <w:ind w:left="993"/>
        <w:jc w:val="both"/>
        <w:rPr>
          <w:noProof/>
        </w:rPr>
      </w:pPr>
      <w:r>
        <w:rPr>
          <w:noProof/>
        </w:rPr>
        <w:t xml:space="preserve">dopune tog članka i točaka 1.3., 1.4., 1.5., 1.6. i 1.8. Priloga II. kako bi se zahtijevala usklađenost infrastrukture koju treba postaviti ili obnoviti, s tehničkim specifikacijama u normama koje </w:t>
      </w:r>
      <w:r>
        <w:rPr>
          <w:noProof/>
        </w:rPr>
        <w:t>izrađuju relevantne europske organizacije za normizaciju (ESO-i)</w:t>
      </w:r>
      <w:r>
        <w:rPr>
          <w:rStyle w:val="FootnoteReference"/>
          <w:noProof/>
        </w:rPr>
        <w:footnoteReference w:id="2"/>
      </w:r>
    </w:p>
    <w:p w:rsidR="00D6303E" w:rsidRDefault="00AE6C58">
      <w:pPr>
        <w:pStyle w:val="Text1"/>
        <w:numPr>
          <w:ilvl w:val="0"/>
          <w:numId w:val="21"/>
        </w:numPr>
        <w:ind w:left="993"/>
        <w:jc w:val="both"/>
        <w:rPr>
          <w:noProof/>
        </w:rPr>
      </w:pPr>
      <w:r>
        <w:rPr>
          <w:noProof/>
        </w:rPr>
        <w:t>ažuriranja upućivanja na norme iz tehničkih specifikacija koje su utvrđene ili koje treba utvrditi u točki 1. Priloga II. ako su te norme zamijenjene njihovim novim inačicama koje su donijel</w:t>
      </w:r>
      <w:r>
        <w:rPr>
          <w:noProof/>
        </w:rPr>
        <w:t>e relevantne europske ili međunarodne organizacije za normizaciju,</w:t>
      </w:r>
    </w:p>
    <w:p w:rsidR="00D6303E" w:rsidRDefault="00AE6C58">
      <w:pPr>
        <w:pStyle w:val="Text1"/>
        <w:numPr>
          <w:ilvl w:val="0"/>
          <w:numId w:val="28"/>
        </w:numPr>
        <w:jc w:val="both"/>
        <w:rPr>
          <w:noProof/>
        </w:rPr>
      </w:pPr>
      <w:r>
        <w:rPr>
          <w:noProof/>
        </w:rPr>
        <w:t>članka 5. stavka 3. radi ažuriranja upućivanja na norme iz tehničkih specifikacija koje su utvrđene u točki 2. Priloga II. ako su te norme zamijenjene njihovim novim inačicama koje su donij</w:t>
      </w:r>
      <w:r>
        <w:rPr>
          <w:noProof/>
        </w:rPr>
        <w:t>ele relevantne organizacije za normizaciju,</w:t>
      </w:r>
    </w:p>
    <w:p w:rsidR="00D6303E" w:rsidRDefault="00AE6C58">
      <w:pPr>
        <w:pStyle w:val="Text1"/>
        <w:numPr>
          <w:ilvl w:val="0"/>
          <w:numId w:val="28"/>
        </w:numPr>
        <w:jc w:val="both"/>
        <w:rPr>
          <w:noProof/>
        </w:rPr>
      </w:pPr>
      <w:r>
        <w:rPr>
          <w:noProof/>
        </w:rPr>
        <w:t>članka 6. stavka 11. radi:</w:t>
      </w:r>
    </w:p>
    <w:p w:rsidR="00D6303E" w:rsidRDefault="00AE6C58">
      <w:pPr>
        <w:pStyle w:val="Text1"/>
        <w:ind w:left="720"/>
        <w:jc w:val="both"/>
        <w:rPr>
          <w:noProof/>
        </w:rPr>
      </w:pPr>
      <w:r>
        <w:rPr>
          <w:noProof/>
        </w:rPr>
        <w:t xml:space="preserve">dopune tog članka i točaka 3.1., 3.2. i 3.4. Priloga II. kako bi se zahtijevala usklađenost infrastrukture koju treba postaviti ili obnoviti, s tehničkim specifikacijama u normama koje </w:t>
      </w:r>
      <w:r>
        <w:rPr>
          <w:noProof/>
        </w:rPr>
        <w:t>izrađuju relevantni ESO-i,</w:t>
      </w:r>
    </w:p>
    <w:p w:rsidR="00D6303E" w:rsidRDefault="00AE6C58">
      <w:pPr>
        <w:pStyle w:val="Text1"/>
        <w:ind w:left="720"/>
        <w:jc w:val="both"/>
        <w:rPr>
          <w:noProof/>
        </w:rPr>
      </w:pPr>
      <w:r>
        <w:rPr>
          <w:noProof/>
        </w:rPr>
        <w:t>ažuriranja upućivanja na norme iz tehničkih specifikacija koje su utvrđene ili koje treba utvrditi u točki 3. Priloga II. ako su te norme zamijenjene njihovim novim inačicama koje su donijele relevantne europske ili međunarodne o</w:t>
      </w:r>
      <w:r>
        <w:rPr>
          <w:noProof/>
        </w:rPr>
        <w:t>rganizacije za normizaciju,</w:t>
      </w:r>
    </w:p>
    <w:p w:rsidR="00D6303E" w:rsidRDefault="00AE6C58">
      <w:pPr>
        <w:pStyle w:val="Text1"/>
        <w:ind w:left="720"/>
        <w:jc w:val="both"/>
        <w:rPr>
          <w:noProof/>
        </w:rPr>
      </w:pPr>
      <w:r>
        <w:rPr>
          <w:noProof/>
        </w:rPr>
        <w:lastRenderedPageBreak/>
        <w:t>članka 6. stavka 12. radi utvrđivanja:</w:t>
      </w:r>
    </w:p>
    <w:p w:rsidR="00D6303E" w:rsidRDefault="00AE6C58">
      <w:pPr>
        <w:pStyle w:val="Text1"/>
        <w:ind w:left="720"/>
        <w:jc w:val="both"/>
        <w:rPr>
          <w:noProof/>
        </w:rPr>
      </w:pPr>
      <w:r>
        <w:rPr>
          <w:noProof/>
        </w:rPr>
        <w:t>- zahtjeva za sučelja spremnika za UPP u pomorskom prometu i prometu unutarnjim vodnim putovima</w:t>
      </w:r>
    </w:p>
    <w:p w:rsidR="00D6303E" w:rsidRDefault="00AE6C58">
      <w:pPr>
        <w:pStyle w:val="Text1"/>
        <w:ind w:left="720"/>
        <w:jc w:val="both"/>
        <w:rPr>
          <w:noProof/>
        </w:rPr>
      </w:pPr>
      <w:r>
        <w:rPr>
          <w:noProof/>
        </w:rPr>
        <w:t>- zahtjeva povezanih sa sigurnosnim aspektima postupaka čuvanja i skladištenja UPP-a na kopnu</w:t>
      </w:r>
      <w:r>
        <w:rPr>
          <w:noProof/>
        </w:rPr>
        <w:t xml:space="preserve"> za pomorski promet i promet unutarnjim vodnim putovima.</w:t>
      </w:r>
    </w:p>
    <w:p w:rsidR="00D6303E" w:rsidRDefault="00AE6C58">
      <w:pPr>
        <w:pStyle w:val="Text1"/>
        <w:ind w:left="0"/>
        <w:jc w:val="both"/>
        <w:rPr>
          <w:noProof/>
        </w:rPr>
      </w:pPr>
      <w:r>
        <w:rPr>
          <w:noProof/>
        </w:rPr>
        <w:t>Direktivom 2014/94/EU već su utvrđene minimalne tehničke specifikacije za neke dijelove infrastrukturnih mreža za alternativna goriva, uključujući:</w:t>
      </w:r>
    </w:p>
    <w:p w:rsidR="00D6303E" w:rsidRDefault="00AE6C58">
      <w:pPr>
        <w:pStyle w:val="Text1"/>
        <w:numPr>
          <w:ilvl w:val="0"/>
          <w:numId w:val="30"/>
        </w:numPr>
        <w:jc w:val="both"/>
        <w:rPr>
          <w:noProof/>
        </w:rPr>
      </w:pPr>
      <w:r>
        <w:rPr>
          <w:noProof/>
        </w:rPr>
        <w:t>mjesta za punjenje motornih vozila male i visoke sn</w:t>
      </w:r>
      <w:r>
        <w:rPr>
          <w:noProof/>
        </w:rPr>
        <w:t>age (točke 1.1. i 1.2. Priloga II.)</w:t>
      </w:r>
    </w:p>
    <w:p w:rsidR="00D6303E" w:rsidRDefault="00AE6C58">
      <w:pPr>
        <w:pStyle w:val="Text1"/>
        <w:numPr>
          <w:ilvl w:val="0"/>
          <w:numId w:val="30"/>
        </w:numPr>
        <w:jc w:val="both"/>
        <w:rPr>
          <w:noProof/>
        </w:rPr>
      </w:pPr>
      <w:r>
        <w:rPr>
          <w:noProof/>
        </w:rPr>
        <w:t>opskrbu električnom energijom s kopna za morske brodove (točka 1.7. Priloga II.)</w:t>
      </w:r>
    </w:p>
    <w:p w:rsidR="00D6303E" w:rsidRDefault="00AE6C58">
      <w:pPr>
        <w:pStyle w:val="Text1"/>
        <w:numPr>
          <w:ilvl w:val="0"/>
          <w:numId w:val="30"/>
        </w:numPr>
        <w:jc w:val="both"/>
        <w:rPr>
          <w:noProof/>
        </w:rPr>
      </w:pPr>
      <w:r>
        <w:rPr>
          <w:noProof/>
        </w:rPr>
        <w:t>mjesta za opskrbu motornih vozila vodikom (točka 2. Priloga II.)</w:t>
      </w:r>
    </w:p>
    <w:p w:rsidR="00D6303E" w:rsidRDefault="00AE6C58">
      <w:pPr>
        <w:pStyle w:val="Text1"/>
        <w:numPr>
          <w:ilvl w:val="0"/>
          <w:numId w:val="30"/>
        </w:numPr>
        <w:jc w:val="both"/>
        <w:rPr>
          <w:noProof/>
        </w:rPr>
      </w:pPr>
      <w:r>
        <w:rPr>
          <w:noProof/>
        </w:rPr>
        <w:t xml:space="preserve">priključke/posude za stlačeni prirodni plin (SPP) (točka 3.3. Priloga II.). </w:t>
      </w:r>
    </w:p>
    <w:p w:rsidR="00D6303E" w:rsidRDefault="00AE6C58">
      <w:pPr>
        <w:pStyle w:val="Text1"/>
        <w:ind w:left="60"/>
        <w:jc w:val="both"/>
        <w:rPr>
          <w:noProof/>
        </w:rPr>
      </w:pPr>
      <w:r>
        <w:rPr>
          <w:noProof/>
        </w:rPr>
        <w:t>Te su odredbe već pridonijele uspostavljanju sigurnosti za ulaganja na tržištu. Međutim, u Direktivi se u Prilogu II. navode dodatne potrebe za utvrđivanjem tehničkih specifikacij</w:t>
      </w:r>
      <w:r>
        <w:rPr>
          <w:noProof/>
        </w:rPr>
        <w:t>a u područjima u kojima još ne postoje upućivanja na norme, uključujući:</w:t>
      </w:r>
    </w:p>
    <w:p w:rsidR="00D6303E" w:rsidRDefault="00AE6C58">
      <w:pPr>
        <w:pStyle w:val="Text1"/>
        <w:numPr>
          <w:ilvl w:val="0"/>
          <w:numId w:val="31"/>
        </w:numPr>
        <w:jc w:val="both"/>
        <w:rPr>
          <w:noProof/>
        </w:rPr>
      </w:pPr>
      <w:r>
        <w:rPr>
          <w:noProof/>
        </w:rPr>
        <w:t>bežična mjesta za punjenje motornih vozila (točka 1.3. Priloga II.)</w:t>
      </w:r>
    </w:p>
    <w:p w:rsidR="00D6303E" w:rsidRDefault="00AE6C58">
      <w:pPr>
        <w:pStyle w:val="Text1"/>
        <w:numPr>
          <w:ilvl w:val="0"/>
          <w:numId w:val="31"/>
        </w:numPr>
        <w:jc w:val="both"/>
        <w:rPr>
          <w:noProof/>
        </w:rPr>
      </w:pPr>
      <w:r>
        <w:rPr>
          <w:noProof/>
        </w:rPr>
        <w:t>zamjenu baterija za motorna vozila (točka 1.4. Priloga II.)</w:t>
      </w:r>
    </w:p>
    <w:p w:rsidR="00D6303E" w:rsidRDefault="00AE6C58">
      <w:pPr>
        <w:pStyle w:val="Text1"/>
        <w:numPr>
          <w:ilvl w:val="0"/>
          <w:numId w:val="31"/>
        </w:numPr>
        <w:jc w:val="both"/>
        <w:rPr>
          <w:noProof/>
        </w:rPr>
      </w:pPr>
      <w:r>
        <w:rPr>
          <w:noProof/>
        </w:rPr>
        <w:t>mjesta za punjenje motornih vozila kategorije L (točka </w:t>
      </w:r>
      <w:r>
        <w:rPr>
          <w:noProof/>
        </w:rPr>
        <w:t>1.5. Priloga II.)</w:t>
      </w:r>
    </w:p>
    <w:p w:rsidR="00D6303E" w:rsidRDefault="00AE6C58">
      <w:pPr>
        <w:pStyle w:val="Text1"/>
        <w:numPr>
          <w:ilvl w:val="0"/>
          <w:numId w:val="31"/>
        </w:numPr>
        <w:jc w:val="both"/>
        <w:rPr>
          <w:noProof/>
        </w:rPr>
      </w:pPr>
      <w:r>
        <w:rPr>
          <w:noProof/>
        </w:rPr>
        <w:t>mjesta za punjenje električnih autobusa (točka 1.6. Priloga II.)</w:t>
      </w:r>
    </w:p>
    <w:p w:rsidR="00D6303E" w:rsidRDefault="00AE6C58">
      <w:pPr>
        <w:pStyle w:val="Text1"/>
        <w:numPr>
          <w:ilvl w:val="0"/>
          <w:numId w:val="31"/>
        </w:numPr>
        <w:jc w:val="both"/>
        <w:rPr>
          <w:noProof/>
        </w:rPr>
      </w:pPr>
      <w:r>
        <w:rPr>
          <w:noProof/>
        </w:rPr>
        <w:t>opskrbu električnom energijom s kopna za plovila na unutarnjim vodnim putovima (točka 1.8. Priloga II.)</w:t>
      </w:r>
    </w:p>
    <w:p w:rsidR="00D6303E" w:rsidRDefault="00AE6C58">
      <w:pPr>
        <w:pStyle w:val="Text1"/>
        <w:numPr>
          <w:ilvl w:val="0"/>
          <w:numId w:val="31"/>
        </w:numPr>
        <w:jc w:val="both"/>
        <w:rPr>
          <w:noProof/>
        </w:rPr>
      </w:pPr>
      <w:r>
        <w:rPr>
          <w:noProof/>
        </w:rPr>
        <w:t>mjesta za opskrbu UPP-om za plovila na unutarnjim vodnim putovima, mo</w:t>
      </w:r>
      <w:r>
        <w:rPr>
          <w:noProof/>
        </w:rPr>
        <w:t xml:space="preserve">rske brodove i motorna vozila (točke 3.1. i 3.2. Priloga II.) </w:t>
      </w:r>
    </w:p>
    <w:p w:rsidR="00D6303E" w:rsidRDefault="00AE6C58">
      <w:pPr>
        <w:pStyle w:val="Text1"/>
        <w:numPr>
          <w:ilvl w:val="0"/>
          <w:numId w:val="31"/>
        </w:numPr>
        <w:jc w:val="both"/>
        <w:rPr>
          <w:noProof/>
        </w:rPr>
      </w:pPr>
      <w:r>
        <w:rPr>
          <w:noProof/>
        </w:rPr>
        <w:t>mjesta za opskrbu motornih vozila SPP-om (točka 3.4. Priloga II.).</w:t>
      </w:r>
    </w:p>
    <w:p w:rsidR="00D6303E" w:rsidRDefault="00AE6C58">
      <w:pPr>
        <w:pStyle w:val="Text1"/>
        <w:ind w:left="60"/>
        <w:jc w:val="both"/>
        <w:rPr>
          <w:noProof/>
        </w:rPr>
      </w:pPr>
      <w:r>
        <w:rPr>
          <w:noProof/>
        </w:rPr>
        <w:t>Osim toga, već postojeće tehničke specifikacije za:</w:t>
      </w:r>
    </w:p>
    <w:p w:rsidR="00D6303E" w:rsidRDefault="00AE6C58">
      <w:pPr>
        <w:pStyle w:val="Text1"/>
        <w:numPr>
          <w:ilvl w:val="0"/>
          <w:numId w:val="32"/>
        </w:numPr>
        <w:jc w:val="both"/>
        <w:rPr>
          <w:noProof/>
        </w:rPr>
      </w:pPr>
      <w:r>
        <w:rPr>
          <w:noProof/>
        </w:rPr>
        <w:t>vanjska mjesta za opskrbu vodikom (točka 2.1. Priloga II.)</w:t>
      </w:r>
    </w:p>
    <w:p w:rsidR="00D6303E" w:rsidRDefault="00AE6C58">
      <w:pPr>
        <w:pStyle w:val="Text1"/>
        <w:numPr>
          <w:ilvl w:val="0"/>
          <w:numId w:val="32"/>
        </w:numPr>
        <w:jc w:val="both"/>
        <w:rPr>
          <w:noProof/>
        </w:rPr>
      </w:pPr>
      <w:r>
        <w:rPr>
          <w:noProof/>
        </w:rPr>
        <w:t xml:space="preserve">čistoću vodika </w:t>
      </w:r>
      <w:r>
        <w:rPr>
          <w:noProof/>
        </w:rPr>
        <w:t>dostupnog na mjestima za opskrbu vodikom (točka 2.2. Priloga II.)</w:t>
      </w:r>
    </w:p>
    <w:p w:rsidR="00D6303E" w:rsidRDefault="00AE6C58">
      <w:pPr>
        <w:pStyle w:val="Text1"/>
        <w:numPr>
          <w:ilvl w:val="0"/>
          <w:numId w:val="32"/>
        </w:numPr>
        <w:jc w:val="both"/>
        <w:rPr>
          <w:noProof/>
        </w:rPr>
      </w:pPr>
      <w:r>
        <w:rPr>
          <w:noProof/>
        </w:rPr>
        <w:t xml:space="preserve"> algoritme i opremu za punjenje vodikom (točka 2.3. Priloga II.)</w:t>
      </w:r>
    </w:p>
    <w:p w:rsidR="00D6303E" w:rsidRDefault="00AE6C58">
      <w:pPr>
        <w:pStyle w:val="Text1"/>
        <w:numPr>
          <w:ilvl w:val="0"/>
          <w:numId w:val="32"/>
        </w:numPr>
        <w:jc w:val="both"/>
        <w:rPr>
          <w:noProof/>
        </w:rPr>
      </w:pPr>
      <w:r>
        <w:rPr>
          <w:noProof/>
        </w:rPr>
        <w:t>priključke za opskrbu motornih vozila plinovitim vodikom (točka 2.4. Priloga II.) i</w:t>
      </w:r>
    </w:p>
    <w:p w:rsidR="00D6303E" w:rsidRDefault="00AE6C58">
      <w:pPr>
        <w:pStyle w:val="Text1"/>
        <w:numPr>
          <w:ilvl w:val="0"/>
          <w:numId w:val="32"/>
        </w:numPr>
        <w:jc w:val="both"/>
        <w:rPr>
          <w:noProof/>
        </w:rPr>
      </w:pPr>
      <w:r>
        <w:rPr>
          <w:noProof/>
        </w:rPr>
        <w:t>priključke/posude za SPP (točka 3.3. Pril</w:t>
      </w:r>
      <w:r>
        <w:rPr>
          <w:noProof/>
        </w:rPr>
        <w:t>oga II.)</w:t>
      </w:r>
    </w:p>
    <w:p w:rsidR="00D6303E" w:rsidRDefault="00AE6C58">
      <w:pPr>
        <w:pStyle w:val="Text1"/>
        <w:ind w:left="0"/>
        <w:jc w:val="both"/>
        <w:rPr>
          <w:noProof/>
        </w:rPr>
      </w:pPr>
      <w:r>
        <w:rPr>
          <w:noProof/>
        </w:rPr>
        <w:t xml:space="preserve">ažurirane su jer su relevantne europske organizacije za normizaciju donijele nove inačice odgovarajućih normi. </w:t>
      </w:r>
    </w:p>
    <w:p w:rsidR="00D6303E" w:rsidRDefault="00D6303E">
      <w:pPr>
        <w:pStyle w:val="Text1"/>
        <w:ind w:left="0"/>
        <w:jc w:val="both"/>
        <w:rPr>
          <w:noProof/>
        </w:rPr>
      </w:pPr>
    </w:p>
    <w:p w:rsidR="00D6303E" w:rsidRDefault="00AE6C58">
      <w:pPr>
        <w:pStyle w:val="Heading1"/>
        <w:rPr>
          <w:rFonts w:ascii="Times New Roman" w:hAnsi="Times New Roman" w:cs="Times New Roman"/>
          <w:smallCaps w:val="0"/>
          <w:noProof/>
          <w:sz w:val="24"/>
          <w:szCs w:val="24"/>
        </w:rPr>
      </w:pPr>
      <w:r>
        <w:rPr>
          <w:rFonts w:ascii="Times New Roman" w:hAnsi="Times New Roman"/>
          <w:smallCaps w:val="0"/>
          <w:noProof/>
        </w:rPr>
        <w:t xml:space="preserve">PRAVNA OSNOVA </w:t>
      </w:r>
    </w:p>
    <w:p w:rsidR="00D6303E" w:rsidRDefault="00AE6C58">
      <w:pPr>
        <w:pStyle w:val="Text1"/>
        <w:ind w:left="0"/>
        <w:jc w:val="both"/>
        <w:rPr>
          <w:noProof/>
        </w:rPr>
      </w:pPr>
      <w:r>
        <w:rPr>
          <w:noProof/>
        </w:rPr>
        <w:t>Ovo je izvješće predviđeno člankom 8. stavkom 2. Direktive 2014/94/EU.</w:t>
      </w:r>
    </w:p>
    <w:p w:rsidR="00D6303E" w:rsidRDefault="00AE6C58">
      <w:pPr>
        <w:pStyle w:val="Text1"/>
        <w:ind w:left="0"/>
        <w:jc w:val="both"/>
        <w:rPr>
          <w:noProof/>
          <w:shd w:val="clear" w:color="auto" w:fill="FFFFFF"/>
        </w:rPr>
      </w:pPr>
      <w:r>
        <w:rPr>
          <w:noProof/>
        </w:rPr>
        <w:t>Ovim izvješćem Komisija obavješćuje Europski par</w:t>
      </w:r>
      <w:r>
        <w:rPr>
          <w:noProof/>
        </w:rPr>
        <w:t xml:space="preserve">lament i Vijeće o delegiranim uredbama Komisije koje su donesene ili koje će se donijeti kako bi se </w:t>
      </w:r>
      <w:r>
        <w:rPr>
          <w:noProof/>
          <w:shd w:val="clear" w:color="auto" w:fill="FFFFFF"/>
        </w:rPr>
        <w:t>dopunila ili izmijenila upućivanja na norme iz točaka 1.5., 1.8., 2.1., 2.2., 2.3., 2.4., 3.1., 3.2., 3.3. i 3.4. u tehničkim specifikacijama utvrđenima u P</w:t>
      </w:r>
      <w:r>
        <w:rPr>
          <w:noProof/>
          <w:shd w:val="clear" w:color="auto" w:fill="FFFFFF"/>
        </w:rPr>
        <w:t xml:space="preserve">rilogu II. Direktivi. </w:t>
      </w:r>
    </w:p>
    <w:p w:rsidR="00D6303E" w:rsidRDefault="00AE6C58">
      <w:pPr>
        <w:pStyle w:val="Heading1"/>
        <w:rPr>
          <w:rFonts w:ascii="Times New Roman" w:hAnsi="Times New Roman" w:cs="Times New Roman"/>
          <w:smallCaps w:val="0"/>
          <w:noProof/>
          <w:sz w:val="24"/>
          <w:szCs w:val="24"/>
        </w:rPr>
      </w:pPr>
      <w:r>
        <w:rPr>
          <w:rFonts w:ascii="Times New Roman" w:hAnsi="Times New Roman"/>
          <w:smallCaps w:val="0"/>
          <w:noProof/>
        </w:rPr>
        <w:t xml:space="preserve">IZVRŠAVANJE DELEGIRANE OVLASTI </w:t>
      </w:r>
    </w:p>
    <w:p w:rsidR="00D6303E" w:rsidRDefault="00AE6C58">
      <w:pPr>
        <w:pStyle w:val="Text1"/>
        <w:numPr>
          <w:ilvl w:val="0"/>
          <w:numId w:val="27"/>
        </w:numPr>
        <w:jc w:val="both"/>
        <w:rPr>
          <w:noProof/>
        </w:rPr>
      </w:pPr>
      <w:r>
        <w:rPr>
          <w:noProof/>
        </w:rPr>
        <w:t>Dopisom od 13. srpnja 2017. CEN-CENELEC obavijestio je Komisiju o normama koje preporučuje kako bi se dopunile ili izmijenile tehničke specifikacije utvrđene u točkama </w:t>
      </w:r>
      <w:r>
        <w:rPr>
          <w:noProof/>
          <w:shd w:val="clear" w:color="auto" w:fill="FFFFFF"/>
        </w:rPr>
        <w:t xml:space="preserve">1.5., 1.8., 2.4. i 3.1. </w:t>
      </w:r>
      <w:r>
        <w:rPr>
          <w:noProof/>
        </w:rPr>
        <w:t>Priloga I</w:t>
      </w:r>
      <w:r>
        <w:rPr>
          <w:noProof/>
        </w:rPr>
        <w:t>I. Direktivi 2014/94/EU, i to:</w:t>
      </w:r>
    </w:p>
    <w:p w:rsidR="00D6303E" w:rsidRDefault="00AE6C58">
      <w:pPr>
        <w:pStyle w:val="Text1"/>
        <w:numPr>
          <w:ilvl w:val="0"/>
          <w:numId w:val="22"/>
        </w:numPr>
        <w:jc w:val="both"/>
        <w:rPr>
          <w:noProof/>
        </w:rPr>
      </w:pPr>
      <w:r>
        <w:rPr>
          <w:noProof/>
        </w:rPr>
        <w:t xml:space="preserve">norma EN 62196-2 „Utikači, utičnice, spojevi i spojnice na vozilima. Kontaktno punjenje električnih vozila. Zahtjevi za usklađenost dimenzija i zamjenjivost za pribor sa šiljcima i kontaktnim cjevčicama za izmjeničnu struju” </w:t>
      </w:r>
      <w:r>
        <w:rPr>
          <w:noProof/>
        </w:rPr>
        <w:t>i norma IEC 60884-1 „Utikači i utičnice za kućanstvo i slične svrhe – 1. dio: Opći zahtjevi” trebale bi se primjenjivati na ta mjesta za punjenje, ovisno o snazi i/ili mehanizmu punjenja, za mjesta za punjenje motornih vozila kategorije L kako bi se dopuni</w:t>
      </w:r>
      <w:r>
        <w:rPr>
          <w:noProof/>
        </w:rPr>
        <w:t xml:space="preserve">la točka 1.5. Priloga II., </w:t>
      </w:r>
    </w:p>
    <w:p w:rsidR="00D6303E" w:rsidRDefault="00AE6C58">
      <w:pPr>
        <w:pStyle w:val="Text1"/>
        <w:numPr>
          <w:ilvl w:val="0"/>
          <w:numId w:val="22"/>
        </w:numPr>
        <w:jc w:val="both"/>
        <w:rPr>
          <w:noProof/>
        </w:rPr>
      </w:pPr>
      <w:r>
        <w:rPr>
          <w:noProof/>
        </w:rPr>
        <w:t xml:space="preserve">norma EN 15869-2 „Plovni objekti unutarnje plovidbe – Električni priključak s kopna, trofazne izmjenične struje 400 V, do 63 A, 50 Hz – 2. dio: Uređaj na kopnu, sigurnosni zahtjevi” kako bi se dopunila točka 1.8. Priloga II. za </w:t>
      </w:r>
      <w:r>
        <w:rPr>
          <w:noProof/>
        </w:rPr>
        <w:t>opskrbu električnom energijom s kopna za plovila na unutarnjim vodnim putovima,</w:t>
      </w:r>
    </w:p>
    <w:p w:rsidR="00D6303E" w:rsidRDefault="00AE6C58">
      <w:pPr>
        <w:pStyle w:val="Text1"/>
        <w:numPr>
          <w:ilvl w:val="0"/>
          <w:numId w:val="22"/>
        </w:numPr>
        <w:jc w:val="both"/>
        <w:rPr>
          <w:noProof/>
        </w:rPr>
      </w:pPr>
      <w:r>
        <w:rPr>
          <w:noProof/>
        </w:rPr>
        <w:t xml:space="preserve">norma EN ISO 17268 „Priključni uređaji za punjenje gorivom terenskih vozila na plinoviti vodik” kako bi se izmijenila točka 2.4. Priloga II. za priključke za opskrbu vodikom, </w:t>
      </w:r>
    </w:p>
    <w:p w:rsidR="00D6303E" w:rsidRDefault="00AE6C58">
      <w:pPr>
        <w:pStyle w:val="Text1"/>
        <w:numPr>
          <w:ilvl w:val="0"/>
          <w:numId w:val="22"/>
        </w:numPr>
        <w:jc w:val="both"/>
        <w:rPr>
          <w:noProof/>
        </w:rPr>
      </w:pPr>
      <w:r>
        <w:rPr>
          <w:noProof/>
        </w:rPr>
        <w:t>norma EN ISO 20519 „Brodovi i pomorska tehnologija – Specifikacija za ukrcavanje goriva u brodove na ukapljeni prirodni plin” kako bi se dopunila točka 3.1. Priloga II. za plovila na unutarnjim vodnim putovima ili morske brodove.</w:t>
      </w:r>
    </w:p>
    <w:p w:rsidR="00D6303E" w:rsidRDefault="00AE6C58">
      <w:pPr>
        <w:pStyle w:val="Text1"/>
        <w:ind w:left="0"/>
        <w:jc w:val="both"/>
        <w:rPr>
          <w:noProof/>
        </w:rPr>
      </w:pPr>
      <w:r>
        <w:rPr>
          <w:noProof/>
        </w:rPr>
        <w:t>Nakon savjetovanja sa stru</w:t>
      </w:r>
      <w:r>
        <w:rPr>
          <w:noProof/>
        </w:rPr>
        <w:t xml:space="preserve">čnom skupinom Komisije „Forum za održivi promet” i nakon obavješćivanja Europskog parlamenta i Vijeća o tom savjetovanju, Europska komisija donijela je Delegiranu uredbu Komisije (EU) 2018/674 od 17. studenoga 2017. o dopuni Direktive 2014/94/EU Europskog </w:t>
      </w:r>
      <w:r>
        <w:rPr>
          <w:noProof/>
        </w:rPr>
        <w:t>parlamenta i Vijeća u pogledu mjesta za punjenje motornih vozila kategorije L, opskrbe električnom energijom s kopna plovila na unutarnjim vodnim putovima i mjesta za opskrbu ukapljenim prirodnim plinom vodnog prometa te o izmjeni te direktive u pogledu pr</w:t>
      </w:r>
      <w:r>
        <w:rPr>
          <w:noProof/>
        </w:rPr>
        <w:t>iključaka za motorna vozila za opskrbu plinovitim vodikom</w:t>
      </w:r>
      <w:r>
        <w:rPr>
          <w:noProof/>
          <w:vertAlign w:val="superscript"/>
        </w:rPr>
        <w:footnoteReference w:id="3"/>
      </w:r>
      <w:r>
        <w:rPr>
          <w:noProof/>
        </w:rPr>
        <w:t>.</w:t>
      </w:r>
    </w:p>
    <w:p w:rsidR="00D6303E" w:rsidRDefault="00AE6C58">
      <w:pPr>
        <w:pStyle w:val="Text1"/>
        <w:ind w:left="0"/>
        <w:jc w:val="both"/>
        <w:rPr>
          <w:noProof/>
        </w:rPr>
      </w:pPr>
      <w:r>
        <w:rPr>
          <w:noProof/>
        </w:rPr>
        <w:t>Tom delegiranom uredbom utvrđuju se sljedeće odredbe:</w:t>
      </w:r>
    </w:p>
    <w:p w:rsidR="00D6303E" w:rsidRDefault="00AE6C58">
      <w:pPr>
        <w:pStyle w:val="Text1"/>
        <w:numPr>
          <w:ilvl w:val="0"/>
          <w:numId w:val="24"/>
        </w:numPr>
        <w:jc w:val="both"/>
        <w:rPr>
          <w:noProof/>
        </w:rPr>
      </w:pPr>
      <w:r>
        <w:rPr>
          <w:noProof/>
        </w:rPr>
        <w:t>Javno dostupna mjesta za punjenje izmjeničnom strujom snage do 3,7 kVA rezervirana za električna vozila kategorije L moraju biti opremljena, r</w:t>
      </w:r>
      <w:r>
        <w:rPr>
          <w:noProof/>
        </w:rPr>
        <w:t>adi interoperabilnosti, barem jednim od sljedećih elemenata:</w:t>
      </w:r>
    </w:p>
    <w:p w:rsidR="00D6303E" w:rsidRDefault="00AE6C58">
      <w:pPr>
        <w:pStyle w:val="Text1"/>
        <w:numPr>
          <w:ilvl w:val="1"/>
          <w:numId w:val="24"/>
        </w:numPr>
        <w:jc w:val="both"/>
        <w:rPr>
          <w:noProof/>
        </w:rPr>
      </w:pPr>
      <w:r>
        <w:rPr>
          <w:noProof/>
        </w:rPr>
        <w:t>utičnicama ili priključcima za vozila tipa 3a kako su opisani u normi EN 62196-2 (za mehanizam punjenja 3);</w:t>
      </w:r>
    </w:p>
    <w:p w:rsidR="00D6303E" w:rsidRDefault="00AE6C58">
      <w:pPr>
        <w:pStyle w:val="Text1"/>
        <w:numPr>
          <w:ilvl w:val="1"/>
          <w:numId w:val="24"/>
        </w:numPr>
        <w:jc w:val="both"/>
        <w:rPr>
          <w:noProof/>
        </w:rPr>
      </w:pPr>
      <w:r>
        <w:rPr>
          <w:noProof/>
        </w:rPr>
        <w:t>utičnicama i priključcima u skladu s normom IEC 60884 (za mehanizme punjenja 1 ili 2).</w:t>
      </w:r>
    </w:p>
    <w:p w:rsidR="00D6303E" w:rsidRDefault="00AE6C58">
      <w:pPr>
        <w:pStyle w:val="Text1"/>
        <w:ind w:left="720"/>
        <w:jc w:val="both"/>
        <w:rPr>
          <w:noProof/>
        </w:rPr>
      </w:pPr>
      <w:r>
        <w:rPr>
          <w:noProof/>
        </w:rPr>
        <w:t>Javno dostupna mjesta za punjenje izmjeničnom strujom snage veće od 3,7 kVA rezervirana za električna vozila kategorije L moraju biti opremljena, radi interoperabilnosti, barem utičnicama ili priključcima za vozila tipa 2 kako su opisani u normi EN 62196-2</w:t>
      </w:r>
      <w:r>
        <w:rPr>
          <w:noProof/>
        </w:rPr>
        <w:t>.</w:t>
      </w:r>
    </w:p>
    <w:p w:rsidR="00D6303E" w:rsidRDefault="00AE6C58">
      <w:pPr>
        <w:pStyle w:val="Text1"/>
        <w:numPr>
          <w:ilvl w:val="0"/>
          <w:numId w:val="24"/>
        </w:numPr>
        <w:jc w:val="both"/>
        <w:rPr>
          <w:noProof/>
        </w:rPr>
      </w:pPr>
      <w:r>
        <w:rPr>
          <w:noProof/>
        </w:rPr>
        <w:t xml:space="preserve">Opskrba električnom energijom s kopna plovila na unutarnjim vodnim putovima mora biti </w:t>
      </w:r>
      <w:bookmarkStart w:id="1" w:name="_GoBack"/>
      <w:bookmarkEnd w:id="1"/>
      <w:r>
        <w:rPr>
          <w:noProof/>
        </w:rPr>
        <w:t>u skladu s normom EN 15869-2 „Plovni objekti unutarnje plovidbe – Električni priključak s kopna, trofazne izmjenične struje 400 V, do 63 A, 50 Hz – 2. dio: Uređaj na ko</w:t>
      </w:r>
      <w:r>
        <w:rPr>
          <w:noProof/>
        </w:rPr>
        <w:t>pnu, sigurnosni zahtjevi”.</w:t>
      </w:r>
    </w:p>
    <w:p w:rsidR="00D6303E" w:rsidRDefault="00AE6C58">
      <w:pPr>
        <w:pStyle w:val="Text1"/>
        <w:numPr>
          <w:ilvl w:val="0"/>
          <w:numId w:val="24"/>
        </w:numPr>
        <w:jc w:val="both"/>
        <w:rPr>
          <w:noProof/>
        </w:rPr>
      </w:pPr>
      <w:r>
        <w:rPr>
          <w:noProof/>
        </w:rPr>
        <w:t xml:space="preserve">Mjesta za opskrbu UPP-om plovila na unutarnjim vodnim putovima ili morskih brodova koji nisu obuhvaćeni Međunarodnim kodeksom za gradnju i opremanje brodova za prijevoz ukapljenog plina u razlivenom stanju (kodeks IGC) moraju </w:t>
      </w:r>
      <w:r>
        <w:rPr>
          <w:noProof/>
        </w:rPr>
        <w:t>biti u skladu s normom EN ISO 20519.</w:t>
      </w:r>
    </w:p>
    <w:p w:rsidR="00D6303E" w:rsidRDefault="00AE6C58">
      <w:pPr>
        <w:pStyle w:val="Text1"/>
        <w:numPr>
          <w:ilvl w:val="0"/>
          <w:numId w:val="24"/>
        </w:numPr>
        <w:jc w:val="both"/>
        <w:rPr>
          <w:noProof/>
        </w:rPr>
      </w:pPr>
      <w:r>
        <w:rPr>
          <w:noProof/>
        </w:rPr>
        <w:t>Priključci za opskrbu motornih vozila plinovitim vodikom moraju biti u skladu s normom EN ISO 17268 „Priključni uređaji za punjenje gorivom terenskih vozila na plinoviti vodik”.</w:t>
      </w:r>
    </w:p>
    <w:p w:rsidR="00D6303E" w:rsidRDefault="00AE6C58">
      <w:pPr>
        <w:pStyle w:val="Text1"/>
        <w:numPr>
          <w:ilvl w:val="0"/>
          <w:numId w:val="27"/>
        </w:numPr>
        <w:ind w:left="0"/>
        <w:jc w:val="both"/>
        <w:rPr>
          <w:noProof/>
        </w:rPr>
      </w:pPr>
      <w:r>
        <w:rPr>
          <w:noProof/>
        </w:rPr>
        <w:t>Na temelju zahtjeva primljenih od pojedin</w:t>
      </w:r>
      <w:r>
        <w:rPr>
          <w:noProof/>
        </w:rPr>
        <w:t>ih država članica i od Središnje komisije za plovidbu Rajnom (CCNR) da se tehnički ažurira i dopuni Delegirana uredba Komisije EU 2018/674 od 17. studenoga 2017. i na temelju dopisa CEN-CENELEC-a od 26. studenoga 2018., kojim je Komisija obaviještena o naj</w:t>
      </w:r>
      <w:r>
        <w:rPr>
          <w:noProof/>
        </w:rPr>
        <w:t>novijim promjenama u normizaciji infrastrukture za opskrbu prirodnim plinom i vodikom, Komisija je 13. kolovoza 2019. donijela novu delegiranu uredbu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kojom se stavlja izvan snage Delegirana uredba Komisije (EU) 2018/674 od 17. studenoga 2017. i koja uklju</w:t>
      </w:r>
      <w:r>
        <w:rPr>
          <w:noProof/>
        </w:rPr>
        <w:t xml:space="preserve">čuje prethodno navedena ažuriranja i dopune kao i najnovije promjene u normizaciji infrastrukture za opskrbu prirodnim plinom i vodikom. </w:t>
      </w:r>
    </w:p>
    <w:p w:rsidR="00D6303E" w:rsidRDefault="00AE6C58">
      <w:pPr>
        <w:pStyle w:val="Text1"/>
        <w:ind w:left="0"/>
        <w:jc w:val="both"/>
        <w:rPr>
          <w:noProof/>
        </w:rPr>
      </w:pPr>
      <w:r>
        <w:rPr>
          <w:noProof/>
        </w:rPr>
        <w:t>Tom delegiranom uredbom Komisije:</w:t>
      </w:r>
    </w:p>
    <w:p w:rsidR="00D6303E" w:rsidRDefault="00AE6C58">
      <w:pPr>
        <w:pStyle w:val="Text1"/>
        <w:numPr>
          <w:ilvl w:val="0"/>
          <w:numId w:val="23"/>
        </w:numPr>
        <w:jc w:val="both"/>
        <w:rPr>
          <w:noProof/>
        </w:rPr>
      </w:pPr>
      <w:r>
        <w:rPr>
          <w:noProof/>
        </w:rPr>
        <w:t>dopunjena je točka 1.5. uključivanjem normi, ovisno o snazi i/ili mehanizmu punjenja</w:t>
      </w:r>
      <w:r>
        <w:rPr>
          <w:noProof/>
        </w:rPr>
        <w:t>, za mjesta za punjenje motornih vozila kategorije L, i to:</w:t>
      </w:r>
    </w:p>
    <w:p w:rsidR="00D6303E" w:rsidRDefault="00AE6C58">
      <w:pPr>
        <w:pStyle w:val="ListParagraph"/>
        <w:numPr>
          <w:ilvl w:val="1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 EN 62196-2 „Utikači, utičnice, spojevi i spojnice na vozilima. Kontaktno punjenje električnih vozila. Zahtjevi za usklađenost dimenzija i zamjenjivost za pribor sa šiljcima i kontaktnim cjevčicam</w:t>
      </w:r>
      <w:r>
        <w:rPr>
          <w:rFonts w:ascii="Times New Roman" w:hAnsi="Times New Roman"/>
          <w:noProof/>
        </w:rPr>
        <w:t xml:space="preserve">a za izmjeničnu struju” i </w:t>
      </w:r>
    </w:p>
    <w:p w:rsidR="00D6303E" w:rsidRDefault="00AE6C58">
      <w:pPr>
        <w:pStyle w:val="ListParagraph"/>
        <w:numPr>
          <w:ilvl w:val="1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IEC 60884-1 „Utikači i utičnice za kućanstvo i slične svrhe – 1. dio: Opći zahtjevi” trebale bi se primjenjivati na ta mjesta za punjenje,</w:t>
      </w:r>
    </w:p>
    <w:p w:rsidR="00D6303E" w:rsidRPr="00AE6C58" w:rsidRDefault="00AE6C58">
      <w:pPr>
        <w:pStyle w:val="Text1"/>
        <w:numPr>
          <w:ilvl w:val="0"/>
          <w:numId w:val="23"/>
        </w:numPr>
        <w:jc w:val="both"/>
        <w:rPr>
          <w:noProof/>
        </w:rPr>
      </w:pPr>
      <w:r>
        <w:rPr>
          <w:noProof/>
        </w:rPr>
        <w:t>dopunjena je točka 1.8. Priloga II. uključivanjem norme koja se odnosi na opskrbu električ</w:t>
      </w:r>
      <w:r>
        <w:rPr>
          <w:noProof/>
        </w:rPr>
        <w:t xml:space="preserve">nom energijom s kopna za plovila na unutarnjim vodnim </w:t>
      </w:r>
      <w:r w:rsidRPr="00AE6C58">
        <w:rPr>
          <w:noProof/>
        </w:rPr>
        <w:t xml:space="preserve">putovima, i to: </w:t>
      </w:r>
    </w:p>
    <w:p w:rsidR="00D6303E" w:rsidRPr="00AE6C58" w:rsidRDefault="00AE6C58">
      <w:pPr>
        <w:pStyle w:val="ListParagraph"/>
        <w:numPr>
          <w:ilvl w:val="1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6C58">
        <w:rPr>
          <w:rFonts w:ascii="Times New Roman" w:hAnsi="Times New Roman"/>
          <w:noProof/>
        </w:rPr>
        <w:t xml:space="preserve">norme EN 15869-2 „Plovni objekti unutarnje plovidbe – Električni priključak s kopna, trofazne izmjenične struje 400 V, do 63 A, 50 Hz – 2. dio: Uređaj na kopnu, sigurnosni zahtjevi” </w:t>
      </w:r>
      <w:r w:rsidRPr="00AE6C58">
        <w:rPr>
          <w:rFonts w:ascii="Times New Roman" w:hAnsi="Times New Roman"/>
          <w:noProof/>
        </w:rPr>
        <w:t>ili</w:t>
      </w:r>
      <w:r w:rsidRPr="00AE6C58">
        <w:rPr>
          <w:rFonts w:ascii="Times New Roman" w:hAnsi="Times New Roman"/>
          <w:noProof/>
        </w:rPr>
        <w:t xml:space="preserve"> norme EN 16840 „Plovni objekti unutarnje plovidbe – Električni priključak s kopna, trofazna struja 400 V, 50 Hz, najmanje 250 A”, ovisno o energetskim zahtjevima.</w:t>
      </w:r>
    </w:p>
    <w:p w:rsidR="00D6303E" w:rsidRDefault="00AE6C58">
      <w:pPr>
        <w:pStyle w:val="Text1"/>
        <w:numPr>
          <w:ilvl w:val="0"/>
          <w:numId w:val="23"/>
        </w:numPr>
        <w:jc w:val="both"/>
        <w:rPr>
          <w:noProof/>
        </w:rPr>
      </w:pPr>
      <w:r w:rsidRPr="00AE6C58">
        <w:rPr>
          <w:noProof/>
        </w:rPr>
        <w:t>izmijenjene su točke 2. 1. i 2.3. Priloga II. uključivanjem europske norme EN 17127 „Postaje</w:t>
      </w:r>
      <w:r w:rsidRPr="00AE6C58">
        <w:rPr>
          <w:noProof/>
        </w:rPr>
        <w:t xml:space="preserve"> na otvorenom </w:t>
      </w:r>
      <w:r>
        <w:rPr>
          <w:noProof/>
        </w:rPr>
        <w:t>za punjenje plinovitim vodikom s protokolom za punjenje”,</w:t>
      </w:r>
    </w:p>
    <w:p w:rsidR="00D6303E" w:rsidRDefault="00AE6C58">
      <w:pPr>
        <w:pStyle w:val="Text1"/>
        <w:numPr>
          <w:ilvl w:val="0"/>
          <w:numId w:val="23"/>
        </w:numPr>
        <w:jc w:val="both"/>
        <w:rPr>
          <w:noProof/>
        </w:rPr>
      </w:pPr>
      <w:r>
        <w:rPr>
          <w:noProof/>
        </w:rPr>
        <w:t>izmijenjena je točka 2.2. Priloga II. uključivanjem europske norme EN 17124 „Vodik kao gorivo – Specifikacija proizvoda i osiguranje kvalitete – Gorivni članci s polimernom protonski v</w:t>
      </w:r>
      <w:r>
        <w:rPr>
          <w:noProof/>
        </w:rPr>
        <w:t xml:space="preserve">odljivom membranom (PEM) za cestovna vozila”, </w:t>
      </w:r>
    </w:p>
    <w:p w:rsidR="00D6303E" w:rsidRDefault="00AE6C58">
      <w:pPr>
        <w:pStyle w:val="Text1"/>
        <w:numPr>
          <w:ilvl w:val="0"/>
          <w:numId w:val="23"/>
        </w:numPr>
        <w:jc w:val="both"/>
        <w:rPr>
          <w:noProof/>
        </w:rPr>
      </w:pPr>
      <w:r>
        <w:rPr>
          <w:noProof/>
        </w:rPr>
        <w:t>izmijenjena je točka 2.4. Priloga II. uključivanjem europske norme EN ISO 17268 „Priključni uređaji za punjenje gorivom terenskih vozila na plinoviti vodik”,</w:t>
      </w:r>
    </w:p>
    <w:p w:rsidR="00D6303E" w:rsidRDefault="00AE6C58">
      <w:pPr>
        <w:pStyle w:val="Text1"/>
        <w:numPr>
          <w:ilvl w:val="0"/>
          <w:numId w:val="23"/>
        </w:numPr>
        <w:jc w:val="both"/>
        <w:rPr>
          <w:noProof/>
        </w:rPr>
      </w:pPr>
      <w:r>
        <w:rPr>
          <w:noProof/>
        </w:rPr>
        <w:t>dopunjena je točka 3.1. Priloga II. uključivanjem n</w:t>
      </w:r>
      <w:r>
        <w:rPr>
          <w:noProof/>
        </w:rPr>
        <w:t>orme koja se odnosi na mjesta za punjenje UPP-om za morske brodove i plovila na unutarnjim vodnim putovima, i to:</w:t>
      </w:r>
    </w:p>
    <w:p w:rsidR="00D6303E" w:rsidRDefault="00AE6C58">
      <w:pPr>
        <w:pStyle w:val="Text1"/>
        <w:numPr>
          <w:ilvl w:val="1"/>
          <w:numId w:val="23"/>
        </w:numPr>
        <w:jc w:val="both"/>
        <w:rPr>
          <w:noProof/>
        </w:rPr>
      </w:pPr>
      <w:r>
        <w:rPr>
          <w:noProof/>
        </w:rPr>
        <w:t>EN ISO 20519 „Brodovi i pomorska tehnologija – Specifikacija za ukrcavanje goriva u brodove na ukapljeni prirodni plin”, koja će se primjenjiv</w:t>
      </w:r>
      <w:r>
        <w:rPr>
          <w:noProof/>
        </w:rPr>
        <w:t>ati na morske brodove koji nisu obuhvaćeni Međunarodnim kodeksom za gradnju i opremanje brodova za prijevoz ukapljenog plina u razlivenom stanju (kodeks IGC)</w:t>
      </w:r>
    </w:p>
    <w:p w:rsidR="00D6303E" w:rsidRDefault="00AE6C58">
      <w:pPr>
        <w:pStyle w:val="Text1"/>
        <w:numPr>
          <w:ilvl w:val="1"/>
          <w:numId w:val="23"/>
        </w:numPr>
        <w:jc w:val="both"/>
        <w:rPr>
          <w:noProof/>
        </w:rPr>
      </w:pPr>
      <w:r>
        <w:rPr>
          <w:noProof/>
        </w:rPr>
        <w:t xml:space="preserve">EN ISO 20519 (dijelovi od 5.3. do 5.7.), koja će se primjenjivati na plovila na unutarnjim vodnim </w:t>
      </w:r>
      <w:r>
        <w:rPr>
          <w:noProof/>
        </w:rPr>
        <w:t>putovima,</w:t>
      </w:r>
    </w:p>
    <w:p w:rsidR="00D6303E" w:rsidRDefault="00AE6C58">
      <w:pPr>
        <w:pStyle w:val="Text1"/>
        <w:numPr>
          <w:ilvl w:val="0"/>
          <w:numId w:val="23"/>
        </w:numPr>
        <w:jc w:val="both"/>
        <w:rPr>
          <w:noProof/>
        </w:rPr>
      </w:pPr>
      <w:r>
        <w:rPr>
          <w:noProof/>
        </w:rPr>
        <w:t>dopunjena je točka 3.2. Priloga II. uključivanjem elemenata interoperabilnosti iz europske norme EN ISO 16924 „Stanice za punjenje prirodnim plinom – Stanice za punjenje vozila ukapljenim prirodnim plinom (UPP)”, kao što su tlak punjenja i priklj</w:t>
      </w:r>
      <w:r>
        <w:rPr>
          <w:noProof/>
        </w:rPr>
        <w:t>učak koji će se koristiti,</w:t>
      </w:r>
    </w:p>
    <w:p w:rsidR="00D6303E" w:rsidRDefault="00AE6C58">
      <w:pPr>
        <w:pStyle w:val="Text1"/>
        <w:numPr>
          <w:ilvl w:val="0"/>
          <w:numId w:val="23"/>
        </w:numPr>
        <w:jc w:val="both"/>
        <w:rPr>
          <w:noProof/>
        </w:rPr>
      </w:pPr>
      <w:r>
        <w:rPr>
          <w:noProof/>
        </w:rPr>
        <w:t xml:space="preserve">izmijenjena je točka 3.3. Priloga II. zahtijevanjem da se europska norma EN ISO „Cestovna vozila – priključak za punjenje stlačenim prirodnim plinom (SPP)” primjenjuje na priključke/posude za punjenje SPP-om, </w:t>
      </w:r>
    </w:p>
    <w:p w:rsidR="00D6303E" w:rsidRDefault="00AE6C58">
      <w:pPr>
        <w:pStyle w:val="Text1"/>
        <w:numPr>
          <w:ilvl w:val="0"/>
          <w:numId w:val="23"/>
        </w:numPr>
        <w:jc w:val="both"/>
        <w:rPr>
          <w:noProof/>
        </w:rPr>
      </w:pPr>
      <w:r>
        <w:rPr>
          <w:noProof/>
        </w:rPr>
        <w:t>dopunjena je točka </w:t>
      </w:r>
      <w:r>
        <w:rPr>
          <w:noProof/>
        </w:rPr>
        <w:t xml:space="preserve">3.4. Priloga II. uključivanjem elemenata interoperabilnosti iz europske norme EN ISO 16923 „Stanice za punjenje prirodnim plinom – Stanice za punjenje vozila stlačenim prirodnim plinom (SPP)”, među ostalim tlaka punjenja. </w:t>
      </w:r>
    </w:p>
    <w:p w:rsidR="00D6303E" w:rsidRDefault="00AE6C58">
      <w:pPr>
        <w:pStyle w:val="Text1"/>
        <w:ind w:left="0"/>
        <w:jc w:val="both"/>
        <w:rPr>
          <w:noProof/>
        </w:rPr>
      </w:pPr>
      <w:r>
        <w:rPr>
          <w:noProof/>
        </w:rPr>
        <w:t xml:space="preserve">Nacrt delegirane uredbe Komisije </w:t>
      </w:r>
      <w:r>
        <w:rPr>
          <w:noProof/>
        </w:rPr>
        <w:t>bio je objavljen na portalu Bolja regulativa od 15. ožujka do 12. travnja 2019. Komisija je primila povratne informacije od deset ispitanika. Osim toga, u različitim fazama pripreme Delegirane uredbe Komisije obavljeno je savjetovanje sa stručnjacima iz dr</w:t>
      </w:r>
      <w:r>
        <w:rPr>
          <w:noProof/>
        </w:rPr>
        <w:t xml:space="preserve">žava članica u okviru Foruma za održivi promet. </w:t>
      </w:r>
    </w:p>
    <w:p w:rsidR="00D6303E" w:rsidRDefault="00AE6C58">
      <w:pPr>
        <w:pStyle w:val="Text1"/>
        <w:ind w:left="0"/>
        <w:jc w:val="both"/>
        <w:rPr>
          <w:noProof/>
        </w:rPr>
      </w:pPr>
      <w:r>
        <w:rPr>
          <w:noProof/>
        </w:rPr>
        <w:t>Komisija je donijela Delegiranu uredbu Komisije 13. kolovoza 2019.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U skladu s člankom 8. stavkom 5. Direktive 2014/94/EU obavljeno je savjetovanje s Europskim vijećem i Europskim parlamentom i nikakav prigo</w:t>
      </w:r>
      <w:r>
        <w:rPr>
          <w:noProof/>
        </w:rPr>
        <w:t xml:space="preserve">vor nije primljen. Stoga ta delegirana uredba Komisije stupa na snagu dvadesetog dana od dana objave u </w:t>
      </w:r>
      <w:r>
        <w:rPr>
          <w:i/>
          <w:noProof/>
        </w:rPr>
        <w:t>Službenom listu Europske unije</w:t>
      </w:r>
      <w:r>
        <w:rPr>
          <w:noProof/>
        </w:rPr>
        <w:t xml:space="preserve">, 22. listopada 2019. Primjenjuje se od 12. studenoga 2021. </w:t>
      </w:r>
    </w:p>
    <w:p w:rsidR="00D6303E" w:rsidRDefault="00AE6C58">
      <w:pPr>
        <w:pStyle w:val="Text1"/>
        <w:ind w:left="0"/>
        <w:jc w:val="both"/>
        <w:rPr>
          <w:noProof/>
        </w:rPr>
      </w:pPr>
      <w:r>
        <w:rPr>
          <w:noProof/>
        </w:rPr>
        <w:t>Osim toga, donošenje nove delegirane uredbe Komisije predviđeno je u četvrtom tromjesečju 2020. kako bi se dopunile tehničke specifikacije za točke 1.3. (bežična mjesta za punjenje motornih vozila) i 1.6. (mjesta za punjenje električnih autobusa) Priloga I</w:t>
      </w:r>
      <w:r>
        <w:rPr>
          <w:noProof/>
        </w:rPr>
        <w:t xml:space="preserve">I. Direktivi 2014/94/EU. </w:t>
      </w:r>
    </w:p>
    <w:p w:rsidR="00D6303E" w:rsidRDefault="00D6303E">
      <w:pPr>
        <w:pStyle w:val="Text1"/>
        <w:ind w:left="0"/>
        <w:jc w:val="both"/>
        <w:rPr>
          <w:noProof/>
        </w:rPr>
      </w:pPr>
    </w:p>
    <w:p w:rsidR="00D6303E" w:rsidRDefault="00AE6C58">
      <w:pPr>
        <w:pStyle w:val="Text1"/>
        <w:ind w:left="0"/>
        <w:jc w:val="both"/>
        <w:rPr>
          <w:noProof/>
        </w:rPr>
      </w:pPr>
      <w:r>
        <w:rPr>
          <w:noProof/>
        </w:rPr>
        <w:t xml:space="preserve">Komisija ne namjerava uključiti tehničke specifikacije koje se odnose na točku 1.4. Priloga II. (zamjena baterija za motorna vozila) u prethodno navedenu najavljenu delegiranu uredbu Komisije jer relevantna europska organizacija </w:t>
      </w:r>
      <w:r>
        <w:rPr>
          <w:noProof/>
        </w:rPr>
        <w:t xml:space="preserve">za normizaciju ne smatra tu normu prioritetnom za industriju EU-a. </w:t>
      </w:r>
    </w:p>
    <w:p w:rsidR="00D6303E" w:rsidRDefault="00AE6C58">
      <w:pPr>
        <w:pStyle w:val="Heading1"/>
        <w:rPr>
          <w:rFonts w:ascii="Times New Roman" w:hAnsi="Times New Roman" w:cs="Times New Roman"/>
          <w:smallCaps w:val="0"/>
          <w:noProof/>
          <w:sz w:val="24"/>
          <w:szCs w:val="24"/>
        </w:rPr>
      </w:pPr>
      <w:r>
        <w:rPr>
          <w:rFonts w:ascii="Times New Roman" w:hAnsi="Times New Roman"/>
          <w:smallCaps w:val="0"/>
          <w:noProof/>
        </w:rPr>
        <w:t xml:space="preserve">ZAKLJUČAK I IZGLEDI ZA BUDUĆNOST </w:t>
      </w:r>
    </w:p>
    <w:p w:rsidR="00D6303E" w:rsidRDefault="00AE6C58">
      <w:pPr>
        <w:pStyle w:val="Text1"/>
        <w:ind w:left="0"/>
        <w:jc w:val="both"/>
        <w:rPr>
          <w:noProof/>
        </w:rPr>
      </w:pPr>
      <w:r>
        <w:rPr>
          <w:noProof/>
        </w:rPr>
        <w:t>Komisija poziva Europski parlament i Vijeće da prime ovo izvješće na znanje.</w:t>
      </w:r>
    </w:p>
    <w:sectPr w:rsidR="00D6303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020" w:right="1701" w:bottom="1020" w:left="1587" w:header="601" w:footer="1077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ECC4BE" w16cid:durableId="2135F0BD"/>
  <w16cid:commentId w16cid:paraId="101398B1" w16cid:durableId="2135F190"/>
  <w16cid:commentId w16cid:paraId="0CEA7850" w16cid:durableId="2135F0EA"/>
  <w16cid:commentId w16cid:paraId="24305BAF" w16cid:durableId="2135F374"/>
  <w16cid:commentId w16cid:paraId="336B3BFE" w16cid:durableId="21360000"/>
  <w16cid:commentId w16cid:paraId="6031BE4A" w16cid:durableId="21360023"/>
  <w16cid:commentId w16cid:paraId="79D949FA" w16cid:durableId="213606A7"/>
  <w16cid:commentId w16cid:paraId="666DD3C8" w16cid:durableId="21360543"/>
  <w16cid:commentId w16cid:paraId="431005D6" w16cid:durableId="213601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3E" w:rsidRDefault="00AE6C58">
      <w:pPr>
        <w:spacing w:after="0" w:line="240" w:lineRule="auto"/>
      </w:pPr>
      <w:r>
        <w:separator/>
      </w:r>
    </w:p>
  </w:endnote>
  <w:endnote w:type="continuationSeparator" w:id="0">
    <w:p w:rsidR="00D6303E" w:rsidRDefault="00AE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3E" w:rsidRDefault="00D63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3E" w:rsidRDefault="00AE6C58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3E" w:rsidRDefault="00D6303E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3E" w:rsidRDefault="00D6303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3E" w:rsidRDefault="00AE6C58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3E" w:rsidRDefault="00D63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3E" w:rsidRDefault="00AE6C58">
      <w:pPr>
        <w:spacing w:after="0" w:line="240" w:lineRule="auto"/>
      </w:pPr>
      <w:r>
        <w:separator/>
      </w:r>
    </w:p>
  </w:footnote>
  <w:footnote w:type="continuationSeparator" w:id="0">
    <w:p w:rsidR="00D6303E" w:rsidRDefault="00AE6C58">
      <w:pPr>
        <w:spacing w:after="0" w:line="240" w:lineRule="auto"/>
      </w:pPr>
      <w:r>
        <w:continuationSeparator/>
      </w:r>
    </w:p>
  </w:footnote>
  <w:footnote w:id="1">
    <w:p w:rsidR="00D6303E" w:rsidRDefault="00AE6C58">
      <w:pPr>
        <w:pStyle w:val="FootnoteText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SL L 307, 28.10.2014., str. 1.</w:t>
      </w:r>
    </w:p>
  </w:footnote>
  <w:footnote w:id="2">
    <w:p w:rsidR="00D6303E" w:rsidRDefault="00AE6C58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Odbor za normizaciju (CEN) i Europski odbor za elektrotehničku normizaciju (CENELEC).</w:t>
      </w:r>
    </w:p>
  </w:footnote>
  <w:footnote w:id="3">
    <w:p w:rsidR="00D6303E" w:rsidRDefault="00AE6C58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Emphasis"/>
          <w:rFonts w:ascii="Times New Roman" w:hAnsi="Times New Roman"/>
          <w:i w:val="0"/>
          <w:iCs w:val="0"/>
        </w:rPr>
        <w:t xml:space="preserve">SL L 114, 4.5.2018., str. 1.–3., </w:t>
      </w:r>
      <w:hyperlink r:id="rId1" w:history="1">
        <w:r>
          <w:rPr>
            <w:rStyle w:val="Hyperlink"/>
          </w:rPr>
          <w:t>https://eur-lex.europa.eu/le</w:t>
        </w:r>
        <w:r>
          <w:rPr>
            <w:rStyle w:val="Hyperlink"/>
          </w:rPr>
          <w:t>gal-content/EN/TXT/?uri=uriserv%3AOJ.L_.2018.114.01.0001.01.ENG</w:t>
        </w:r>
      </w:hyperlink>
    </w:p>
  </w:footnote>
  <w:footnote w:id="4">
    <w:p w:rsidR="00D6303E" w:rsidRDefault="00AE6C58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C(2019) 5960 final </w:t>
      </w:r>
    </w:p>
  </w:footnote>
  <w:footnote w:id="5">
    <w:p w:rsidR="00D6303E" w:rsidRDefault="00AE6C58">
      <w:pPr>
        <w:pStyle w:val="NormalWeb"/>
        <w:spacing w:before="0" w:beforeAutospacing="0" w:after="7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&amp;quot" w:hAnsi="&amp;quot"/>
          <w:color w:val="444444"/>
          <w:sz w:val="21"/>
          <w:szCs w:val="21"/>
        </w:rPr>
        <w:t>Delegirana uredba Komisije (EU) 2019/1745 оd 13. kolovoza 2019. o dopuni i izmjeni Direktive 2014/94/EU Europskog parlamenta i Vijeća u pogledu mjesta za punjenje motor</w:t>
      </w:r>
      <w:r>
        <w:rPr>
          <w:rFonts w:ascii="&amp;quot" w:hAnsi="&amp;quot"/>
          <w:color w:val="444444"/>
          <w:sz w:val="21"/>
          <w:szCs w:val="21"/>
        </w:rPr>
        <w:t>nih vozila kategorije L, opskrbe električnom energijom s kopna za plovila na unutarnjim vodnim putovima, opskrbe vodikom za cestovni promet, opskrbe prirodnim plinom za cestovni i vodni promet te o stavljanju izvan snage Delegirane uredbe Komisije (EU) 201</w:t>
      </w:r>
      <w:r>
        <w:rPr>
          <w:rFonts w:ascii="&amp;quot" w:hAnsi="&amp;quot"/>
          <w:color w:val="444444"/>
          <w:sz w:val="21"/>
          <w:szCs w:val="21"/>
        </w:rPr>
        <w:t>8/674 (</w:t>
      </w:r>
      <w:r>
        <w:rPr>
          <w:rStyle w:val="Emphasis"/>
          <w:rFonts w:ascii="&amp;quot" w:hAnsi="&amp;quot"/>
          <w:i w:val="0"/>
          <w:color w:val="444444"/>
          <w:sz w:val="21"/>
          <w:szCs w:val="21"/>
        </w:rPr>
        <w:t>SL L 268, 22.10.2019., str. 1.).</w:t>
      </w:r>
    </w:p>
    <w:p w:rsidR="00D6303E" w:rsidRDefault="00D6303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3E" w:rsidRDefault="00D63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3E" w:rsidRDefault="00D6303E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3E" w:rsidRDefault="00D6303E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3E" w:rsidRDefault="00D6303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3E" w:rsidRDefault="00D6303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3E" w:rsidRDefault="00D6303E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8DE61A8"/>
    <w:multiLevelType w:val="hybridMultilevel"/>
    <w:tmpl w:val="686A40CA"/>
    <w:name w:val="LegalNumParListTemplate3"/>
    <w:lvl w:ilvl="0" w:tplc="A588FCC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5BF"/>
    <w:multiLevelType w:val="hybridMultilevel"/>
    <w:tmpl w:val="03C4EEA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F734306"/>
    <w:multiLevelType w:val="multilevel"/>
    <w:tmpl w:val="D266108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0797311"/>
    <w:multiLevelType w:val="hybridMultilevel"/>
    <w:tmpl w:val="30DA8C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6C5914"/>
    <w:multiLevelType w:val="hybridMultilevel"/>
    <w:tmpl w:val="4E20A9E4"/>
    <w:lvl w:ilvl="0" w:tplc="351248FC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  <w:spacing w:val="12"/>
      </w:rPr>
    </w:lvl>
    <w:lvl w:ilvl="1" w:tplc="080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8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6F25E70"/>
    <w:multiLevelType w:val="hybridMultilevel"/>
    <w:tmpl w:val="7472AE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0310F77"/>
    <w:multiLevelType w:val="hybridMultilevel"/>
    <w:tmpl w:val="09B4C1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48A65720"/>
    <w:multiLevelType w:val="hybridMultilevel"/>
    <w:tmpl w:val="54F6CA2E"/>
    <w:lvl w:ilvl="0" w:tplc="351248FC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  <w:spacing w:val="12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1" w15:restartNumberingAfterBreak="0">
    <w:nsid w:val="4E832C3F"/>
    <w:multiLevelType w:val="hybridMultilevel"/>
    <w:tmpl w:val="5AD4E508"/>
    <w:lvl w:ilvl="0" w:tplc="BA6093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58C36CE8"/>
    <w:multiLevelType w:val="hybridMultilevel"/>
    <w:tmpl w:val="B81C93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32711C8"/>
    <w:multiLevelType w:val="hybridMultilevel"/>
    <w:tmpl w:val="A7D075A4"/>
    <w:lvl w:ilvl="0" w:tplc="08090017">
      <w:start w:val="1"/>
      <w:numFmt w:val="lowerLetter"/>
      <w:lvlText w:val="%1)"/>
      <w:lvlJc w:val="left"/>
      <w:pPr>
        <w:ind w:left="1202" w:hanging="360"/>
      </w:pPr>
    </w:lvl>
    <w:lvl w:ilvl="1" w:tplc="08090019" w:tentative="1">
      <w:start w:val="1"/>
      <w:numFmt w:val="lowerLetter"/>
      <w:lvlText w:val="%2."/>
      <w:lvlJc w:val="left"/>
      <w:pPr>
        <w:ind w:left="1922" w:hanging="360"/>
      </w:pPr>
    </w:lvl>
    <w:lvl w:ilvl="2" w:tplc="0809001B" w:tentative="1">
      <w:start w:val="1"/>
      <w:numFmt w:val="lowerRoman"/>
      <w:lvlText w:val="%3."/>
      <w:lvlJc w:val="right"/>
      <w:pPr>
        <w:ind w:left="2642" w:hanging="180"/>
      </w:pPr>
    </w:lvl>
    <w:lvl w:ilvl="3" w:tplc="0809000F" w:tentative="1">
      <w:start w:val="1"/>
      <w:numFmt w:val="decimal"/>
      <w:lvlText w:val="%4."/>
      <w:lvlJc w:val="left"/>
      <w:pPr>
        <w:ind w:left="3362" w:hanging="360"/>
      </w:pPr>
    </w:lvl>
    <w:lvl w:ilvl="4" w:tplc="08090019" w:tentative="1">
      <w:start w:val="1"/>
      <w:numFmt w:val="lowerLetter"/>
      <w:lvlText w:val="%5."/>
      <w:lvlJc w:val="left"/>
      <w:pPr>
        <w:ind w:left="4082" w:hanging="360"/>
      </w:pPr>
    </w:lvl>
    <w:lvl w:ilvl="5" w:tplc="0809001B" w:tentative="1">
      <w:start w:val="1"/>
      <w:numFmt w:val="lowerRoman"/>
      <w:lvlText w:val="%6."/>
      <w:lvlJc w:val="right"/>
      <w:pPr>
        <w:ind w:left="4802" w:hanging="180"/>
      </w:pPr>
    </w:lvl>
    <w:lvl w:ilvl="6" w:tplc="0809000F" w:tentative="1">
      <w:start w:val="1"/>
      <w:numFmt w:val="decimal"/>
      <w:lvlText w:val="%7."/>
      <w:lvlJc w:val="left"/>
      <w:pPr>
        <w:ind w:left="5522" w:hanging="360"/>
      </w:pPr>
    </w:lvl>
    <w:lvl w:ilvl="7" w:tplc="08090019" w:tentative="1">
      <w:start w:val="1"/>
      <w:numFmt w:val="lowerLetter"/>
      <w:lvlText w:val="%8."/>
      <w:lvlJc w:val="left"/>
      <w:pPr>
        <w:ind w:left="6242" w:hanging="360"/>
      </w:pPr>
    </w:lvl>
    <w:lvl w:ilvl="8" w:tplc="08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9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C6B63E6"/>
    <w:multiLevelType w:val="singleLevel"/>
    <w:tmpl w:val="0292EEF0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3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8"/>
  </w:num>
  <w:num w:numId="5">
    <w:abstractNumId w:val="10"/>
  </w:num>
  <w:num w:numId="6">
    <w:abstractNumId w:val="17"/>
  </w:num>
  <w:num w:numId="7">
    <w:abstractNumId w:val="27"/>
  </w:num>
  <w:num w:numId="8">
    <w:abstractNumId w:val="29"/>
  </w:num>
  <w:num w:numId="9">
    <w:abstractNumId w:val="15"/>
  </w:num>
  <w:num w:numId="10">
    <w:abstractNumId w:val="26"/>
  </w:num>
  <w:num w:numId="11">
    <w:abstractNumId w:val="25"/>
  </w:num>
  <w:num w:numId="12">
    <w:abstractNumId w:val="19"/>
  </w:num>
  <w:num w:numId="13">
    <w:abstractNumId w:val="22"/>
  </w:num>
  <w:num w:numId="14">
    <w:abstractNumId w:val="8"/>
  </w:num>
  <w:num w:numId="15">
    <w:abstractNumId w:val="16"/>
  </w:num>
  <w:num w:numId="16">
    <w:abstractNumId w:val="4"/>
  </w:num>
  <w:num w:numId="17">
    <w:abstractNumId w:val="11"/>
  </w:num>
  <w:num w:numId="18">
    <w:abstractNumId w:val="30"/>
  </w:num>
  <w:num w:numId="19">
    <w:abstractNumId w:val="13"/>
  </w:num>
  <w:num w:numId="20">
    <w:abstractNumId w:val="32"/>
  </w:num>
  <w:num w:numId="21">
    <w:abstractNumId w:val="28"/>
  </w:num>
  <w:num w:numId="22">
    <w:abstractNumId w:val="20"/>
  </w:num>
  <w:num w:numId="23">
    <w:abstractNumId w:val="7"/>
  </w:num>
  <w:num w:numId="24">
    <w:abstractNumId w:val="9"/>
  </w:num>
  <w:num w:numId="25">
    <w:abstractNumId w:val="24"/>
    <w:lvlOverride w:ilvl="0">
      <w:startOverride w:val="1"/>
    </w:lvlOverride>
  </w:num>
  <w:num w:numId="26">
    <w:abstractNumId w:val="12"/>
  </w:num>
  <w:num w:numId="27">
    <w:abstractNumId w:val="3"/>
  </w:num>
  <w:num w:numId="28">
    <w:abstractNumId w:val="21"/>
  </w:num>
  <w:num w:numId="29">
    <w:abstractNumId w:val="2"/>
  </w:num>
  <w:num w:numId="30">
    <w:abstractNumId w:val="14"/>
  </w:num>
  <w:num w:numId="31">
    <w:abstractNumId w:val="6"/>
  </w:num>
  <w:num w:numId="32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hideSpellingErrors/>
  <w:hideGrammaticalErrors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fr-B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BDECDEDE-6E1A-48DA-9D28-15EC4E9C26A3"/>
    <w:docVar w:name="LW_COVERPAGE_TYPE" w:val="1"/>
    <w:docVar w:name="LW_CROSSREFERENCE" w:val="&lt;UNUSED&gt;"/>
    <w:docVar w:name="LW_DocType" w:val="REP"/>
    <w:docVar w:name="LW_EMISSION" w:val="19.11.2019."/>
    <w:docVar w:name="LW_EMISSION_ISODATE" w:val="2019-11-19"/>
    <w:docVar w:name="LW_EMISSION_LOCATION" w:val="BRX"/>
    <w:docVar w:name="LW_EMISSION_PREFIX" w:val="Bruxelles, "/>
    <w:docVar w:name="LW_EMISSION_SUFFIX" w:val="&lt;EMPTY&gt;"/>
    <w:docVar w:name="LW_ID_DOCTYPE_NONLW" w:val="CP-006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59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o izvr\u353?avanju ovlasti za dono\u353?enje delegiranih akata dodijeljene Komisiji na temelju Direktive 2014/94/EU Europskog parlamenta i Vije\u263?a od 22. listopada 2014. o uspostavi infrastrukture za alternativna goriva"/>
    <w:docVar w:name="LW_TYPE.DOC.CP" w:val="IZVJE\u352?\u262?E KOMISIJE EUROPSKOM PARLAMENTU I VIJE\u262?U"/>
  </w:docVars>
  <w:rsids>
    <w:rsidRoot w:val="00D6303E"/>
    <w:rsid w:val="00AE6C58"/>
    <w:rsid w:val="00D6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976AE90-43A9-443F-9CFE-8C710084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  <w:rPr>
      <w:rFonts w:ascii="Times New Roman" w:hAnsi="Times New Roman" w:cs="Times New Roman"/>
      <w:sz w:val="24"/>
      <w:szCs w:val="24"/>
    </w:r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</w:pPr>
  </w:style>
  <w:style w:type="paragraph" w:customStyle="1" w:styleId="AddressTL">
    <w:name w:val="AddressTL"/>
    <w:basedOn w:val="Normal"/>
    <w:next w:val="Normal"/>
    <w:pPr>
      <w:spacing w:after="720"/>
    </w:p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</w:pPr>
  </w:style>
  <w:style w:type="paragraph" w:customStyle="1" w:styleId="References">
    <w:name w:val="References"/>
    <w:basedOn w:val="Normal"/>
    <w:next w:val="AddressTR"/>
    <w:pPr>
      <w:ind w:left="5103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numPr>
        <w:numId w:val="0"/>
      </w:numPr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</w:p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19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19"/>
      </w:numPr>
      <w:spacing w:line="360" w:lineRule="auto"/>
      <w:ind w:left="952" w:hanging="476"/>
    </w:pPr>
  </w:style>
  <w:style w:type="paragraph" w:customStyle="1" w:styleId="LegalNumPar3">
    <w:name w:val="LegalNumPar3"/>
    <w:basedOn w:val="Normal"/>
    <w:pPr>
      <w:numPr>
        <w:ilvl w:val="2"/>
        <w:numId w:val="19"/>
      </w:numPr>
      <w:spacing w:line="360" w:lineRule="auto"/>
    </w:pPr>
  </w:style>
  <w:style w:type="character" w:styleId="PageNumber">
    <w:name w:val="page number"/>
    <w:basedOn w:val="DefaultParagraphFont"/>
    <w:uiPriority w:val="99"/>
    <w:semiHidden/>
    <w:unhideWhenUsed/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onsidrant">
    <w:name w:val="Considérant"/>
    <w:basedOn w:val="Normal"/>
    <w:pPr>
      <w:numPr>
        <w:numId w:val="20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eastAsiaTheme="minorHAnsi"/>
      <w:sz w:val="24"/>
      <w:szCs w:val="22"/>
      <w:lang w:eastAsia="en-US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eastAsiaTheme="minorHAnsi"/>
      <w:b/>
      <w:sz w:val="32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eastAsiaTheme="minorHAnsi"/>
      <w:sz w:val="24"/>
      <w:szCs w:val="22"/>
      <w:lang w:eastAsia="en-US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eastAsiaTheme="minorHAnsi"/>
      <w:b/>
      <w:sz w:val="32"/>
      <w:szCs w:val="22"/>
      <w:lang w:eastAsia="en-US"/>
    </w:rPr>
  </w:style>
  <w:style w:type="character" w:customStyle="1" w:styleId="BodyPlaceholderText">
    <w:name w:val="BodyPlaceholderText"/>
    <w:basedOn w:val="PlaceholderText"/>
    <w:uiPriority w:val="1"/>
    <w:semiHidden/>
    <w:rPr>
      <w:color w:val="3366CC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Theme="minorHAnsi" w:eastAsiaTheme="minorHAnsi" w:hAnsiTheme="minorHAnsi" w:cstheme="minorBidi"/>
      <w:b/>
      <w:bCs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art">
    <w:name w:val="ti-ar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customStyle="1" w:styleId="Tiret0">
    <w:name w:val="Tiret 0"/>
    <w:basedOn w:val="Normal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iret3">
    <w:name w:val="Tiret 3"/>
    <w:basedOn w:val="Normal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doc-ti">
    <w:name w:val="doc-ti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uriserv:OJ.L_.2018.114.01.0001.01.E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uthor Role="Creator">
  <Id>751c4b5e-1cf5-4f61-b2e7-6cc821cbb6fe</Id>
  <Names>
    <Latin>
      <FirstName>Herald</FirstName>
      <LastName>RUIJTERS</LastName>
    </Latin>
    <Greek>
      <FirstName/>
      <LastName/>
    </Greek>
    <Cyrillic>
      <FirstName/>
      <LastName/>
    </Cyrillic>
    <DocumentScript>
      <FirstName>Herald</FirstName>
      <LastName>RUIJTERS</LastName>
      <FullName>Herald RUIJTERS</FullName>
    </DocumentScript>
  </Names>
  <Initials>HR</Initials>
  <Gender>m</Gender>
  <Email>Herald.RUIJTERS@ec.europa.eu</Email>
  <Service>MOVE.DDG1.B</Service>
  <Function ShowInSignature="false">Director</Function>
  <WebAddress/>
  <InheritedWebAddress>WebAddress</InheritedWebAddress>
  <OrgaEntity1>
    <Id>ea1c3ed3-e8e7-4193-871c-fb723702a017</Id>
    <LogicalLevel>1</LogicalLevel>
    <Name>MOVE</Name>
    <HeadLine1>DIRECTORATE-GENERAL FOR MOBILITY AND TRANSPORT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14d4d6da-d69c-4940-972d-a6e5b743c263</Id>
    <LogicalLevel>2</LogicalLevel>
    <Name>MOVE.DDG1.B</Name>
    <HeadLine1>Directorate B - Investment, Innovative &amp; Sustainable Transport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f6e386b3-212f-490a-a5ed-9eb35f3ff909</Id>
    <LogicalLevel>3</LogicalLevel>
    <Name>MOVE.DDG1.B</Name>
    <HeadLine1>The Director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</PhoneNumberPrefix>
      <Location>Luxembourg,</Location>
      <Footer>Commission européenne, 2920 Luxembourg, LUXEMBOURG - Tel. +352 43011</Footer>
    </Address>
  </Addresses>
  <JobAssignmentId/>
  <MainWorkplace IsMain="true">
    <AddressId>f03b5801-04c9-4931-aa17-c6d6c70bc579</AddressId>
    <Fax/>
    <Phone>+32 229 68372</Phone>
    <Office>DM28 06/109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+32 229 68372</Phone>
      <Office>DM28 06/109</Office>
    </Workplace>
  </Workplaces>
</Author>
</file>

<file path=customXml/item2.xml><?xml version="1.0" encoding="utf-8"?>
<Texts>
  <SecurityPersonalData>Personal data</SecurityPersonalData>
  <SecurityPharma>Pharma investigations</SecurityPharma>
  <MarkingUntilText>UNTIL</MarkingUntilText>
  <LabelPictureSeq>Picture {SEQ Picture \* ARABIC } – </LabelPictureSeq>
  <SecurityMediationServiceMatter>Mediation service</SecurityMediationServiceMatter>
  <SecurityEconomyAndFinance>Economy and finance</SecurityEconomyAndFinance>
  <FooterFax>Fax</FooterFax>
  <FooterOffice>Office:</FooterOffice>
  <SecurityOlafInvestigations>OLAF investigations</SecurityOlafInvestigations>
  <TechHistory>Document History</TechHistory>
  <SensitiveHandling>Handling instructions for SENSITIVE information are given at https://europa.eu/!db43PX</SensitiveHandling>
  <SecurityOlafSpecialHandling>OLAF investigations</SecurityOlafSpecialHandling>
  <SecurityPersonal>Personal</SecurityPersonal>
  <CourtProceduralDocuments>Court procedural documents</CourtProceduralDocuments>
  <OrgaRoot>EUROPEAN COMMISSION</OrgaRoot>
  <TechHistoryComment>Comment</TechHistoryComment>
  <Contact>Contact:</Contact>
  <SensitiveLabel>Sensitive</SensitiveLabel>
  <SpecialHandlingLabel>Special Handling</SpecialHandlingLabel>
  <SecurityInvestigationsDisciplinary>Investigations and disciplinary matters</SecurityInvestigationsDisciplinary>
  <SecurityCompOperations>COMP Operations</SecurityCompOperations>
  <SecurityEuSatellite>EU satellite navigation matters</SecurityEuSatellite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https://europa.eu/!db43PX</SpecialHandlingFootnote>
  <SecurityEtsSensitive>ETS</SecurityEtsSensitive>
  <SecurityEtsCritical>ETS Critical</SecurityEtsCritical>
  <SecurityCompSpecial>COMP</SecurityCompSpecial>
  <LabelSource>Source</LabelSource>
  <SecurityPharmaSpecial>Pharma investigations</SecurityPharmaSpecial>
  <TOCHeading>Table of Contents</TOCHeading>
  <TechHistoryDate>Date</TechHistoryDate>
  <AddressFooterBrussels>Commission européenne/Europese Commissie, 1049 Bruxelles/Brussel, BELGIQUE/BELGIË - Tel. +32 22991111</AddressFooterBrussels>
  <SecurityIasOperations>IAS operations</SecurityIasOperations>
  <TechHistoryCreatedBy>Document created by</TechHistoryCreatedBy>
  <FooterPhone>Tel. direct line</FooterPhone>
  <SecuritySecurityMatter>Security matter</SecuritySecurityMatter>
  <SecurityPersonalDataHandling>Shall only be communicated on a need to know basis pursuant to Regulation (EC) No 45/2001. Where e-mail is used, this must be encrypted using SECEM.</SecurityPersonalDataHandling>
  <TechHistoryVersion>Version</TechHistoryVersion>
  <TLPAmber>TLP: Amber</TLPAmber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3.xml><?xml version="1.0" encoding="utf-8"?>
<EurolookProperties>
  <ProductCustomizationId/>
  <Created>
    <Version>4.6</Version>
    <Date>2019-06-07T13:06:23</Date>
    <Language>EN</Language>
  </Created>
  <Edited>
    <Version>10.0.40183.0</Version>
    <Date>2019-11-19T11:24:52</Date>
  </Edited>
  <DocumentModel>
    <Id>6cbda13a-4db2-46c6-876a-ef72275827ef</Id>
    <Name>Report</Name>
  </DocumentModel>
  <DocumentDate/>
  <DocumentVersion/>
  <CompatibilityMode>Eurolook4X</CompatibilityMode>
  <Address/>
</Eurolook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CA16-6294-4FDC-AAFB-1966959CF558}">
  <ds:schemaRefs/>
</ds:datastoreItem>
</file>

<file path=customXml/itemProps2.xml><?xml version="1.0" encoding="utf-8"?>
<ds:datastoreItem xmlns:ds="http://schemas.openxmlformats.org/officeDocument/2006/customXml" ds:itemID="{B85048A5-D475-4A7B-B5B1-D79BC785FA0C}">
  <ds:schemaRefs/>
</ds:datastoreItem>
</file>

<file path=customXml/itemProps3.xml><?xml version="1.0" encoding="utf-8"?>
<ds:datastoreItem xmlns:ds="http://schemas.openxmlformats.org/officeDocument/2006/customXml" ds:itemID="{2761420F-9BCB-4B8D-8367-718BBE15CE73}">
  <ds:schemaRefs/>
</ds:datastoreItem>
</file>

<file path=customXml/itemProps4.xml><?xml version="1.0" encoding="utf-8"?>
<ds:datastoreItem xmlns:ds="http://schemas.openxmlformats.org/officeDocument/2006/customXml" ds:itemID="{53198DE6-23BA-4CF5-AC4D-87A9932A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Eurolook.dotm</Template>
  <TotalTime>7</TotalTime>
  <Pages>8</Pages>
  <Words>1944</Words>
  <Characters>11296</Characters>
  <Application>Microsoft Office Word</Application>
  <DocSecurity>0</DocSecurity>
  <PresentationFormat>Microsoft Word 14.0</PresentationFormat>
  <Lines>213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EL4</cp:keywords>
  <cp:lastModifiedBy>TORRE UNGUREANU Ana-Claudia (SG)</cp:lastModifiedBy>
  <cp:revision>16</cp:revision>
  <cp:lastPrinted>2019-09-30T13:19:00Z</cp:lastPrinted>
  <dcterms:created xsi:type="dcterms:W3CDTF">2019-11-15T11:41:00Z</dcterms:created>
  <dcterms:modified xsi:type="dcterms:W3CDTF">2019-11-19T10:24:00Z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7.0, Build 20190717</vt:lpwstr>
  </property>
  <property fmtid="{D5CDD505-2E9C-101B-9397-08002B2CF9AE}" pid="4" name="Language">
    <vt:lpwstr>EN</vt:lpwstr>
  </property>
  <property fmtid="{D5CDD505-2E9C-101B-9397-08002B2CF9AE}" pid="5" name="Level of sensitivity">
    <vt:lpwstr>Standard treatment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_LW_INVALIDATED_TemplateVersion">
    <vt:lpwstr>4.6.5.1000</vt:lpwstr>
  </property>
  <property fmtid="{D5CDD505-2E9C-101B-9397-08002B2CF9AE}" pid="10" name="_LW_INVALIDATED_EurolookVersion">
    <vt:lpwstr>4.6</vt:lpwstr>
  </property>
  <property fmtid="{D5CDD505-2E9C-101B-9397-08002B2CF9AE}" pid="11" name="_LW_INVALIDATED_DocID_EU">
    <vt:lpwstr> </vt:lpwstr>
  </property>
  <property fmtid="{D5CDD505-2E9C-101B-9397-08002B2CF9AE}" pid="12" name="_LW_INVALIDATED_ELDocType">
    <vt:lpwstr>rep.dot</vt:lpwstr>
  </property>
  <property fmtid="{D5CDD505-2E9C-101B-9397-08002B2CF9AE}" pid="13" name="_LW_INVALIDATED_Formatting">
    <vt:lpwstr>4.1</vt:lpwstr>
  </property>
  <property fmtid="{D5CDD505-2E9C-101B-9397-08002B2CF9AE}" pid="14" name="_LW_INVALIDATED_EL_Author">
    <vt:lpwstr>Herald RUIJTERS</vt:lpwstr>
  </property>
  <property fmtid="{D5CDD505-2E9C-101B-9397-08002B2CF9AE}" pid="15" name="_LW_INVALIDATED_Type">
    <vt:lpwstr>Eurolook Report</vt:lpwstr>
  </property>
  <property fmtid="{D5CDD505-2E9C-101B-9397-08002B2CF9AE}" pid="16" name="_LW_INVALIDATED_EL_Language">
    <vt:lpwstr>EN</vt:lpwstr>
  </property>
  <property fmtid="{D5CDD505-2E9C-101B-9397-08002B2CF9AE}" pid="17" name="CPTemplateID">
    <vt:lpwstr>CP-006</vt:lpwstr>
  </property>
</Properties>
</file>