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9A" w:rsidRDefault="001F1B6D">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B79A22F-2C79-4433-BC44-540491B471B0" style="width:450.25pt;height:347.85pt">
            <v:imagedata r:id="rId11" o:title=""/>
          </v:shape>
        </w:pict>
      </w:r>
    </w:p>
    <w:bookmarkEnd w:id="0"/>
    <w:p w:rsidR="00275A9A" w:rsidRDefault="00275A9A">
      <w:pPr>
        <w:pStyle w:val="Pagedecouverture"/>
        <w:rPr>
          <w:noProof/>
          <w:szCs w:val="24"/>
        </w:rPr>
        <w:sectPr w:rsidR="00275A9A">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299"/>
        </w:sectPr>
      </w:pPr>
    </w:p>
    <w:p w:rsidR="00275A9A" w:rsidRDefault="001F1B6D">
      <w:pPr>
        <w:ind w:left="360"/>
        <w:jc w:val="center"/>
        <w:rPr>
          <w:rFonts w:ascii="Times New Roman" w:hAnsi="Times New Roman" w:cs="Times New Roman"/>
          <w:b/>
          <w:noProof/>
          <w:sz w:val="24"/>
          <w:szCs w:val="24"/>
        </w:rPr>
      </w:pPr>
      <w:r>
        <w:rPr>
          <w:rFonts w:ascii="Times New Roman" w:hAnsi="Times New Roman"/>
          <w:b/>
          <w:noProof/>
          <w:sz w:val="24"/>
          <w:szCs w:val="24"/>
        </w:rPr>
        <w:lastRenderedPageBreak/>
        <w:t>BERICHT DER KOMMISSION AN DAS EUROPÄISCHE PARLAMENT UND DEN RAT</w:t>
      </w:r>
    </w:p>
    <w:p w:rsidR="00275A9A" w:rsidRDefault="001F1B6D">
      <w:pPr>
        <w:ind w:left="360"/>
        <w:jc w:val="center"/>
        <w:rPr>
          <w:rFonts w:ascii="Times New Roman" w:hAnsi="Times New Roman" w:cs="Times New Roman"/>
          <w:b/>
          <w:noProof/>
          <w:sz w:val="24"/>
          <w:szCs w:val="24"/>
        </w:rPr>
      </w:pPr>
      <w:r>
        <w:rPr>
          <w:rFonts w:ascii="Times New Roman" w:hAnsi="Times New Roman"/>
          <w:b/>
          <w:noProof/>
          <w:sz w:val="24"/>
          <w:szCs w:val="24"/>
        </w:rPr>
        <w:t xml:space="preserve">über die Ausübung der der Kommission gemäß der Richtlinie 2014/94/EU des </w:t>
      </w:r>
      <w:r>
        <w:rPr>
          <w:rFonts w:ascii="Times New Roman" w:hAnsi="Times New Roman"/>
          <w:b/>
          <w:noProof/>
          <w:sz w:val="24"/>
          <w:szCs w:val="24"/>
        </w:rPr>
        <w:t>Europäischen Parlaments und des Rates vom 22. Oktober 2014 über den Aufbau der Infrastruktur für alternative Kraftstoffe übertragenen Befugnis zum Erlass delegierter Rechtsakte</w:t>
      </w:r>
    </w:p>
    <w:p w:rsidR="00275A9A" w:rsidRDefault="001F1B6D">
      <w:pPr>
        <w:pStyle w:val="Heading1"/>
        <w:rPr>
          <w:rFonts w:ascii="Times New Roman" w:hAnsi="Times New Roman" w:cs="Times New Roman"/>
          <w:smallCaps w:val="0"/>
          <w:noProof/>
          <w:sz w:val="24"/>
          <w:szCs w:val="24"/>
        </w:rPr>
      </w:pPr>
      <w:r>
        <w:rPr>
          <w:rFonts w:ascii="Times New Roman" w:hAnsi="Times New Roman"/>
          <w:smallCaps w:val="0"/>
          <w:noProof/>
          <w:sz w:val="24"/>
          <w:szCs w:val="24"/>
        </w:rPr>
        <w:t>EINFÜHRUNG</w:t>
      </w:r>
    </w:p>
    <w:p w:rsidR="00275A9A" w:rsidRDefault="001F1B6D">
      <w:pPr>
        <w:pStyle w:val="Text1"/>
        <w:ind w:left="0"/>
        <w:jc w:val="both"/>
        <w:rPr>
          <w:noProof/>
        </w:rPr>
      </w:pPr>
      <w:r>
        <w:rPr>
          <w:noProof/>
        </w:rPr>
        <w:t>In der Richtlinie 2014/94/EU des Europäischen Parlaments und des Rat</w:t>
      </w:r>
      <w:r>
        <w:rPr>
          <w:noProof/>
        </w:rPr>
        <w:t>es vom 22. Oktober 2014 über den Aufbau der Infrastruktur für alternative Kraftstoffe</w:t>
      </w:r>
      <w:r>
        <w:rPr>
          <w:rStyle w:val="FootnoteReference"/>
          <w:noProof/>
        </w:rPr>
        <w:footnoteReference w:id="2"/>
      </w:r>
      <w:r>
        <w:rPr>
          <w:noProof/>
        </w:rPr>
        <w:t xml:space="preserve"> werden Mindestanforderungen für den Aufbau der Infrastruktur für alternative Kraftstoffe festgelegt, einschließlich Ladepunkten für Elektrofahrzeuge sowie Tankstellen fü</w:t>
      </w:r>
      <w:r>
        <w:rPr>
          <w:noProof/>
        </w:rPr>
        <w:t xml:space="preserve">r Erdgas (LNG und CNG) und Wasserstoff. Nach Artikel 4 Absatz 4, Artikel 4 Absatz 6, Artikel 5 Absatz 2 und Artikel 6 Absatz 9 der Richtlinie müssen solche Ladepunkte und Tankstellen, die ab dem 18. November 2017 errichtet oder erneuert werden, mindestens </w:t>
      </w:r>
      <w:r>
        <w:rPr>
          <w:noProof/>
        </w:rPr>
        <w:t xml:space="preserve">den technischen Spezifikationen in Anhang II der Richtlinie entsprechen. </w:t>
      </w:r>
    </w:p>
    <w:p w:rsidR="00275A9A" w:rsidRDefault="001F1B6D">
      <w:pPr>
        <w:pStyle w:val="Text1"/>
        <w:ind w:left="0"/>
        <w:jc w:val="both"/>
        <w:rPr>
          <w:noProof/>
        </w:rPr>
      </w:pPr>
      <w:r>
        <w:rPr>
          <w:noProof/>
        </w:rPr>
        <w:t>Nach Artikel 8 der Richtlinie hat die Kommission die Befugnis zum Erlass delegierter Rechtsakte gemäß</w:t>
      </w:r>
    </w:p>
    <w:p w:rsidR="00275A9A" w:rsidRDefault="001F1B6D">
      <w:pPr>
        <w:pStyle w:val="Text1"/>
        <w:numPr>
          <w:ilvl w:val="0"/>
          <w:numId w:val="28"/>
        </w:numPr>
        <w:jc w:val="both"/>
        <w:rPr>
          <w:noProof/>
        </w:rPr>
      </w:pPr>
      <w:r>
        <w:rPr>
          <w:noProof/>
        </w:rPr>
        <w:t>Artikel 4 Absatz 14, um</w:t>
      </w:r>
    </w:p>
    <w:p w:rsidR="00275A9A" w:rsidRDefault="001F1B6D">
      <w:pPr>
        <w:pStyle w:val="Text1"/>
        <w:numPr>
          <w:ilvl w:val="0"/>
          <w:numId w:val="21"/>
        </w:numPr>
        <w:ind w:left="993"/>
        <w:jc w:val="both"/>
        <w:rPr>
          <w:noProof/>
        </w:rPr>
      </w:pPr>
      <w:r>
        <w:rPr>
          <w:noProof/>
        </w:rPr>
        <w:t xml:space="preserve">diesen Artikel und Anhang II Nummern 1.3, 1.4, 1.5, 1.6 </w:t>
      </w:r>
      <w:r>
        <w:rPr>
          <w:noProof/>
        </w:rPr>
        <w:t>und 1.8 dahingehend zu ergänzen, dass neu zu errichtende oder zu erneuernde Infrastrukturen den technischen Spezifikationen entsprechen müssen, die in den von den einschlägigen europäischen Normungsorganisationen (ESOs)</w:t>
      </w:r>
      <w:r>
        <w:rPr>
          <w:rStyle w:val="FootnoteReference"/>
          <w:noProof/>
        </w:rPr>
        <w:footnoteReference w:id="3"/>
      </w:r>
      <w:r>
        <w:rPr>
          <w:noProof/>
        </w:rPr>
        <w:t xml:space="preserve"> zu entwickelnden Normen enthalten s</w:t>
      </w:r>
      <w:r>
        <w:rPr>
          <w:noProof/>
        </w:rPr>
        <w:t>ind;</w:t>
      </w:r>
    </w:p>
    <w:p w:rsidR="00275A9A" w:rsidRDefault="001F1B6D">
      <w:pPr>
        <w:pStyle w:val="Text1"/>
        <w:numPr>
          <w:ilvl w:val="0"/>
          <w:numId w:val="21"/>
        </w:numPr>
        <w:ind w:left="993"/>
        <w:jc w:val="both"/>
        <w:rPr>
          <w:noProof/>
        </w:rPr>
      </w:pPr>
      <w:r>
        <w:rPr>
          <w:noProof/>
        </w:rPr>
        <w:t>die Bezugnahmen auf die in den technischen Spezifikationen in Anhang II Nummer 1 aufgeführten bzw. aufzuführenden Normen zu aktualisieren, wenn diese Normen durch neue, von den einschlägigen europäischen oder internationalen Normungsorganisationen ver</w:t>
      </w:r>
      <w:r>
        <w:rPr>
          <w:noProof/>
        </w:rPr>
        <w:t>abschiedete Fassungen ersetzt werden;</w:t>
      </w:r>
    </w:p>
    <w:p w:rsidR="00275A9A" w:rsidRDefault="001F1B6D">
      <w:pPr>
        <w:pStyle w:val="Text1"/>
        <w:numPr>
          <w:ilvl w:val="0"/>
          <w:numId w:val="28"/>
        </w:numPr>
        <w:jc w:val="both"/>
        <w:rPr>
          <w:noProof/>
        </w:rPr>
      </w:pPr>
      <w:r>
        <w:rPr>
          <w:noProof/>
        </w:rPr>
        <w:t>Artikel 5 Absatz 3, um die Bezugnahmen auf die in den technischen Spezifikationen in Anhang II Nummer 2 aufgeführten oder aufzuführenden Normen zu aktualisieren, wenn diese Normen durch neue, von den einschlägigen Norm</w:t>
      </w:r>
      <w:r>
        <w:rPr>
          <w:noProof/>
        </w:rPr>
        <w:t>ungsorganisationen verabschiedete Fassungen ersetzt werden;</w:t>
      </w:r>
    </w:p>
    <w:p w:rsidR="00275A9A" w:rsidRDefault="001F1B6D">
      <w:pPr>
        <w:pStyle w:val="Text1"/>
        <w:numPr>
          <w:ilvl w:val="0"/>
          <w:numId w:val="28"/>
        </w:numPr>
        <w:jc w:val="both"/>
        <w:rPr>
          <w:noProof/>
        </w:rPr>
      </w:pPr>
      <w:r>
        <w:rPr>
          <w:noProof/>
        </w:rPr>
        <w:t>Artikel 6 Absatz 11, um</w:t>
      </w:r>
    </w:p>
    <w:p w:rsidR="00275A9A" w:rsidRDefault="001F1B6D">
      <w:pPr>
        <w:pStyle w:val="Text1"/>
        <w:ind w:left="720"/>
        <w:jc w:val="both"/>
        <w:rPr>
          <w:noProof/>
        </w:rPr>
      </w:pPr>
      <w:r>
        <w:rPr>
          <w:noProof/>
        </w:rPr>
        <w:lastRenderedPageBreak/>
        <w:t>a) diesen Artikel und Anhang II Nummern 3.1, 3.2 und 3.4 zu ergänzen, um die Einhaltung der bereitzustellenden oder zu erneuernden Infrastruktur mit den in den von den eins</w:t>
      </w:r>
      <w:r>
        <w:rPr>
          <w:noProof/>
        </w:rPr>
        <w:t>chlägigen ESOs zu entwickelnden Normen enthaltenen technischen Spezifikationen zu verlangen;</w:t>
      </w:r>
    </w:p>
    <w:p w:rsidR="00275A9A" w:rsidRDefault="001F1B6D">
      <w:pPr>
        <w:pStyle w:val="Text1"/>
        <w:ind w:left="720"/>
        <w:jc w:val="both"/>
        <w:rPr>
          <w:noProof/>
        </w:rPr>
      </w:pPr>
      <w:r>
        <w:rPr>
          <w:noProof/>
        </w:rPr>
        <w:t>b) die Bezugnahmen auf die in den technischen Spezifikationen in Anhang II Nummer 3 aufgeführten oder aufzuführenden Normen zu aktualisieren, wenn diese Normen dur</w:t>
      </w:r>
      <w:r>
        <w:rPr>
          <w:noProof/>
        </w:rPr>
        <w:t>ch neue, von den einschlägigen europäischen oder internationalen Normungsorganisationen verabschiedete Fassungen ersetzt werden;</w:t>
      </w:r>
    </w:p>
    <w:p w:rsidR="00275A9A" w:rsidRDefault="001F1B6D">
      <w:pPr>
        <w:pStyle w:val="Text1"/>
        <w:ind w:left="720"/>
        <w:jc w:val="both"/>
        <w:rPr>
          <w:noProof/>
        </w:rPr>
      </w:pPr>
      <w:r>
        <w:rPr>
          <w:noProof/>
        </w:rPr>
        <w:t>Artikel 6 Absatz 12 zur Festlegung von</w:t>
      </w:r>
    </w:p>
    <w:p w:rsidR="00275A9A" w:rsidRDefault="001F1B6D">
      <w:pPr>
        <w:pStyle w:val="Text1"/>
        <w:ind w:left="720"/>
        <w:jc w:val="both"/>
        <w:rPr>
          <w:noProof/>
        </w:rPr>
      </w:pPr>
      <w:r>
        <w:rPr>
          <w:noProof/>
        </w:rPr>
        <w:t>- Anforderungen an Schnittstellen für den LNG-Bunkertransfer im See- und Binnenschiffsve</w:t>
      </w:r>
      <w:r>
        <w:rPr>
          <w:noProof/>
        </w:rPr>
        <w:t>rkehr;</w:t>
      </w:r>
    </w:p>
    <w:p w:rsidR="00275A9A" w:rsidRDefault="001F1B6D">
      <w:pPr>
        <w:pStyle w:val="Text1"/>
        <w:ind w:left="720"/>
        <w:jc w:val="both"/>
        <w:rPr>
          <w:noProof/>
        </w:rPr>
      </w:pPr>
      <w:r>
        <w:rPr>
          <w:noProof/>
        </w:rPr>
        <w:t>- Anforderungen in Bezug auf Sicherheitsaspekte bei den Verfahren zur Speicherung und zum Bunkern von LNG an Land im See- und Binnenschiffsverkehr.</w:t>
      </w:r>
    </w:p>
    <w:p w:rsidR="00275A9A" w:rsidRDefault="001F1B6D">
      <w:pPr>
        <w:pStyle w:val="Text1"/>
        <w:ind w:left="0"/>
        <w:jc w:val="both"/>
        <w:rPr>
          <w:noProof/>
        </w:rPr>
      </w:pPr>
      <w:r>
        <w:rPr>
          <w:noProof/>
        </w:rPr>
        <w:t xml:space="preserve">In der Richtlinie 2014/94/EU werden bereits technische Mindestanforderungen für einige Teile der </w:t>
      </w:r>
      <w:r>
        <w:rPr>
          <w:noProof/>
        </w:rPr>
        <w:t>Infrastrukturnetze für alternative Kraftstoffe vorgeschrieben, darunter</w:t>
      </w:r>
    </w:p>
    <w:p w:rsidR="00275A9A" w:rsidRDefault="001F1B6D">
      <w:pPr>
        <w:pStyle w:val="Text1"/>
        <w:numPr>
          <w:ilvl w:val="0"/>
          <w:numId w:val="30"/>
        </w:numPr>
        <w:jc w:val="both"/>
        <w:rPr>
          <w:noProof/>
        </w:rPr>
      </w:pPr>
      <w:r>
        <w:rPr>
          <w:noProof/>
        </w:rPr>
        <w:t>Normalladepunkte und Schnellladepunkte für Kraftfahrzeuge (Anhang II Nummern 1.1 und 1.2)</w:t>
      </w:r>
    </w:p>
    <w:p w:rsidR="00275A9A" w:rsidRDefault="001F1B6D">
      <w:pPr>
        <w:pStyle w:val="Text1"/>
        <w:numPr>
          <w:ilvl w:val="0"/>
          <w:numId w:val="30"/>
        </w:numPr>
        <w:jc w:val="both"/>
        <w:rPr>
          <w:noProof/>
        </w:rPr>
      </w:pPr>
      <w:r>
        <w:rPr>
          <w:noProof/>
        </w:rPr>
        <w:t>landseitige Stromversorgung für Seeschiffe (Anhang II Nummer 1.7)</w:t>
      </w:r>
    </w:p>
    <w:p w:rsidR="00275A9A" w:rsidRDefault="001F1B6D">
      <w:pPr>
        <w:pStyle w:val="Text1"/>
        <w:numPr>
          <w:ilvl w:val="0"/>
          <w:numId w:val="30"/>
        </w:numPr>
        <w:jc w:val="both"/>
        <w:rPr>
          <w:noProof/>
        </w:rPr>
      </w:pPr>
      <w:r>
        <w:rPr>
          <w:noProof/>
        </w:rPr>
        <w:t>Wasserstofftankstellen für K</w:t>
      </w:r>
      <w:r>
        <w:rPr>
          <w:noProof/>
        </w:rPr>
        <w:t>raftfahrzeuge (Anhang II Nummer 2)</w:t>
      </w:r>
    </w:p>
    <w:p w:rsidR="00275A9A" w:rsidRDefault="001F1B6D">
      <w:pPr>
        <w:pStyle w:val="Text1"/>
        <w:numPr>
          <w:ilvl w:val="0"/>
          <w:numId w:val="30"/>
        </w:numPr>
        <w:jc w:val="both"/>
        <w:rPr>
          <w:noProof/>
        </w:rPr>
      </w:pPr>
      <w:r>
        <w:rPr>
          <w:noProof/>
        </w:rPr>
        <w:t xml:space="preserve">Kupplungen/Behälter für komprimiertes Erdgas (CNG) (Anhang II Nummer 3.3) </w:t>
      </w:r>
    </w:p>
    <w:p w:rsidR="00275A9A" w:rsidRDefault="001F1B6D">
      <w:pPr>
        <w:pStyle w:val="Text1"/>
        <w:ind w:left="60"/>
        <w:jc w:val="both"/>
        <w:rPr>
          <w:noProof/>
        </w:rPr>
      </w:pPr>
      <w:r>
        <w:rPr>
          <w:noProof/>
        </w:rPr>
        <w:t>Diese Bestimmungen haben bereits dazu beigetragen, Sicherheit für Marktinvestitionen zu schaffen. In Anhang II der Richtlinie werden jedoch für di</w:t>
      </w:r>
      <w:r>
        <w:rPr>
          <w:noProof/>
        </w:rPr>
        <w:t>e Festlegung technischer Spezifikationen auch Bereiche genannt, in denen noch nicht auf Normen verwiesen werden kann, darunter</w:t>
      </w:r>
    </w:p>
    <w:p w:rsidR="00275A9A" w:rsidRDefault="001F1B6D">
      <w:pPr>
        <w:pStyle w:val="Text1"/>
        <w:numPr>
          <w:ilvl w:val="0"/>
          <w:numId w:val="31"/>
        </w:numPr>
        <w:jc w:val="both"/>
        <w:rPr>
          <w:noProof/>
        </w:rPr>
      </w:pPr>
      <w:r>
        <w:rPr>
          <w:noProof/>
        </w:rPr>
        <w:t>kabellose Ladepunkte für Kraftfahrzeuge (Anhang II Nummer 1.3)</w:t>
      </w:r>
    </w:p>
    <w:p w:rsidR="00275A9A" w:rsidRDefault="001F1B6D">
      <w:pPr>
        <w:pStyle w:val="Text1"/>
        <w:numPr>
          <w:ilvl w:val="0"/>
          <w:numId w:val="31"/>
        </w:numPr>
        <w:jc w:val="both"/>
        <w:rPr>
          <w:noProof/>
        </w:rPr>
      </w:pPr>
      <w:r>
        <w:rPr>
          <w:noProof/>
        </w:rPr>
        <w:t>Batterieaustausch bei Kraftfahrzeugen (Anhang II Nummer 1.4)</w:t>
      </w:r>
    </w:p>
    <w:p w:rsidR="00275A9A" w:rsidRDefault="001F1B6D">
      <w:pPr>
        <w:pStyle w:val="Text1"/>
        <w:numPr>
          <w:ilvl w:val="0"/>
          <w:numId w:val="31"/>
        </w:numPr>
        <w:jc w:val="both"/>
        <w:rPr>
          <w:noProof/>
        </w:rPr>
      </w:pPr>
      <w:r>
        <w:rPr>
          <w:noProof/>
        </w:rPr>
        <w:t>Ladep</w:t>
      </w:r>
      <w:r>
        <w:rPr>
          <w:noProof/>
        </w:rPr>
        <w:t>unkte für Kraftfahrzeuge der Klasse L (Anhang II Nummer 1.5)</w:t>
      </w:r>
    </w:p>
    <w:p w:rsidR="00275A9A" w:rsidRDefault="001F1B6D">
      <w:pPr>
        <w:pStyle w:val="Text1"/>
        <w:numPr>
          <w:ilvl w:val="0"/>
          <w:numId w:val="31"/>
        </w:numPr>
        <w:jc w:val="both"/>
        <w:rPr>
          <w:noProof/>
        </w:rPr>
      </w:pPr>
      <w:r>
        <w:rPr>
          <w:noProof/>
        </w:rPr>
        <w:t>Ladepunkte für Elektrobusse (Anhang II Nummer 1.6)</w:t>
      </w:r>
    </w:p>
    <w:p w:rsidR="00275A9A" w:rsidRDefault="001F1B6D">
      <w:pPr>
        <w:pStyle w:val="Text1"/>
        <w:numPr>
          <w:ilvl w:val="0"/>
          <w:numId w:val="31"/>
        </w:numPr>
        <w:jc w:val="both"/>
        <w:rPr>
          <w:noProof/>
        </w:rPr>
      </w:pPr>
      <w:r>
        <w:rPr>
          <w:noProof/>
        </w:rPr>
        <w:t>landseitige Stromversorgung für Binnenschiffe (Anhang II Nummer 1.8)</w:t>
      </w:r>
    </w:p>
    <w:p w:rsidR="00275A9A" w:rsidRDefault="001F1B6D">
      <w:pPr>
        <w:pStyle w:val="Text1"/>
        <w:numPr>
          <w:ilvl w:val="0"/>
          <w:numId w:val="31"/>
        </w:numPr>
        <w:jc w:val="both"/>
        <w:rPr>
          <w:noProof/>
        </w:rPr>
      </w:pPr>
      <w:r>
        <w:rPr>
          <w:noProof/>
        </w:rPr>
        <w:t>LNG-Tankstellen für Binnenschiffe, Seeschiffe und Kraftfahrzeuge (Anhang II</w:t>
      </w:r>
      <w:r>
        <w:rPr>
          <w:noProof/>
        </w:rPr>
        <w:t xml:space="preserve"> Nummern 3.1 und 3.2) </w:t>
      </w:r>
    </w:p>
    <w:p w:rsidR="00275A9A" w:rsidRDefault="001F1B6D">
      <w:pPr>
        <w:pStyle w:val="Text1"/>
        <w:numPr>
          <w:ilvl w:val="0"/>
          <w:numId w:val="31"/>
        </w:numPr>
        <w:jc w:val="both"/>
        <w:rPr>
          <w:noProof/>
        </w:rPr>
      </w:pPr>
      <w:r>
        <w:rPr>
          <w:noProof/>
        </w:rPr>
        <w:t>CNG-Tankstellen für Kraftfahrzeuge (Anhang II Nummer 3.4).</w:t>
      </w:r>
    </w:p>
    <w:p w:rsidR="00275A9A" w:rsidRDefault="001F1B6D">
      <w:pPr>
        <w:pStyle w:val="Text1"/>
        <w:ind w:left="60"/>
        <w:jc w:val="both"/>
        <w:rPr>
          <w:noProof/>
        </w:rPr>
      </w:pPr>
      <w:r>
        <w:rPr>
          <w:noProof/>
        </w:rPr>
        <w:t>Außerdem wurden die bereits vorhandenen technischen Spezifikationen für</w:t>
      </w:r>
    </w:p>
    <w:p w:rsidR="00275A9A" w:rsidRDefault="001F1B6D">
      <w:pPr>
        <w:pStyle w:val="Text1"/>
        <w:numPr>
          <w:ilvl w:val="0"/>
          <w:numId w:val="32"/>
        </w:numPr>
        <w:jc w:val="both"/>
        <w:rPr>
          <w:noProof/>
        </w:rPr>
      </w:pPr>
      <w:r>
        <w:rPr>
          <w:noProof/>
        </w:rPr>
        <w:t>Wasserstofftankstellen im Freien (Anhang II Nummer 2.1)</w:t>
      </w:r>
    </w:p>
    <w:p w:rsidR="00275A9A" w:rsidRDefault="001F1B6D">
      <w:pPr>
        <w:pStyle w:val="Text1"/>
        <w:numPr>
          <w:ilvl w:val="0"/>
          <w:numId w:val="32"/>
        </w:numPr>
        <w:jc w:val="both"/>
        <w:rPr>
          <w:noProof/>
        </w:rPr>
      </w:pPr>
      <w:r>
        <w:rPr>
          <w:noProof/>
        </w:rPr>
        <w:t xml:space="preserve">die Reinheit des an Wasserstofftankstellen </w:t>
      </w:r>
      <w:r>
        <w:rPr>
          <w:noProof/>
        </w:rPr>
        <w:t>angebotenen Wasserstoffs (Anhang II Nummer 2.2)</w:t>
      </w:r>
    </w:p>
    <w:p w:rsidR="00275A9A" w:rsidRDefault="001F1B6D">
      <w:pPr>
        <w:pStyle w:val="Text1"/>
        <w:numPr>
          <w:ilvl w:val="0"/>
          <w:numId w:val="32"/>
        </w:numPr>
        <w:jc w:val="both"/>
        <w:rPr>
          <w:noProof/>
        </w:rPr>
      </w:pPr>
      <w:r>
        <w:rPr>
          <w:noProof/>
        </w:rPr>
        <w:t xml:space="preserve"> Algorithmen und Ausrüstungen zur Betankung mit Wasserstoff (Anhang II Nummer 2.3)</w:t>
      </w:r>
    </w:p>
    <w:p w:rsidR="00275A9A" w:rsidRDefault="001F1B6D">
      <w:pPr>
        <w:pStyle w:val="Text1"/>
        <w:numPr>
          <w:ilvl w:val="0"/>
          <w:numId w:val="32"/>
        </w:numPr>
        <w:jc w:val="both"/>
        <w:rPr>
          <w:noProof/>
        </w:rPr>
      </w:pPr>
      <w:r>
        <w:rPr>
          <w:noProof/>
        </w:rPr>
        <w:t>Kupplungen für die Betankung von Kraftfahrzeugen mit gasförmigem Wasserstoff (Anhang II Nummer 2.4) und</w:t>
      </w:r>
    </w:p>
    <w:p w:rsidR="00275A9A" w:rsidRDefault="001F1B6D">
      <w:pPr>
        <w:pStyle w:val="Text1"/>
        <w:numPr>
          <w:ilvl w:val="0"/>
          <w:numId w:val="32"/>
        </w:numPr>
        <w:jc w:val="both"/>
        <w:rPr>
          <w:noProof/>
        </w:rPr>
      </w:pPr>
      <w:r>
        <w:rPr>
          <w:noProof/>
        </w:rPr>
        <w:t>CNG-Kupplungen/Behält</w:t>
      </w:r>
      <w:r>
        <w:rPr>
          <w:noProof/>
        </w:rPr>
        <w:t>er (Anhang II Nummer 3.3)</w:t>
      </w:r>
    </w:p>
    <w:p w:rsidR="00275A9A" w:rsidRDefault="001F1B6D">
      <w:pPr>
        <w:pStyle w:val="Text1"/>
        <w:ind w:left="0"/>
        <w:jc w:val="both"/>
        <w:rPr>
          <w:noProof/>
        </w:rPr>
      </w:pPr>
      <w:r>
        <w:rPr>
          <w:noProof/>
        </w:rPr>
        <w:t xml:space="preserve">aktualisiert, weil die einschlägigen europäischen Normungsorganisationen neue Fassungen der entsprechenden Normen verabschiedet haben. </w:t>
      </w:r>
    </w:p>
    <w:p w:rsidR="00275A9A" w:rsidRDefault="00275A9A">
      <w:pPr>
        <w:pStyle w:val="Text1"/>
        <w:ind w:left="0"/>
        <w:jc w:val="both"/>
        <w:rPr>
          <w:noProof/>
        </w:rPr>
      </w:pPr>
    </w:p>
    <w:p w:rsidR="00275A9A" w:rsidRDefault="001F1B6D">
      <w:pPr>
        <w:pStyle w:val="Heading1"/>
        <w:rPr>
          <w:rFonts w:ascii="Times New Roman" w:hAnsi="Times New Roman" w:cs="Times New Roman"/>
          <w:smallCaps w:val="0"/>
          <w:noProof/>
          <w:sz w:val="24"/>
          <w:szCs w:val="24"/>
        </w:rPr>
      </w:pPr>
      <w:r>
        <w:rPr>
          <w:rFonts w:ascii="Times New Roman" w:hAnsi="Times New Roman"/>
          <w:smallCaps w:val="0"/>
          <w:noProof/>
          <w:sz w:val="24"/>
          <w:szCs w:val="24"/>
        </w:rPr>
        <w:t xml:space="preserve">RECHTSGRUNDLAGE </w:t>
      </w:r>
    </w:p>
    <w:p w:rsidR="00275A9A" w:rsidRDefault="001F1B6D">
      <w:pPr>
        <w:pStyle w:val="Text1"/>
        <w:ind w:left="0"/>
        <w:jc w:val="both"/>
        <w:rPr>
          <w:noProof/>
        </w:rPr>
      </w:pPr>
      <w:r>
        <w:rPr>
          <w:noProof/>
        </w:rPr>
        <w:t>Dieser Bericht ist gemäß Artikel 8 Absatz 2 der Richtlinie 2014/94/EU zu übe</w:t>
      </w:r>
      <w:r>
        <w:rPr>
          <w:noProof/>
        </w:rPr>
        <w:t>rmitteln.</w:t>
      </w:r>
    </w:p>
    <w:p w:rsidR="00275A9A" w:rsidRDefault="001F1B6D">
      <w:pPr>
        <w:pStyle w:val="Text1"/>
        <w:ind w:left="0"/>
        <w:jc w:val="both"/>
        <w:rPr>
          <w:noProof/>
          <w:shd w:val="clear" w:color="auto" w:fill="FFFFFF"/>
        </w:rPr>
      </w:pPr>
      <w:r>
        <w:rPr>
          <w:noProof/>
        </w:rPr>
        <w:t xml:space="preserve">Mit diesem Bericht informiert die Kommission das Europäische Parlament und den Rat über die erlassenen oder zu erlassenden delegierten Verordnungen der Kommission, </w:t>
      </w:r>
      <w:r>
        <w:rPr>
          <w:noProof/>
          <w:shd w:val="clear" w:color="auto" w:fill="FFFFFF"/>
        </w:rPr>
        <w:t>mit denen die Bezugnahmen auf Normen in den technischen Spezifikationen des Anhang</w:t>
      </w:r>
      <w:r>
        <w:rPr>
          <w:noProof/>
          <w:shd w:val="clear" w:color="auto" w:fill="FFFFFF"/>
        </w:rPr>
        <w:t xml:space="preserve">s II Nummern 1.5, 1.8, 2.1, 2.2, 2.3, 2.4, 3.1, 3.2, 3.3 und 3.4 der Richtlinie ergänzt oder geändert werden. </w:t>
      </w:r>
    </w:p>
    <w:p w:rsidR="00275A9A" w:rsidRDefault="001F1B6D">
      <w:pPr>
        <w:pStyle w:val="Heading1"/>
        <w:rPr>
          <w:rFonts w:ascii="Times New Roman" w:hAnsi="Times New Roman" w:cs="Times New Roman"/>
          <w:smallCaps w:val="0"/>
          <w:noProof/>
          <w:sz w:val="24"/>
          <w:szCs w:val="24"/>
        </w:rPr>
      </w:pPr>
      <w:r>
        <w:rPr>
          <w:rFonts w:ascii="Times New Roman" w:hAnsi="Times New Roman"/>
          <w:smallCaps w:val="0"/>
          <w:noProof/>
          <w:sz w:val="24"/>
          <w:szCs w:val="24"/>
        </w:rPr>
        <w:t xml:space="preserve">AUSÜBUNG DER BEFUGNISÜBERTRAGUNG </w:t>
      </w:r>
    </w:p>
    <w:p w:rsidR="00275A9A" w:rsidRDefault="001F1B6D">
      <w:pPr>
        <w:pStyle w:val="Text1"/>
        <w:numPr>
          <w:ilvl w:val="0"/>
          <w:numId w:val="27"/>
        </w:numPr>
        <w:jc w:val="both"/>
        <w:rPr>
          <w:noProof/>
        </w:rPr>
      </w:pPr>
      <w:r>
        <w:rPr>
          <w:noProof/>
        </w:rPr>
        <w:t>Mit Schreiben vom 13. Juli 2017 informierte das CEN-CENELEC die Kommission über die von ihm empfohlenen Normen,</w:t>
      </w:r>
      <w:r>
        <w:rPr>
          <w:noProof/>
        </w:rPr>
        <w:t xml:space="preserve"> um die in Anhang II Nummern </w:t>
      </w:r>
      <w:r>
        <w:rPr>
          <w:noProof/>
          <w:shd w:val="clear" w:color="auto" w:fill="FFFFFF"/>
        </w:rPr>
        <w:t xml:space="preserve">1.5, 1.8, 2.4 und 3.1 </w:t>
      </w:r>
      <w:r>
        <w:rPr>
          <w:noProof/>
        </w:rPr>
        <w:t>der Richtlinie 2014/94/EU festgelegten technischen Spezifikationen zu ergänzen oder zu ändern, nämlich</w:t>
      </w:r>
    </w:p>
    <w:p w:rsidR="00275A9A" w:rsidRDefault="001F1B6D">
      <w:pPr>
        <w:pStyle w:val="Text1"/>
        <w:numPr>
          <w:ilvl w:val="0"/>
          <w:numId w:val="22"/>
        </w:numPr>
        <w:jc w:val="both"/>
        <w:rPr>
          <w:noProof/>
        </w:rPr>
      </w:pPr>
      <w:r>
        <w:rPr>
          <w:noProof/>
        </w:rPr>
        <w:t>die Norm EN 62196-2 „Stecker, Steckdosen, Fahrzeugkupplungen und Fahrzeugstecker. Konduktives Laden vo</w:t>
      </w:r>
      <w:r>
        <w:rPr>
          <w:noProof/>
        </w:rPr>
        <w:t>n Elektrofahrzeugen. Anforderungen und Hauptmaße für die Kompatibilität und Austauschbarkeit von Stift- und Buchsensteckvorrichtungen für Wechselstrom“ und die Norm IEC 60884-1 „Stecker und Steckdosen für den Hausgebrauch und ähnliche Zwecke – Teil 1: Allg</w:t>
      </w:r>
      <w:r>
        <w:rPr>
          <w:noProof/>
        </w:rPr>
        <w:t xml:space="preserve">emeine Anforderungen“ zur Ergänzung von Anhang II Nummer 1.5 in Bezug auf Ladepunkte zum Laden von Kraftfahrzeugen der Kategorie L – je nach Ladeleistung und/oder Lademodus; </w:t>
      </w:r>
    </w:p>
    <w:p w:rsidR="00275A9A" w:rsidRDefault="001F1B6D">
      <w:pPr>
        <w:pStyle w:val="Text1"/>
        <w:numPr>
          <w:ilvl w:val="0"/>
          <w:numId w:val="22"/>
        </w:numPr>
        <w:jc w:val="both"/>
        <w:rPr>
          <w:noProof/>
        </w:rPr>
      </w:pPr>
      <w:r>
        <w:rPr>
          <w:noProof/>
        </w:rPr>
        <w:t>die Norm EN 15869-2 „Fahrzeuge der Binnenschifffahrt - Elektrischer Landanschluss</w:t>
      </w:r>
      <w:r>
        <w:rPr>
          <w:noProof/>
        </w:rPr>
        <w:t>, Drehstrom 400 V, bis zu 63 A, 50 Hz - Teil 2: Landseitiger Teil, zusätzliche Anforderungen“ zur Ergänzung von Anhang II Nummer 1.8 für die landseitige Stromversorgung für Binnenschiffe;</w:t>
      </w:r>
    </w:p>
    <w:p w:rsidR="00275A9A" w:rsidRDefault="001F1B6D">
      <w:pPr>
        <w:pStyle w:val="Text1"/>
        <w:numPr>
          <w:ilvl w:val="0"/>
          <w:numId w:val="22"/>
        </w:numPr>
        <w:jc w:val="both"/>
        <w:rPr>
          <w:noProof/>
        </w:rPr>
      </w:pPr>
      <w:r>
        <w:rPr>
          <w:noProof/>
        </w:rPr>
        <w:t>die Norm EN ISO 17268 für „Kupplungen für die Betankung von Kraftfah</w:t>
      </w:r>
      <w:r>
        <w:rPr>
          <w:noProof/>
        </w:rPr>
        <w:t xml:space="preserve">rzeugen mit gasförmigem Wasserstoff“ zur Änderung von Anhang II Nummer 2.4 für Wasserstoffkupplungen; </w:t>
      </w:r>
    </w:p>
    <w:p w:rsidR="00275A9A" w:rsidRDefault="001F1B6D">
      <w:pPr>
        <w:pStyle w:val="Text1"/>
        <w:numPr>
          <w:ilvl w:val="0"/>
          <w:numId w:val="22"/>
        </w:numPr>
        <w:jc w:val="both"/>
        <w:rPr>
          <w:noProof/>
        </w:rPr>
      </w:pPr>
      <w:r>
        <w:rPr>
          <w:noProof/>
        </w:rPr>
        <w:t>die Norm EN ISO 20519 „Schiffe und Meerestechnik - Spezifikation für das Bunkern flüssigerdgasbetriebener Schiffe“ zur Ergänzung von Anhang II Nummer 3.1</w:t>
      </w:r>
      <w:r>
        <w:rPr>
          <w:noProof/>
        </w:rPr>
        <w:t xml:space="preserve"> für Binnenschiffe oder Seeschiffe.</w:t>
      </w:r>
    </w:p>
    <w:p w:rsidR="00275A9A" w:rsidRDefault="001F1B6D">
      <w:pPr>
        <w:pStyle w:val="Text1"/>
        <w:ind w:left="0"/>
        <w:jc w:val="both"/>
        <w:rPr>
          <w:noProof/>
        </w:rPr>
      </w:pPr>
      <w:r>
        <w:rPr>
          <w:noProof/>
        </w:rPr>
        <w:t>Nach Konsultation der Sachverständigengruppe „Forum für nachhaltigen Verkehr“ der Kommission und nach der Mitteilung an das Europäische Parlament und den Rat über diese Konsultation verabschiedete die Europäische Kommiss</w:t>
      </w:r>
      <w:r>
        <w:rPr>
          <w:noProof/>
        </w:rPr>
        <w:t>ion die Delegierte Verordnung (EU) 2018/674 vom 17. November 2017 zur Ergänzung der Richtlinie 2014/94/EU des Europäischen Parlaments und des Rates in Bezug auf Ladepunkte für Kraftfahrzeuge der Klasse L, landseitige Energieversorgung für Binnenschiffe, Ta</w:t>
      </w:r>
      <w:r>
        <w:rPr>
          <w:noProof/>
        </w:rPr>
        <w:t>nkstellen für LNG für Schiffsverkehr und zur Änderung der Richtlinie in Bezug auf Kupplungen für Kraftfahrzeuge für das Betanken mit gasförmigem Wasserstoff</w:t>
      </w:r>
      <w:r>
        <w:rPr>
          <w:noProof/>
          <w:vertAlign w:val="superscript"/>
        </w:rPr>
        <w:footnoteReference w:id="4"/>
      </w:r>
      <w:r>
        <w:rPr>
          <w:noProof/>
        </w:rPr>
        <w:t>.</w:t>
      </w:r>
    </w:p>
    <w:p w:rsidR="00275A9A" w:rsidRDefault="001F1B6D">
      <w:pPr>
        <w:pStyle w:val="Text1"/>
        <w:ind w:left="0"/>
        <w:jc w:val="both"/>
        <w:rPr>
          <w:noProof/>
        </w:rPr>
      </w:pPr>
      <w:r>
        <w:rPr>
          <w:noProof/>
        </w:rPr>
        <w:t>In dieser delegierten Verordnung sind die folgenden Bestimmungen festgelegt:</w:t>
      </w:r>
    </w:p>
    <w:p w:rsidR="00275A9A" w:rsidRDefault="001F1B6D">
      <w:pPr>
        <w:pStyle w:val="Text1"/>
        <w:numPr>
          <w:ilvl w:val="0"/>
          <w:numId w:val="24"/>
        </w:numPr>
        <w:jc w:val="both"/>
        <w:rPr>
          <w:noProof/>
        </w:rPr>
      </w:pPr>
      <w:r>
        <w:rPr>
          <w:noProof/>
        </w:rPr>
        <w:t xml:space="preserve">Die öffentlich </w:t>
      </w:r>
      <w:r>
        <w:rPr>
          <w:noProof/>
        </w:rPr>
        <w:t>zugänglichen Wechselstrom-Ladepunkte, die für Elektrofahrzeuge der Klasse L bis zu 3,7 kVA reserviert sind, sind aus Gründen der Interoperabilität mindestens mit einem der folgenden Systeme auszustatten.</w:t>
      </w:r>
    </w:p>
    <w:p w:rsidR="00275A9A" w:rsidRDefault="001F1B6D">
      <w:pPr>
        <w:pStyle w:val="Text1"/>
        <w:numPr>
          <w:ilvl w:val="1"/>
          <w:numId w:val="24"/>
        </w:numPr>
        <w:jc w:val="both"/>
        <w:rPr>
          <w:noProof/>
        </w:rPr>
      </w:pPr>
      <w:r>
        <w:rPr>
          <w:noProof/>
        </w:rPr>
        <w:t xml:space="preserve">Steckdosen oder Fahrzeugkupplungen des Typs 3a nach </w:t>
      </w:r>
      <w:r>
        <w:rPr>
          <w:noProof/>
        </w:rPr>
        <w:t>der Norm EN 62196-2 (für den Klasse-3-Lademodus);</w:t>
      </w:r>
    </w:p>
    <w:p w:rsidR="00275A9A" w:rsidRDefault="001F1B6D">
      <w:pPr>
        <w:pStyle w:val="Text1"/>
        <w:numPr>
          <w:ilvl w:val="1"/>
          <w:numId w:val="24"/>
        </w:numPr>
        <w:jc w:val="both"/>
        <w:rPr>
          <w:noProof/>
        </w:rPr>
      </w:pPr>
      <w:r>
        <w:rPr>
          <w:noProof/>
        </w:rPr>
        <w:t>Steckdosen und Kupplungen, die IEC 60884 (für Klasse-1-Lademodus und Klasse-2-Lademodus) entsprechen.</w:t>
      </w:r>
    </w:p>
    <w:p w:rsidR="00275A9A" w:rsidRDefault="001F1B6D">
      <w:pPr>
        <w:pStyle w:val="Text1"/>
        <w:ind w:left="720"/>
        <w:jc w:val="both"/>
        <w:rPr>
          <w:noProof/>
        </w:rPr>
      </w:pPr>
      <w:r>
        <w:rPr>
          <w:noProof/>
        </w:rPr>
        <w:t xml:space="preserve">Die öffentlich zugänglichen Wechselstrom-Ladepunkte, die für Elektrofahrzeuge der Klasse L über 3,7 kVA </w:t>
      </w:r>
      <w:r>
        <w:rPr>
          <w:noProof/>
        </w:rPr>
        <w:t>reserviert sind, sind aus Gründen der Interoperabilität mindestens mit Steckdosen oder Fahrzeugkupplungen vom Typ 2 nach der Norm EN 62196-2 auszustatten.</w:t>
      </w:r>
    </w:p>
    <w:p w:rsidR="00275A9A" w:rsidRDefault="001F1B6D">
      <w:pPr>
        <w:pStyle w:val="Text1"/>
        <w:numPr>
          <w:ilvl w:val="0"/>
          <w:numId w:val="24"/>
        </w:numPr>
        <w:jc w:val="both"/>
        <w:rPr>
          <w:noProof/>
        </w:rPr>
      </w:pPr>
      <w:r>
        <w:rPr>
          <w:noProof/>
        </w:rPr>
        <w:t>Die landseitige Stromversorgung für Binnenschiffe muss der Norm EN 15869-2 „Fahrzeuge der Binnenschif</w:t>
      </w:r>
      <w:r>
        <w:rPr>
          <w:noProof/>
        </w:rPr>
        <w:t>ffahrt – Elektrischer Landanschluss, Drehstrom 400 V, bis zu 63 A, 50 Hz - Teil 2: Landseitiger Teil, zusätzliche Anforderungen“ entsprechen.</w:t>
      </w:r>
    </w:p>
    <w:p w:rsidR="00275A9A" w:rsidRDefault="001F1B6D">
      <w:pPr>
        <w:pStyle w:val="Text1"/>
        <w:numPr>
          <w:ilvl w:val="0"/>
          <w:numId w:val="24"/>
        </w:numPr>
        <w:jc w:val="both"/>
        <w:rPr>
          <w:noProof/>
        </w:rPr>
      </w:pPr>
      <w:r>
        <w:rPr>
          <w:noProof/>
        </w:rPr>
        <w:t>Die LNG-Tankstellen für Binnen- oder Seeschiffe, die nicht unter den Internationalen Code für den Bau und die Ausr</w:t>
      </w:r>
      <w:r>
        <w:rPr>
          <w:noProof/>
        </w:rPr>
        <w:t>üstung von Flüssiggas als Massengut befördernden Schiffen fallen, müssen der Norm EN ISO 20519 entsprechen.</w:t>
      </w:r>
    </w:p>
    <w:p w:rsidR="00275A9A" w:rsidRDefault="001F1B6D">
      <w:pPr>
        <w:pStyle w:val="Text1"/>
        <w:numPr>
          <w:ilvl w:val="0"/>
          <w:numId w:val="24"/>
        </w:numPr>
        <w:jc w:val="both"/>
        <w:rPr>
          <w:noProof/>
        </w:rPr>
      </w:pPr>
      <w:r>
        <w:rPr>
          <w:noProof/>
        </w:rPr>
        <w:t>Die Kupplungen für Kraftfahrzeuge für die Betankung mit gasförmigem Wasserstoff müssen der Norm EN ISO 17268 „Gasförmiger Wasserstoff – Anschlussvor</w:t>
      </w:r>
      <w:r>
        <w:rPr>
          <w:noProof/>
        </w:rPr>
        <w:t>richtungen für die Betankung von Landfahrzeugen“ entsprechen.</w:t>
      </w:r>
    </w:p>
    <w:p w:rsidR="00275A9A" w:rsidRDefault="001F1B6D">
      <w:pPr>
        <w:pStyle w:val="Text1"/>
        <w:numPr>
          <w:ilvl w:val="0"/>
          <w:numId w:val="27"/>
        </w:numPr>
        <w:ind w:left="0"/>
        <w:jc w:val="both"/>
        <w:rPr>
          <w:noProof/>
        </w:rPr>
      </w:pPr>
      <w:r>
        <w:rPr>
          <w:noProof/>
        </w:rPr>
        <w:t>Nachdem einzelne Mitgliedsstaaten und die Zentralkommission für die Rheinschifffahrt (CCNR) um technische Aktualisierung und Ergänzung der Delegierten Verordnung (EU) 2018/674 der Kommission vom</w:t>
      </w:r>
      <w:r>
        <w:rPr>
          <w:noProof/>
        </w:rPr>
        <w:t xml:space="preserve"> 17. November 2017 gebeten hatten und das CEN-CENELEC die Kommission mit Schreiben vom 26. November 2018 über die neuen Entwicklungen bei der Normung der Infrastruktur zum Betanken mit Erdgas und Wasserstoff informiert hatte, verabschiedete die Kommission </w:t>
      </w:r>
      <w:r>
        <w:rPr>
          <w:noProof/>
        </w:rPr>
        <w:t>am 13. August 2019 eine neue delegierte Verordnung</w:t>
      </w:r>
      <w:r>
        <w:rPr>
          <w:rStyle w:val="FootnoteReference"/>
          <w:noProof/>
        </w:rPr>
        <w:footnoteReference w:id="5"/>
      </w:r>
      <w:r>
        <w:rPr>
          <w:noProof/>
        </w:rPr>
        <w:t xml:space="preserve"> zur Aufhebung der Delegierten Verordnung (EU) 2018/674 der Kommission vom 17. November 2017 und zur Aufnahme der oben genannten Aktualisierungen und Ergänzungen sowie der neuen Entwicklungen bei der Normu</w:t>
      </w:r>
      <w:r>
        <w:rPr>
          <w:noProof/>
        </w:rPr>
        <w:t xml:space="preserve">ng der Infrastruktur zum Betanken mit Erdgas und Wasserstoff. </w:t>
      </w:r>
    </w:p>
    <w:p w:rsidR="00275A9A" w:rsidRDefault="001F1B6D">
      <w:pPr>
        <w:pStyle w:val="Text1"/>
        <w:ind w:left="0"/>
        <w:jc w:val="both"/>
        <w:rPr>
          <w:noProof/>
        </w:rPr>
      </w:pPr>
      <w:r>
        <w:rPr>
          <w:noProof/>
        </w:rPr>
        <w:t>Diese delegierte Verordnung der Kommission</w:t>
      </w:r>
    </w:p>
    <w:p w:rsidR="00275A9A" w:rsidRDefault="001F1B6D">
      <w:pPr>
        <w:pStyle w:val="Text1"/>
        <w:numPr>
          <w:ilvl w:val="0"/>
          <w:numId w:val="23"/>
        </w:numPr>
        <w:jc w:val="both"/>
        <w:rPr>
          <w:noProof/>
        </w:rPr>
      </w:pPr>
      <w:r>
        <w:rPr>
          <w:noProof/>
        </w:rPr>
        <w:t>ergänzt Nummer 1.5 durch Aufnahme der Normen für Ladepunkte für Kraftfahrzeuge der Klasse L, je nach Ladeleistung und/oder Lademodus, nämlich</w:t>
      </w:r>
    </w:p>
    <w:p w:rsidR="00275A9A" w:rsidRDefault="001F1B6D">
      <w:pPr>
        <w:pStyle w:val="ListParagraph"/>
        <w:numPr>
          <w:ilvl w:val="1"/>
          <w:numId w:val="23"/>
        </w:numPr>
        <w:jc w:val="both"/>
        <w:rPr>
          <w:rFonts w:ascii="Times New Roman" w:hAnsi="Times New Roman" w:cs="Times New Roman"/>
          <w:noProof/>
          <w:sz w:val="24"/>
          <w:szCs w:val="24"/>
        </w:rPr>
      </w:pPr>
      <w:r>
        <w:rPr>
          <w:rFonts w:ascii="Times New Roman" w:hAnsi="Times New Roman"/>
          <w:noProof/>
          <w:sz w:val="24"/>
          <w:szCs w:val="24"/>
        </w:rPr>
        <w:t xml:space="preserve"> EN 6219</w:t>
      </w:r>
      <w:r>
        <w:rPr>
          <w:rFonts w:ascii="Times New Roman" w:hAnsi="Times New Roman"/>
          <w:noProof/>
          <w:sz w:val="24"/>
          <w:szCs w:val="24"/>
        </w:rPr>
        <w:t xml:space="preserve">6-2 „Stecker, Steckdosen, Fahrzeugkupplungen und Fahrzeugstecker. Konduktives Laden von Elektrofahrzeugen. Anforderungen und Hauptmaße für die Kompatibilität und Austauschbarkeit von Stift- und Buchsensteckvorrichtungen für Wechselstrom“ und </w:t>
      </w:r>
    </w:p>
    <w:p w:rsidR="00275A9A" w:rsidRDefault="001F1B6D">
      <w:pPr>
        <w:pStyle w:val="ListParagraph"/>
        <w:numPr>
          <w:ilvl w:val="1"/>
          <w:numId w:val="23"/>
        </w:numPr>
        <w:jc w:val="both"/>
        <w:rPr>
          <w:rFonts w:ascii="Times New Roman" w:hAnsi="Times New Roman" w:cs="Times New Roman"/>
          <w:noProof/>
          <w:sz w:val="24"/>
          <w:szCs w:val="24"/>
        </w:rPr>
      </w:pPr>
      <w:r>
        <w:rPr>
          <w:rFonts w:ascii="Times New Roman" w:hAnsi="Times New Roman"/>
          <w:noProof/>
          <w:sz w:val="24"/>
          <w:szCs w:val="24"/>
        </w:rPr>
        <w:t>IEC 60884-1 „</w:t>
      </w:r>
      <w:r>
        <w:rPr>
          <w:rFonts w:ascii="Times New Roman" w:hAnsi="Times New Roman"/>
          <w:noProof/>
          <w:sz w:val="24"/>
          <w:szCs w:val="24"/>
        </w:rPr>
        <w:t>Stecker und Steckdosen für den Hausgebrauch und ähnliche Zwecke - Teil 1: Allgemeine Anforderungen“.</w:t>
      </w:r>
    </w:p>
    <w:p w:rsidR="00275A9A" w:rsidRPr="001F1B6D" w:rsidRDefault="001F1B6D">
      <w:pPr>
        <w:pStyle w:val="Text1"/>
        <w:numPr>
          <w:ilvl w:val="0"/>
          <w:numId w:val="23"/>
        </w:numPr>
        <w:jc w:val="both"/>
        <w:rPr>
          <w:noProof/>
        </w:rPr>
      </w:pPr>
      <w:r>
        <w:rPr>
          <w:noProof/>
        </w:rPr>
        <w:t xml:space="preserve">ergänzt Anhang II Nummer 1.8 durch Aufnahme der Norm über die </w:t>
      </w:r>
      <w:bookmarkStart w:id="1" w:name="_GoBack"/>
      <w:r w:rsidRPr="001F1B6D">
        <w:rPr>
          <w:noProof/>
        </w:rPr>
        <w:t xml:space="preserve">landseitige Stromversorgung für Binnenschiffe, nämlich </w:t>
      </w:r>
    </w:p>
    <w:p w:rsidR="00275A9A" w:rsidRPr="001F1B6D" w:rsidRDefault="001F1B6D">
      <w:pPr>
        <w:pStyle w:val="ListParagraph"/>
        <w:numPr>
          <w:ilvl w:val="1"/>
          <w:numId w:val="23"/>
        </w:numPr>
        <w:jc w:val="both"/>
        <w:rPr>
          <w:rFonts w:ascii="Times New Roman" w:hAnsi="Times New Roman"/>
          <w:noProof/>
          <w:sz w:val="24"/>
        </w:rPr>
      </w:pPr>
      <w:r w:rsidRPr="001F1B6D">
        <w:rPr>
          <w:rFonts w:ascii="Times New Roman" w:hAnsi="Times New Roman"/>
          <w:noProof/>
          <w:sz w:val="24"/>
          <w:szCs w:val="24"/>
        </w:rPr>
        <w:t>Norm EN 15869-2 „Fahrzeuge der Binnen</w:t>
      </w:r>
      <w:r w:rsidRPr="001F1B6D">
        <w:rPr>
          <w:rFonts w:ascii="Times New Roman" w:hAnsi="Times New Roman"/>
          <w:noProof/>
          <w:sz w:val="24"/>
          <w:szCs w:val="24"/>
        </w:rPr>
        <w:t xml:space="preserve">schifffahrt - Elektrischer Landanschluss, Drehstrom 400 V, bis zu 63 A, 50 Hz - Teil 2: Landseitiger Teil, zusätzliche Anforderungen“ </w:t>
      </w:r>
      <w:r w:rsidRPr="001F1B6D">
        <w:rPr>
          <w:rFonts w:ascii="Times New Roman" w:hAnsi="Times New Roman"/>
          <w:noProof/>
          <w:sz w:val="24"/>
        </w:rPr>
        <w:t>oder Norm EN 16840 „Fahrzeuge der Binnenschifffahrt - Elektrischer Landanschluss, Drehstrom 400 V, 50 Hz, und mindestens 2</w:t>
      </w:r>
      <w:r w:rsidRPr="001F1B6D">
        <w:rPr>
          <w:rFonts w:ascii="Times New Roman" w:hAnsi="Times New Roman"/>
          <w:noProof/>
          <w:sz w:val="24"/>
        </w:rPr>
        <w:t>50 A“ je nach den Energieanforderungen;</w:t>
      </w:r>
    </w:p>
    <w:p w:rsidR="00275A9A" w:rsidRDefault="001F1B6D">
      <w:pPr>
        <w:pStyle w:val="Text1"/>
        <w:numPr>
          <w:ilvl w:val="0"/>
          <w:numId w:val="23"/>
        </w:numPr>
        <w:jc w:val="both"/>
        <w:rPr>
          <w:noProof/>
        </w:rPr>
      </w:pPr>
      <w:r w:rsidRPr="001F1B6D">
        <w:rPr>
          <w:noProof/>
        </w:rPr>
        <w:t xml:space="preserve">ändert Anhang II Nummern 2.1 und </w:t>
      </w:r>
      <w:bookmarkEnd w:id="1"/>
      <w:r>
        <w:rPr>
          <w:noProof/>
        </w:rPr>
        <w:t>2.3 durch Aufnahme der europäischen Norm EN 17127 „Wasserstofftankstellen im Außenbereich zur Abgabe gasförmigen Wasserstoffs und Betankungsprotokolle umfassend“;</w:t>
      </w:r>
    </w:p>
    <w:p w:rsidR="00275A9A" w:rsidRDefault="001F1B6D">
      <w:pPr>
        <w:pStyle w:val="Text1"/>
        <w:numPr>
          <w:ilvl w:val="0"/>
          <w:numId w:val="23"/>
        </w:numPr>
        <w:jc w:val="both"/>
        <w:rPr>
          <w:noProof/>
        </w:rPr>
      </w:pPr>
      <w:r>
        <w:rPr>
          <w:noProof/>
        </w:rPr>
        <w:t>ändert Anhang II Num</w:t>
      </w:r>
      <w:r>
        <w:rPr>
          <w:noProof/>
        </w:rPr>
        <w:t xml:space="preserve">mer 2.2 durch Aufnahme der europäischen Norm EN 17124 „Wasserstoff als Kraftstoff - Produktfestlegung und Qualitätssicherung - Protonenaustauschmembran(PEM)-Brennstoffzellenanwendungen für Straßenfahrzeuge“; </w:t>
      </w:r>
    </w:p>
    <w:p w:rsidR="00275A9A" w:rsidRDefault="001F1B6D">
      <w:pPr>
        <w:pStyle w:val="Text1"/>
        <w:numPr>
          <w:ilvl w:val="0"/>
          <w:numId w:val="23"/>
        </w:numPr>
        <w:jc w:val="both"/>
        <w:rPr>
          <w:noProof/>
        </w:rPr>
      </w:pPr>
      <w:r>
        <w:rPr>
          <w:noProof/>
        </w:rPr>
        <w:t xml:space="preserve">ändert Anhang II Nummer 2.4 durch Aufnahme der </w:t>
      </w:r>
      <w:r>
        <w:rPr>
          <w:noProof/>
        </w:rPr>
        <w:t>europäischen Norm EN ISO 17268 „Gasförmiger Wasserstoff - Anschlussvorrichtungen für die Betankung von Landfahrzeugen“;</w:t>
      </w:r>
    </w:p>
    <w:p w:rsidR="00275A9A" w:rsidRDefault="001F1B6D">
      <w:pPr>
        <w:pStyle w:val="Text1"/>
        <w:numPr>
          <w:ilvl w:val="0"/>
          <w:numId w:val="23"/>
        </w:numPr>
        <w:jc w:val="both"/>
        <w:rPr>
          <w:noProof/>
        </w:rPr>
      </w:pPr>
      <w:r>
        <w:rPr>
          <w:noProof/>
        </w:rPr>
        <w:t>ergänzt Anhang II Nummer 3.1 durch Aufnahme von Normen für LNG-Tankstellen für Seeschiffe und Binnenschiffe, nämlich</w:t>
      </w:r>
    </w:p>
    <w:p w:rsidR="00275A9A" w:rsidRDefault="001F1B6D">
      <w:pPr>
        <w:pStyle w:val="Text1"/>
        <w:numPr>
          <w:ilvl w:val="1"/>
          <w:numId w:val="23"/>
        </w:numPr>
        <w:jc w:val="both"/>
        <w:rPr>
          <w:noProof/>
        </w:rPr>
      </w:pPr>
      <w:r>
        <w:rPr>
          <w:noProof/>
        </w:rPr>
        <w:t>EN ISO 20519 „Schif</w:t>
      </w:r>
      <w:r>
        <w:rPr>
          <w:noProof/>
        </w:rPr>
        <w:t>fe und Meerestechnik - Spezifikation für das Bunkern flüssigerdgasbetriebener Schiffe“, die auf Seeschiffe Anwendung findet, die nicht unter den Internationalen Code (IGC-Code) für den Bau und die Ausrüstung von Schiffen fallen, die Flüssiggas als Massengu</w:t>
      </w:r>
      <w:r>
        <w:rPr>
          <w:noProof/>
        </w:rPr>
        <w:t>t befördern;</w:t>
      </w:r>
    </w:p>
    <w:p w:rsidR="00275A9A" w:rsidRDefault="001F1B6D">
      <w:pPr>
        <w:pStyle w:val="Text1"/>
        <w:numPr>
          <w:ilvl w:val="1"/>
          <w:numId w:val="23"/>
        </w:numPr>
        <w:jc w:val="both"/>
        <w:rPr>
          <w:noProof/>
        </w:rPr>
      </w:pPr>
      <w:r>
        <w:rPr>
          <w:noProof/>
        </w:rPr>
        <w:t>EN ISO 20519 (Teile 5.3 bis 5.7), die auf Binnenschiffe Anwendung findet;</w:t>
      </w:r>
    </w:p>
    <w:p w:rsidR="00275A9A" w:rsidRDefault="001F1B6D">
      <w:pPr>
        <w:pStyle w:val="Text1"/>
        <w:numPr>
          <w:ilvl w:val="0"/>
          <w:numId w:val="23"/>
        </w:numPr>
        <w:jc w:val="both"/>
        <w:rPr>
          <w:noProof/>
        </w:rPr>
      </w:pPr>
      <w:r>
        <w:rPr>
          <w:noProof/>
        </w:rPr>
        <w:t xml:space="preserve">ergänzt Anhang II Nummer 3.2 durch Aufnahme von Interoperabilitätselementen der europäischen Norm EN ISO 16924 „Erdgastankstellen - Tankstellen für verflüssigtes Erdgas </w:t>
      </w:r>
      <w:r>
        <w:rPr>
          <w:noProof/>
        </w:rPr>
        <w:t>(LNG) zur Betankung von Fahrzeugen“, darunter der Betankungsdruck und die zu verwendende Kupplung;</w:t>
      </w:r>
    </w:p>
    <w:p w:rsidR="00275A9A" w:rsidRDefault="001F1B6D">
      <w:pPr>
        <w:pStyle w:val="Text1"/>
        <w:numPr>
          <w:ilvl w:val="0"/>
          <w:numId w:val="23"/>
        </w:numPr>
        <w:jc w:val="both"/>
        <w:rPr>
          <w:noProof/>
        </w:rPr>
      </w:pPr>
      <w:r>
        <w:rPr>
          <w:noProof/>
        </w:rPr>
        <w:t xml:space="preserve">ändert Anhang II Nummer 3.3 durch die Anforderung, die europäische Norm EN ISO 14469 „Straßenfahrzeuge - Betankungsanschluss für komprimiertes Erdgas (CNG)“ </w:t>
      </w:r>
      <w:r>
        <w:rPr>
          <w:noProof/>
        </w:rPr>
        <w:t xml:space="preserve">auf die CNG-Kupplungen/-Behälter anzuwenden; </w:t>
      </w:r>
    </w:p>
    <w:p w:rsidR="00275A9A" w:rsidRDefault="001F1B6D">
      <w:pPr>
        <w:pStyle w:val="Text1"/>
        <w:numPr>
          <w:ilvl w:val="0"/>
          <w:numId w:val="23"/>
        </w:numPr>
        <w:jc w:val="both"/>
        <w:rPr>
          <w:noProof/>
        </w:rPr>
      </w:pPr>
      <w:r>
        <w:rPr>
          <w:noProof/>
        </w:rPr>
        <w:t>ergänzt Anhang II Nummer 3.4 durch Aufnahme der Interoperabilitätselemente der europäischen Norm EN ISO 16923 „Erdgastankstellen – Tankstellen für verflüssigtes Erdgas (LNG) zur Betankung von Fahrzeugen“, darun</w:t>
      </w:r>
      <w:r>
        <w:rPr>
          <w:noProof/>
        </w:rPr>
        <w:t xml:space="preserve">ter der Betankungsdruck. </w:t>
      </w:r>
    </w:p>
    <w:p w:rsidR="00275A9A" w:rsidRDefault="001F1B6D">
      <w:pPr>
        <w:pStyle w:val="Text1"/>
        <w:ind w:left="0"/>
        <w:jc w:val="both"/>
        <w:rPr>
          <w:noProof/>
        </w:rPr>
      </w:pPr>
      <w:r>
        <w:rPr>
          <w:noProof/>
        </w:rPr>
        <w:t xml:space="preserve">Der Entwurf dieser delegierten Verordnung der Kommission wurde vom 15. März 2019 bis zum 12. April 2019 auf dem Portal „Bessere Rechtsetzung“ veröffentlicht. Die Kommission erhielt Rückmeldungen von zehn Teilnehmern. Die im Forum </w:t>
      </w:r>
      <w:r>
        <w:rPr>
          <w:noProof/>
        </w:rPr>
        <w:t xml:space="preserve">für nachhaltigen Verkehr vertretenen Sachverständigen der Mitgliedstaaten wurden in verschiedenen Phasen der Ausarbeitung der delegierten Verordnung der Kommission konsultiert. </w:t>
      </w:r>
    </w:p>
    <w:p w:rsidR="00275A9A" w:rsidRDefault="001F1B6D">
      <w:pPr>
        <w:pStyle w:val="Text1"/>
        <w:ind w:left="0"/>
        <w:jc w:val="both"/>
        <w:rPr>
          <w:noProof/>
        </w:rPr>
      </w:pPr>
      <w:r>
        <w:rPr>
          <w:noProof/>
        </w:rPr>
        <w:t>Die Kommission nahm die delegierte Verordnung am 13. August 2019</w:t>
      </w:r>
      <w:r>
        <w:rPr>
          <w:rStyle w:val="FootnoteReference"/>
          <w:noProof/>
        </w:rPr>
        <w:footnoteReference w:id="6"/>
      </w:r>
      <w:r>
        <w:rPr>
          <w:noProof/>
        </w:rPr>
        <w:t xml:space="preserve"> an. Gemäß Ar</w:t>
      </w:r>
      <w:r>
        <w:rPr>
          <w:noProof/>
        </w:rPr>
        <w:t xml:space="preserve">tikel 8 Absatz 5 der Richtlinie 2014/94/EU wurden der Europäische Rat und das Europäische Parlament konsultiert und es wurden keine Einwände erhoben. Diese delegierte Verordnung der Kommission tritt daher am zwanzigsten Tag nach ihrer Veröffentlichung im </w:t>
      </w:r>
      <w:r>
        <w:rPr>
          <w:i/>
          <w:noProof/>
        </w:rPr>
        <w:t>A</w:t>
      </w:r>
      <w:r>
        <w:rPr>
          <w:i/>
          <w:noProof/>
        </w:rPr>
        <w:t>mtsblatt der Europäischen Union</w:t>
      </w:r>
      <w:r>
        <w:rPr>
          <w:noProof/>
        </w:rPr>
        <w:t xml:space="preserve"> am 22. Oktober 2019 in Kraft. Sie gilt ab dem 12. November 2021. </w:t>
      </w:r>
    </w:p>
    <w:p w:rsidR="00275A9A" w:rsidRDefault="001F1B6D">
      <w:pPr>
        <w:pStyle w:val="Text1"/>
        <w:ind w:left="0"/>
        <w:jc w:val="both"/>
        <w:rPr>
          <w:noProof/>
        </w:rPr>
      </w:pPr>
      <w:r>
        <w:rPr>
          <w:noProof/>
        </w:rPr>
        <w:t>Zudem ist die Annahme einer neuen delegierten Verordnung der Kommission für das vierte Quartal 2020 vorgesehen, um die technischen Spezifikationen für Anhang II Nummern 1.3 (kabellose Ladepunkte für Kraftfahrzeuge) und 1.6 (Ladepunkte für Elektrobusse) der</w:t>
      </w:r>
      <w:r>
        <w:rPr>
          <w:noProof/>
        </w:rPr>
        <w:t xml:space="preserve"> Richtlinie 2014/94/EU zu ergänzen. </w:t>
      </w:r>
    </w:p>
    <w:p w:rsidR="00275A9A" w:rsidRDefault="001F1B6D">
      <w:pPr>
        <w:pStyle w:val="Text1"/>
        <w:ind w:left="0"/>
        <w:jc w:val="both"/>
        <w:rPr>
          <w:noProof/>
        </w:rPr>
      </w:pPr>
      <w:r>
        <w:rPr>
          <w:noProof/>
        </w:rPr>
        <w:t xml:space="preserve">Die Kommission beabsichtigt nicht, die technischen Spezifikationen bezüglich Anhang II Nummer 1.4 (Batterieaustausch für Kraftfahrzeuge) in die oben angekündigte delegierte Verordnung der Kommission einzubeziehen, weil </w:t>
      </w:r>
      <w:r>
        <w:rPr>
          <w:noProof/>
        </w:rPr>
        <w:t xml:space="preserve">die einschlägige europäische Normungsorganisation eine solche Norm nicht als Priorität für die Industrie der EU betrachtet. </w:t>
      </w:r>
    </w:p>
    <w:p w:rsidR="00275A9A" w:rsidRDefault="001F1B6D">
      <w:pPr>
        <w:pStyle w:val="Heading1"/>
        <w:rPr>
          <w:rFonts w:ascii="Times New Roman" w:hAnsi="Times New Roman" w:cs="Times New Roman"/>
          <w:smallCaps w:val="0"/>
          <w:noProof/>
          <w:sz w:val="24"/>
          <w:szCs w:val="24"/>
        </w:rPr>
      </w:pPr>
      <w:r>
        <w:rPr>
          <w:rFonts w:ascii="Times New Roman" w:hAnsi="Times New Roman"/>
          <w:smallCaps w:val="0"/>
          <w:noProof/>
          <w:sz w:val="24"/>
          <w:szCs w:val="24"/>
        </w:rPr>
        <w:t xml:space="preserve">SCHLUSSFOLGERUNGEN UND AUSBLICK </w:t>
      </w:r>
    </w:p>
    <w:p w:rsidR="00275A9A" w:rsidRDefault="001F1B6D">
      <w:pPr>
        <w:pStyle w:val="Text1"/>
        <w:ind w:left="0"/>
        <w:jc w:val="both"/>
        <w:rPr>
          <w:noProof/>
        </w:rPr>
      </w:pPr>
      <w:r>
        <w:rPr>
          <w:noProof/>
        </w:rPr>
        <w:t xml:space="preserve">Die Kommission ersucht das Europäische Parlament und den Rat, diesen Bericht zur Kenntnis zu </w:t>
      </w:r>
      <w:r>
        <w:rPr>
          <w:noProof/>
        </w:rPr>
        <w:t>nehmen.</w:t>
      </w:r>
    </w:p>
    <w:sectPr w:rsidR="00275A9A">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CC4BE" w16cid:durableId="2135F0BD"/>
  <w16cid:commentId w16cid:paraId="101398B1" w16cid:durableId="2135F190"/>
  <w16cid:commentId w16cid:paraId="0CEA7850" w16cid:durableId="2135F0EA"/>
  <w16cid:commentId w16cid:paraId="24305BAF" w16cid:durableId="2135F374"/>
  <w16cid:commentId w16cid:paraId="336B3BFE" w16cid:durableId="21360000"/>
  <w16cid:commentId w16cid:paraId="6031BE4A" w16cid:durableId="21360023"/>
  <w16cid:commentId w16cid:paraId="79D949FA" w16cid:durableId="213606A7"/>
  <w16cid:commentId w16cid:paraId="666DD3C8" w16cid:durableId="21360543"/>
  <w16cid:commentId w16cid:paraId="431005D6" w16cid:durableId="213601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A9A" w:rsidRDefault="001F1B6D">
      <w:pPr>
        <w:spacing w:after="0" w:line="240" w:lineRule="auto"/>
      </w:pPr>
      <w:r>
        <w:separator/>
      </w:r>
    </w:p>
  </w:endnote>
  <w:endnote w:type="continuationSeparator" w:id="0">
    <w:p w:rsidR="00275A9A" w:rsidRDefault="001F1B6D">
      <w:pPr>
        <w:spacing w:after="0" w:line="240" w:lineRule="auto"/>
      </w:pPr>
      <w:r>
        <w:continuationSeparator/>
      </w:r>
    </w:p>
  </w:endnote>
  <w:endnote w:type="continuationNotice" w:id="1">
    <w:p w:rsidR="00275A9A" w:rsidRDefault="00275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9A" w:rsidRDefault="00275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9A" w:rsidRDefault="001F1B6D">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9A" w:rsidRDefault="00275A9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9A" w:rsidRDefault="00275A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9A" w:rsidRDefault="001F1B6D">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9A" w:rsidRDefault="0027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A9A" w:rsidRDefault="001F1B6D">
      <w:pPr>
        <w:spacing w:after="0" w:line="240" w:lineRule="auto"/>
      </w:pPr>
      <w:r>
        <w:separator/>
      </w:r>
    </w:p>
  </w:footnote>
  <w:footnote w:type="continuationSeparator" w:id="0">
    <w:p w:rsidR="00275A9A" w:rsidRDefault="001F1B6D">
      <w:pPr>
        <w:spacing w:after="0" w:line="240" w:lineRule="auto"/>
      </w:pPr>
      <w:r>
        <w:continuationSeparator/>
      </w:r>
    </w:p>
  </w:footnote>
  <w:footnote w:type="continuationNotice" w:id="1">
    <w:p w:rsidR="00275A9A" w:rsidRDefault="00275A9A">
      <w:pPr>
        <w:spacing w:after="0" w:line="240" w:lineRule="auto"/>
      </w:pPr>
    </w:p>
  </w:footnote>
  <w:footnote w:id="2">
    <w:p w:rsidR="00275A9A" w:rsidRDefault="001F1B6D">
      <w:pPr>
        <w:pStyle w:val="FootnoteText"/>
        <w:spacing w:after="0"/>
        <w:contextualSpacing/>
        <w:rPr>
          <w:rFonts w:ascii="Times New Roman" w:hAnsi="Times New Roman" w:cs="Times New Roman"/>
          <w:sz w:val="24"/>
          <w:szCs w:val="24"/>
        </w:rPr>
      </w:pPr>
      <w:r>
        <w:rPr>
          <w:rStyle w:val="FootnoteReference"/>
        </w:rPr>
        <w:footnoteRef/>
      </w:r>
      <w:r>
        <w:t xml:space="preserve"> </w:t>
      </w:r>
      <w:r>
        <w:rPr>
          <w:rFonts w:ascii="Times New Roman" w:hAnsi="Times New Roman"/>
          <w:szCs w:val="20"/>
        </w:rPr>
        <w:t>ABl. L 307 vom 28.10.2014, S. 1.</w:t>
      </w:r>
    </w:p>
  </w:footnote>
  <w:footnote w:id="3">
    <w:p w:rsidR="00275A9A" w:rsidRDefault="001F1B6D">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Das Europäische Komitee für Normung (CEN) und das Europäische Komitee für</w:t>
      </w:r>
      <w:r>
        <w:rPr>
          <w:rFonts w:ascii="Times New Roman" w:hAnsi="Times New Roman"/>
          <w:color w:val="222222"/>
        </w:rPr>
        <w:t xml:space="preserve"> </w:t>
      </w:r>
      <w:r>
        <w:rPr>
          <w:rFonts w:ascii="Times New Roman" w:hAnsi="Times New Roman"/>
        </w:rPr>
        <w:t>elektrotechnische Normung (CENELEC).</w:t>
      </w:r>
    </w:p>
  </w:footnote>
  <w:footnote w:id="4">
    <w:p w:rsidR="00275A9A" w:rsidRDefault="001F1B6D">
      <w:pPr>
        <w:pStyle w:val="FootnoteText"/>
        <w:rPr>
          <w:rFonts w:ascii="Times New Roman" w:hAnsi="Times New Roman" w:cs="Times New Roman"/>
        </w:rPr>
      </w:pPr>
      <w:r>
        <w:rPr>
          <w:rStyle w:val="FootnoteReference"/>
        </w:rPr>
        <w:footnoteRef/>
      </w:r>
      <w:r>
        <w:t xml:space="preserve"> </w:t>
      </w:r>
      <w:r>
        <w:rPr>
          <w:rStyle w:val="Emphasis"/>
          <w:rFonts w:ascii="Times New Roman" w:hAnsi="Times New Roman"/>
          <w:i w:val="0"/>
          <w:iCs w:val="0"/>
        </w:rPr>
        <w:t xml:space="preserve">ABl. L 114 vom 4.5.2018, S. 1–3. </w:t>
      </w:r>
      <w:hyperlink r:id="rId1" w:history="1">
        <w:r>
          <w:rPr>
            <w:rStyle w:val="Hyperlink"/>
          </w:rPr>
          <w:t>https://eur-lex.europa.eu/legal-content/EN/TXT/?uri=uriserv%3AOJ.L_.2018.114.01.0001.01.ENG</w:t>
        </w:r>
      </w:hyperlink>
    </w:p>
  </w:footnote>
  <w:footnote w:id="5">
    <w:p w:rsidR="00275A9A" w:rsidRDefault="001F1B6D">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C(2019) 5960 final. </w:t>
      </w:r>
    </w:p>
  </w:footnote>
  <w:footnote w:id="6">
    <w:p w:rsidR="00275A9A" w:rsidRDefault="001F1B6D">
      <w:pPr>
        <w:pStyle w:val="NormalWeb"/>
        <w:spacing w:before="0" w:beforeAutospacing="0" w:after="75" w:afterAutospacing="0"/>
        <w:jc w:val="both"/>
        <w:rPr>
          <w:rFonts w:ascii="&amp;quot" w:hAnsi="&amp;quot"/>
          <w:color w:val="444444"/>
          <w:sz w:val="21"/>
          <w:szCs w:val="21"/>
        </w:rPr>
      </w:pPr>
      <w:r>
        <w:rPr>
          <w:rStyle w:val="FootnoteReference"/>
        </w:rPr>
        <w:footnoteRef/>
      </w:r>
      <w:r>
        <w:t xml:space="preserve"> </w:t>
      </w:r>
      <w:r>
        <w:rPr>
          <w:rFonts w:ascii="&amp;quot" w:hAnsi="&amp;quot"/>
          <w:color w:val="444444"/>
          <w:sz w:val="21"/>
          <w:szCs w:val="21"/>
        </w:rPr>
        <w:t>Delegierte Verordnung (EU) 2019/1745 der Kommission vom 13. August 2019 zur Er</w:t>
      </w:r>
      <w:r>
        <w:rPr>
          <w:rFonts w:ascii="&amp;quot" w:hAnsi="&amp;quot"/>
          <w:color w:val="444444"/>
          <w:sz w:val="21"/>
          <w:szCs w:val="21"/>
        </w:rPr>
        <w:t>gänzung und Änderung der Richtlinie 2014/94/EU des Europäischen Parlaments und des Rates im Hinblick auf Ladepunkte für Kraftfahrzeuge der Klasse L, die landseitige Stromversorgung für Binnenschiffe, die Wasserstoffversorgung für den Straßenverkehr und die</w:t>
      </w:r>
      <w:r>
        <w:rPr>
          <w:rFonts w:ascii="&amp;quot" w:hAnsi="&amp;quot"/>
          <w:color w:val="444444"/>
          <w:sz w:val="21"/>
          <w:szCs w:val="21"/>
        </w:rPr>
        <w:t xml:space="preserve"> Erdgasversorgung für den Straßen- und Schiffsverkehr sowie zur Aufhebung der Delegierten Verordnung (EU) 2018/674 der Kommission (</w:t>
      </w:r>
      <w:r>
        <w:rPr>
          <w:rStyle w:val="Emphasis"/>
          <w:rFonts w:ascii="&amp;quot" w:hAnsi="&amp;quot"/>
          <w:i w:val="0"/>
          <w:color w:val="444444"/>
          <w:sz w:val="21"/>
          <w:szCs w:val="21"/>
        </w:rPr>
        <w:t>ABl. L 268 vom 22.10.2019, S. 1).</w:t>
      </w:r>
    </w:p>
    <w:p w:rsidR="00275A9A" w:rsidRDefault="00275A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9A" w:rsidRDefault="00275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9A" w:rsidRDefault="00275A9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9A" w:rsidRDefault="00275A9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9A" w:rsidRDefault="00275A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9A" w:rsidRDefault="00275A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9A" w:rsidRDefault="00275A9A">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805BF"/>
    <w:multiLevelType w:val="hybridMultilevel"/>
    <w:tmpl w:val="03C4EEA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0797311"/>
    <w:multiLevelType w:val="hybridMultilevel"/>
    <w:tmpl w:val="30DA8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16C5914"/>
    <w:multiLevelType w:val="hybridMultilevel"/>
    <w:tmpl w:val="4E20A9E4"/>
    <w:lvl w:ilvl="0" w:tplc="351248FC">
      <w:start w:val="1"/>
      <w:numFmt w:val="bullet"/>
      <w:lvlText w:val=""/>
      <w:lvlJc w:val="left"/>
      <w:pPr>
        <w:ind w:left="1202" w:hanging="360"/>
      </w:pPr>
      <w:rPr>
        <w:rFonts w:ascii="Symbol" w:hAnsi="Symbol" w:hint="default"/>
        <w:spacing w:val="12"/>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F25E70"/>
    <w:multiLevelType w:val="hybridMultilevel"/>
    <w:tmpl w:val="7472AE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0310F77"/>
    <w:multiLevelType w:val="hybridMultilevel"/>
    <w:tmpl w:val="09B4C1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8A65720"/>
    <w:multiLevelType w:val="hybridMultilevel"/>
    <w:tmpl w:val="54F6CA2E"/>
    <w:lvl w:ilvl="0" w:tplc="351248FC">
      <w:start w:val="1"/>
      <w:numFmt w:val="bullet"/>
      <w:lvlText w:val=""/>
      <w:lvlJc w:val="left"/>
      <w:pPr>
        <w:ind w:left="1202" w:hanging="360"/>
      </w:pPr>
      <w:rPr>
        <w:rFonts w:ascii="Symbol" w:hAnsi="Symbol" w:hint="default"/>
        <w:spacing w:val="12"/>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1" w15:restartNumberingAfterBreak="0">
    <w:nsid w:val="4E832C3F"/>
    <w:multiLevelType w:val="hybridMultilevel"/>
    <w:tmpl w:val="5AD4E508"/>
    <w:lvl w:ilvl="0" w:tplc="BA6093B6">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8C36CE8"/>
    <w:multiLevelType w:val="hybridMultilevel"/>
    <w:tmpl w:val="B81C93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32711C8"/>
    <w:multiLevelType w:val="hybridMultilevel"/>
    <w:tmpl w:val="A7D075A4"/>
    <w:lvl w:ilvl="0" w:tplc="08090017">
      <w:start w:val="1"/>
      <w:numFmt w:val="lowerLetter"/>
      <w:lvlText w:val="%1)"/>
      <w:lvlJc w:val="left"/>
      <w:pPr>
        <w:ind w:left="1202" w:hanging="360"/>
      </w:p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2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3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5"/>
  </w:num>
  <w:num w:numId="4">
    <w:abstractNumId w:val="18"/>
  </w:num>
  <w:num w:numId="5">
    <w:abstractNumId w:val="10"/>
  </w:num>
  <w:num w:numId="6">
    <w:abstractNumId w:val="17"/>
  </w:num>
  <w:num w:numId="7">
    <w:abstractNumId w:val="27"/>
  </w:num>
  <w:num w:numId="8">
    <w:abstractNumId w:val="29"/>
  </w:num>
  <w:num w:numId="9">
    <w:abstractNumId w:val="15"/>
  </w:num>
  <w:num w:numId="10">
    <w:abstractNumId w:val="26"/>
  </w:num>
  <w:num w:numId="11">
    <w:abstractNumId w:val="25"/>
  </w:num>
  <w:num w:numId="12">
    <w:abstractNumId w:val="19"/>
  </w:num>
  <w:num w:numId="13">
    <w:abstractNumId w:val="22"/>
  </w:num>
  <w:num w:numId="14">
    <w:abstractNumId w:val="8"/>
  </w:num>
  <w:num w:numId="15">
    <w:abstractNumId w:val="16"/>
  </w:num>
  <w:num w:numId="16">
    <w:abstractNumId w:val="4"/>
  </w:num>
  <w:num w:numId="17">
    <w:abstractNumId w:val="11"/>
  </w:num>
  <w:num w:numId="18">
    <w:abstractNumId w:val="30"/>
  </w:num>
  <w:num w:numId="19">
    <w:abstractNumId w:val="13"/>
  </w:num>
  <w:num w:numId="20">
    <w:abstractNumId w:val="32"/>
  </w:num>
  <w:num w:numId="21">
    <w:abstractNumId w:val="28"/>
  </w:num>
  <w:num w:numId="22">
    <w:abstractNumId w:val="20"/>
  </w:num>
  <w:num w:numId="23">
    <w:abstractNumId w:val="7"/>
  </w:num>
  <w:num w:numId="24">
    <w:abstractNumId w:val="9"/>
  </w:num>
  <w:num w:numId="25">
    <w:abstractNumId w:val="24"/>
    <w:lvlOverride w:ilvl="0">
      <w:startOverride w:val="1"/>
    </w:lvlOverride>
  </w:num>
  <w:num w:numId="26">
    <w:abstractNumId w:val="12"/>
  </w:num>
  <w:num w:numId="27">
    <w:abstractNumId w:val="3"/>
  </w:num>
  <w:num w:numId="28">
    <w:abstractNumId w:val="21"/>
  </w:num>
  <w:num w:numId="29">
    <w:abstractNumId w:val="2"/>
  </w:num>
  <w:num w:numId="30">
    <w:abstractNumId w:val="14"/>
  </w:num>
  <w:num w:numId="31">
    <w:abstractNumId w:val="6"/>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B79A22F-2C79-4433-BC44-540491B471B0"/>
    <w:docVar w:name="LW_COVERPAGE_TYPE" w:val="1"/>
    <w:docVar w:name="LW_CROSSREFERENCE" w:val="&lt;UNUSED&gt;"/>
    <w:docVar w:name="LW_DocType" w:val="REP"/>
    <w:docVar w:name="LW_EMISSION" w:val="19.11.2019"/>
    <w:docVar w:name="LW_EMISSION_ISODATE" w:val="2019-11-19"/>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5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über die Ausübung der der Kommission gemäß der Richtlinie 2014/94/EU des Europäischen Parlaments und des Rates vom 22. Oktober 2014 über den Aufbau der Infrastruktur für alternative Kraftstoffe übertragenen Befugnis zum Erlass delegierter Rechtsakte&lt;/FMT&gt;"/>
    <w:docVar w:name="LW_TYPE.DOC.CP" w:val="BERICHT DER KOMMISSION AN DAS EUROPÄISCHE PARLAMENT UND DEN RAT"/>
  </w:docVars>
  <w:rsids>
    <w:rsidRoot w:val="00275A9A"/>
    <w:rsid w:val="001F1B6D"/>
    <w:rsid w:val="00275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DA0DEE0-2651-480E-8557-6308567A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rPr>
  </w:style>
  <w:style w:type="paragraph" w:styleId="Heading6">
    <w:name w:val="heading 6"/>
    <w:basedOn w:val="Normal"/>
    <w:next w:val="Normal"/>
    <w:qFormat/>
    <w:pPr>
      <w:tabs>
        <w:tab w:val="num" w:pos="0"/>
      </w:tabs>
      <w:spacing w:before="240" w:after="60"/>
      <w:outlineLvl w:val="5"/>
    </w:pPr>
    <w:rPr>
      <w:rFonts w:ascii="Arial" w:hAnsi="Arial"/>
      <w:i/>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rPr>
      <w:rFonts w:ascii="Times New Roman" w:hAnsi="Times New Roman" w:cs="Times New Roman"/>
      <w:sz w:val="24"/>
      <w:szCs w:val="24"/>
    </w:r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pPr>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pPr>
  </w:style>
  <w:style w:type="paragraph" w:customStyle="1" w:styleId="References">
    <w:name w:val="References"/>
    <w:basedOn w:val="Normal"/>
    <w:next w:val="AddressTR"/>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pPr>
  </w:style>
  <w:style w:type="paragraph" w:customStyle="1" w:styleId="Enclosures">
    <w:name w:val="Enclosures"/>
    <w:basedOn w:val="Normal"/>
    <w:pPr>
      <w:keepNext/>
      <w:keepLines/>
      <w:tabs>
        <w:tab w:val="left" w:pos="5642"/>
      </w:tabs>
      <w:spacing w:before="480" w:after="0"/>
      <w:ind w:left="1191" w:hanging="1191"/>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pPr>
    <w:rPr>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numPr>
        <w:numId w:val="0"/>
      </w:numPr>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pPr>
  </w:style>
  <w:style w:type="paragraph" w:customStyle="1" w:styleId="LegalNumPar2">
    <w:name w:val="LegalNumPar2"/>
    <w:basedOn w:val="Normal"/>
    <w:pPr>
      <w:numPr>
        <w:ilvl w:val="1"/>
        <w:numId w:val="19"/>
      </w:numPr>
      <w:spacing w:line="360" w:lineRule="auto"/>
      <w:ind w:left="952" w:hanging="476"/>
    </w:pPr>
  </w:style>
  <w:style w:type="paragraph" w:customStyle="1" w:styleId="LegalNumPar3">
    <w:name w:val="LegalNumPar3"/>
    <w:basedOn w:val="Normal"/>
    <w:pPr>
      <w:numPr>
        <w:ilvl w:val="2"/>
        <w:numId w:val="19"/>
      </w:numPr>
      <w:spacing w:line="360" w:lineRule="auto"/>
    </w:pPr>
  </w:style>
  <w:style w:type="character" w:styleId="PageNumber">
    <w:name w:val="page number"/>
    <w:basedOn w:val="DefaultParagraphFont"/>
    <w:uiPriority w:val="99"/>
    <w:semiHidden/>
    <w:unhideWhenUsed/>
    <w:rPr>
      <w:rFonts w:ascii="Times New Roman" w:hAnsi="Times New Roman" w:cs="Times New Roman"/>
    </w:rPr>
  </w:style>
  <w:style w:type="character" w:customStyle="1" w:styleId="FooterChar">
    <w:name w:val="Footer Char"/>
    <w:basedOn w:val="DefaultParagraphFont"/>
    <w:link w:val="Footer"/>
    <w:uiPriority w:val="99"/>
    <w:locked/>
    <w:rPr>
      <w:sz w:val="16"/>
      <w:lang w:eastAsia="en-US"/>
    </w:rPr>
  </w:style>
  <w:style w:type="character" w:customStyle="1" w:styleId="HeaderChar">
    <w:name w:val="Header Char"/>
    <w:basedOn w:val="DefaultParagraphFont"/>
    <w:link w:val="Header"/>
    <w:uiPriority w:val="99"/>
    <w:locked/>
    <w:rPr>
      <w:sz w:val="24"/>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Considrant">
    <w:name w:val="Considérant"/>
    <w:basedOn w:val="Normal"/>
    <w:pPr>
      <w:numPr>
        <w:numId w:val="20"/>
      </w:numPr>
      <w:spacing w:before="120" w:after="120" w:line="240" w:lineRule="auto"/>
      <w:jc w:val="both"/>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eastAsiaTheme="minorHAnsi"/>
      <w:sz w:val="24"/>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eastAsiaTheme="minorHAnsi"/>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eastAsiaTheme="minorHAnsi"/>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eastAsiaTheme="minorHAnsi"/>
      <w:b/>
      <w:sz w:val="32"/>
      <w:szCs w:val="22"/>
      <w:lang w:eastAsia="en-US"/>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Cs w:val="22"/>
      <w:lang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200" w:line="276" w:lineRule="auto"/>
    </w:pPr>
    <w:rPr>
      <w:rFonts w:eastAsia="Calibri"/>
      <w:sz w:val="24"/>
      <w:szCs w:val="22"/>
      <w:lang w:eastAsia="en-US"/>
    </w:rPr>
  </w:style>
  <w:style w:type="paragraph" w:customStyle="1" w:styleId="Tiret0">
    <w:name w:val="Tiret 0"/>
    <w:basedOn w:val="Normal"/>
    <w:pPr>
      <w:numPr>
        <w:numId w:val="25"/>
      </w:numPr>
      <w:spacing w:before="120" w:after="120" w:line="240" w:lineRule="auto"/>
      <w:jc w:val="both"/>
    </w:pPr>
    <w:rPr>
      <w:rFonts w:ascii="Times New Roman" w:eastAsia="Calibri" w:hAnsi="Times New Roman" w:cs="Times New Roman"/>
      <w:sz w:val="24"/>
    </w:rPr>
  </w:style>
  <w:style w:type="paragraph" w:customStyle="1" w:styleId="Tiret3">
    <w:name w:val="Tiret 3"/>
    <w:basedOn w:val="Normal"/>
    <w:pPr>
      <w:numPr>
        <w:numId w:val="26"/>
      </w:numPr>
      <w:spacing w:before="120" w:after="120" w:line="240" w:lineRule="auto"/>
      <w:jc w:val="both"/>
    </w:pPr>
    <w:rPr>
      <w:rFonts w:ascii="Times New Roman" w:eastAsia="Calibri" w:hAnsi="Times New Roman" w:cs="Times New Roman"/>
      <w:sz w:val="24"/>
    </w:rPr>
  </w:style>
  <w:style w:type="character" w:styleId="EndnoteReference">
    <w:name w:val="endnote reference"/>
    <w:basedOn w:val="DefaultParagraphFont"/>
    <w:uiPriority w:val="99"/>
    <w:semiHidden/>
    <w:unhideWhenUsed/>
    <w:rPr>
      <w:vertAlign w:val="superscript"/>
    </w:r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8318">
      <w:bodyDiv w:val="1"/>
      <w:marLeft w:val="0"/>
      <w:marRight w:val="0"/>
      <w:marTop w:val="0"/>
      <w:marBottom w:val="0"/>
      <w:divBdr>
        <w:top w:val="none" w:sz="0" w:space="0" w:color="auto"/>
        <w:left w:val="none" w:sz="0" w:space="0" w:color="auto"/>
        <w:bottom w:val="none" w:sz="0" w:space="0" w:color="auto"/>
        <w:right w:val="none" w:sz="0" w:space="0" w:color="auto"/>
      </w:divBdr>
    </w:div>
    <w:div w:id="616722059">
      <w:bodyDiv w:val="1"/>
      <w:marLeft w:val="0"/>
      <w:marRight w:val="0"/>
      <w:marTop w:val="0"/>
      <w:marBottom w:val="0"/>
      <w:divBdr>
        <w:top w:val="none" w:sz="0" w:space="0" w:color="auto"/>
        <w:left w:val="none" w:sz="0" w:space="0" w:color="auto"/>
        <w:bottom w:val="none" w:sz="0" w:space="0" w:color="auto"/>
        <w:right w:val="none" w:sz="0" w:space="0" w:color="auto"/>
      </w:divBdr>
    </w:div>
    <w:div w:id="1019237562">
      <w:bodyDiv w:val="1"/>
      <w:marLeft w:val="0"/>
      <w:marRight w:val="0"/>
      <w:marTop w:val="0"/>
      <w:marBottom w:val="0"/>
      <w:divBdr>
        <w:top w:val="none" w:sz="0" w:space="0" w:color="auto"/>
        <w:left w:val="none" w:sz="0" w:space="0" w:color="auto"/>
        <w:bottom w:val="none" w:sz="0" w:space="0" w:color="auto"/>
        <w:right w:val="none" w:sz="0" w:space="0" w:color="auto"/>
      </w:divBdr>
    </w:div>
    <w:div w:id="1134366517">
      <w:bodyDiv w:val="1"/>
      <w:marLeft w:val="0"/>
      <w:marRight w:val="0"/>
      <w:marTop w:val="0"/>
      <w:marBottom w:val="0"/>
      <w:divBdr>
        <w:top w:val="none" w:sz="0" w:space="0" w:color="auto"/>
        <w:left w:val="none" w:sz="0" w:space="0" w:color="auto"/>
        <w:bottom w:val="none" w:sz="0" w:space="0" w:color="auto"/>
        <w:right w:val="none" w:sz="0" w:space="0" w:color="auto"/>
      </w:divBdr>
    </w:div>
    <w:div w:id="1134568862">
      <w:bodyDiv w:val="1"/>
      <w:marLeft w:val="0"/>
      <w:marRight w:val="0"/>
      <w:marTop w:val="0"/>
      <w:marBottom w:val="0"/>
      <w:divBdr>
        <w:top w:val="none" w:sz="0" w:space="0" w:color="auto"/>
        <w:left w:val="none" w:sz="0" w:space="0" w:color="auto"/>
        <w:bottom w:val="none" w:sz="0" w:space="0" w:color="auto"/>
        <w:right w:val="none" w:sz="0" w:space="0" w:color="auto"/>
      </w:divBdr>
    </w:div>
    <w:div w:id="1399672968">
      <w:bodyDiv w:val="1"/>
      <w:marLeft w:val="0"/>
      <w:marRight w:val="0"/>
      <w:marTop w:val="0"/>
      <w:marBottom w:val="0"/>
      <w:divBdr>
        <w:top w:val="none" w:sz="0" w:space="0" w:color="auto"/>
        <w:left w:val="none" w:sz="0" w:space="0" w:color="auto"/>
        <w:bottom w:val="none" w:sz="0" w:space="0" w:color="auto"/>
        <w:right w:val="none" w:sz="0" w:space="0" w:color="auto"/>
      </w:divBdr>
    </w:div>
    <w:div w:id="1885754106">
      <w:bodyDiv w:val="1"/>
      <w:marLeft w:val="0"/>
      <w:marRight w:val="0"/>
      <w:marTop w:val="0"/>
      <w:marBottom w:val="0"/>
      <w:divBdr>
        <w:top w:val="none" w:sz="0" w:space="0" w:color="auto"/>
        <w:left w:val="none" w:sz="0" w:space="0" w:color="auto"/>
        <w:bottom w:val="none" w:sz="0" w:space="0" w:color="auto"/>
        <w:right w:val="none" w:sz="0" w:space="0" w:color="auto"/>
      </w:divBdr>
      <w:divsChild>
        <w:div w:id="867526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uriserv:OJ.L_.2018.114.01.0001.01.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751c4b5e-1cf5-4f61-b2e7-6cc821cbb6fe</Id>
  <Names>
    <Latin>
      <FirstName>Herald</FirstName>
      <LastName>RUIJTERS</LastName>
    </Latin>
    <Greek>
      <FirstName/>
      <LastName/>
    </Greek>
    <Cyrillic>
      <FirstName/>
      <LastName/>
    </Cyrillic>
    <DocumentScript>
      <FirstName>Herald</FirstName>
      <LastName>RUIJTERS</LastName>
      <FullName>Herald RUIJTERS</FullName>
    </DocumentScript>
  </Names>
  <Initials>HR</Initials>
  <Gender>m</Gender>
  <Email>Herald.RUIJTERS@ec.europa.eu</Email>
  <Service>MOVE.DDG1.B</Service>
  <Function ShowInSignature="false">Director</Function>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14d4d6da-d69c-4940-972d-a6e5b743c263</Id>
    <LogicalLevel>2</LogicalLevel>
    <Name>MOVE.DDG1.B</Name>
    <HeadLine1>Directorate B - Investment, Innovative &amp; Sustainable Transport</HeadLine1>
    <HeadLine2/>
    <PrimaryAddressId>f03b5801-04c9-4931-aa17-c6d6c70bc579</PrimaryAddressId>
    <SecondaryAddressId/>
    <WebAddress/>
    <InheritedWebAddress>WebAddress</InheritedWebAddress>
    <ShowInHeader>true</ShowInHeader>
  </OrgaEntity2>
  <OrgaEntity3>
    <Id>f6e386b3-212f-490a-a5ed-9eb35f3ff909</Id>
    <LogicalLevel>3</LogicalLevel>
    <Name>MOVE.DDG1.B</Name>
    <HeadLine1>The Director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+32 229 68372</Phone>
    <Office>DM28 06/109</Office>
  </MainWorkplace>
  <Workplaces>
    <Workplace IsMain="false">
      <AddressId>1264fb81-f6bb-475e-9f9d-a937d3be6ee2</AddressId>
      <Fax/>
      <Phone/>
      <Office/>
    </Workplace>
    <Workplace IsMain="true">
      <AddressId>f03b5801-04c9-4931-aa17-c6d6c70bc579</AddressId>
      <Fax/>
      <Phone>+32 229 68372</Phone>
      <Office>DM28 06/109</Office>
    </Workplace>
  </Workplaces>
</Author>
</file>

<file path=customXml/item2.xml><?xml version="1.0" encoding="utf-8"?>
<EurolookProperties>
  <ProductCustomizationId/>
  <Created>
    <Version>4.6</Version>
    <Date>2019-06-07T13:06:23</Date>
    <Language>EN</Language>
  </Created>
  <Edited>
    <Version>10.0.40183.0</Version>
    <Date>2019-11-19T11:21:00</Date>
  </Edited>
  <DocumentModel>
    <Id>6cbda13a-4db2-46c6-876a-ef72275827ef</Id>
    <Name>Report</Name>
  </DocumentModel>
  <DocumentDate/>
  <DocumentVersion/>
  <CompatibilityMode>Eurolook4X</CompatibilityMode>
  <Address/>
</EurolookProperties>
</file>

<file path=customXml/item3.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CA16-6294-4FDC-AAFB-1966959CF558}">
  <ds:schemaRefs/>
</ds:datastoreItem>
</file>

<file path=customXml/itemProps2.xml><?xml version="1.0" encoding="utf-8"?>
<ds:datastoreItem xmlns:ds="http://schemas.openxmlformats.org/officeDocument/2006/customXml" ds:itemID="{2761420F-9BCB-4B8D-8367-718BBE15CE73}">
  <ds:schemaRefs/>
</ds:datastoreItem>
</file>

<file path=customXml/itemProps3.xml><?xml version="1.0" encoding="utf-8"?>
<ds:datastoreItem xmlns:ds="http://schemas.openxmlformats.org/officeDocument/2006/customXml" ds:itemID="{B85048A5-D475-4A7B-B5B1-D79BC785FA0C}">
  <ds:schemaRefs/>
</ds:datastoreItem>
</file>

<file path=customXml/itemProps4.xml><?xml version="1.0" encoding="utf-8"?>
<ds:datastoreItem xmlns:ds="http://schemas.openxmlformats.org/officeDocument/2006/customXml" ds:itemID="{3C7992D3-11CB-41A8-8291-87CB74F8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10</TotalTime>
  <Pages>8</Pages>
  <Words>1827</Words>
  <Characters>11970</Characters>
  <Application>Microsoft Office Word</Application>
  <DocSecurity>0</DocSecurity>
  <PresentationFormat>Microsoft Word 14.0</PresentationFormat>
  <Lines>230</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TORRE UNGUREANU Ana-Claudia (SG)</cp:lastModifiedBy>
  <cp:revision>14</cp:revision>
  <cp:lastPrinted>2019-09-30T13:19:00Z</cp:lastPrinted>
  <dcterms:created xsi:type="dcterms:W3CDTF">2019-11-14T12:15:00Z</dcterms:created>
  <dcterms:modified xsi:type="dcterms:W3CDTF">2019-11-19T10:21:00Z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CP-006</vt:lpwstr>
  </property>
  <property fmtid="{D5CDD505-2E9C-101B-9397-08002B2CF9AE}" pid="10" name="_LW_INVALIDATED__LW_INVALIDATED__LW_INVALIDATED_TemplateVersion">
    <vt:lpwstr>4.6.5.1000</vt:lpwstr>
  </property>
  <property fmtid="{D5CDD505-2E9C-101B-9397-08002B2CF9AE}" pid="11" name="_LW_INVALIDATED__LW_INVALIDATED__LW_INVALIDATED_EurolookVersion">
    <vt:lpwstr>4.6</vt:lpwstr>
  </property>
  <property fmtid="{D5CDD505-2E9C-101B-9397-08002B2CF9AE}" pid="12" name="_LW_INVALIDATED__LW_INVALIDATED__LW_INVALIDATED_DocID_EU">
    <vt:lpwstr> </vt:lpwstr>
  </property>
  <property fmtid="{D5CDD505-2E9C-101B-9397-08002B2CF9AE}" pid="13" name="_LW_INVALIDATED__LW_INVALIDATED__LW_INVALIDATED_ELDocType">
    <vt:lpwstr>rep.dot</vt:lpwstr>
  </property>
  <property fmtid="{D5CDD505-2E9C-101B-9397-08002B2CF9AE}" pid="14" name="_LW_INVALIDATED__LW_INVALIDATED__LW_INVALIDATED_Formatting">
    <vt:lpwstr>4.1</vt:lpwstr>
  </property>
  <property fmtid="{D5CDD505-2E9C-101B-9397-08002B2CF9AE}" pid="15" name="_LW_INVALIDATED__LW_INVALIDATED__LW_INVALIDATED_EL_Author">
    <vt:lpwstr>Herald RUIJTERS</vt:lpwstr>
  </property>
  <property fmtid="{D5CDD505-2E9C-101B-9397-08002B2CF9AE}" pid="16" name="_LW_INVALIDATED__LW_INVALIDATED__LW_INVALIDATED_Type">
    <vt:lpwstr>Eurolook Report</vt:lpwstr>
  </property>
  <property fmtid="{D5CDD505-2E9C-101B-9397-08002B2CF9AE}" pid="17" name="_LW_INVALIDATED__LW_INVALIDATED__LW_INVALIDATED_EL_Language">
    <vt:lpwstr>EN</vt:lpwstr>
  </property>
  <property fmtid="{D5CDD505-2E9C-101B-9397-08002B2CF9AE}" pid="18" name="_LW_INVALIDATED_TemplateVersion">
    <vt:lpwstr>4.6.5.1000</vt:lpwstr>
  </property>
  <property fmtid="{D5CDD505-2E9C-101B-9397-08002B2CF9AE}" pid="19" name="_LW_INVALIDATED_EurolookVersion">
    <vt:lpwstr>4.6</vt:lpwstr>
  </property>
  <property fmtid="{D5CDD505-2E9C-101B-9397-08002B2CF9AE}" pid="20" name="_LW_INVALIDATED_DocID_EU">
    <vt:lpwstr> </vt:lpwstr>
  </property>
  <property fmtid="{D5CDD505-2E9C-101B-9397-08002B2CF9AE}" pid="21" name="_LW_INVALIDATED_ELDocType">
    <vt:lpwstr>rep.dot</vt:lpwstr>
  </property>
  <property fmtid="{D5CDD505-2E9C-101B-9397-08002B2CF9AE}" pid="22" name="_LW_INVALIDATED_Formatting">
    <vt:lpwstr>4.1</vt:lpwstr>
  </property>
  <property fmtid="{D5CDD505-2E9C-101B-9397-08002B2CF9AE}" pid="23" name="_LW_INVALIDATED_EL_Author">
    <vt:lpwstr>Herald RUIJTERS</vt:lpwstr>
  </property>
  <property fmtid="{D5CDD505-2E9C-101B-9397-08002B2CF9AE}" pid="24" name="_LW_INVALIDATED_Type">
    <vt:lpwstr>Eurolook Report</vt:lpwstr>
  </property>
  <property fmtid="{D5CDD505-2E9C-101B-9397-08002B2CF9AE}" pid="25" name="_LW_INVALIDATED_EL_Language">
    <vt:lpwstr>EN</vt:lpwstr>
  </property>
</Properties>
</file>