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C6" w:rsidRDefault="00187EE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2189733-B80E-43FF-ACA4-A6A7AADE54FD" style="width:450.25pt;height:321.45pt">
            <v:imagedata r:id="rId11" o:title=""/>
          </v:shape>
        </w:pict>
      </w:r>
    </w:p>
    <w:bookmarkEnd w:id="0"/>
    <w:p w:rsidR="000A16C6" w:rsidRDefault="000A16C6">
      <w:pPr>
        <w:pStyle w:val="Pagedecouverture"/>
        <w:rPr>
          <w:noProof/>
        </w:rPr>
        <w:sectPr w:rsidR="000A16C6">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299"/>
        </w:sectPr>
      </w:pPr>
    </w:p>
    <w:p w:rsidR="000A16C6" w:rsidRDefault="00187EE7">
      <w:pPr>
        <w:ind w:left="360"/>
        <w:jc w:val="center"/>
        <w:rPr>
          <w:rFonts w:ascii="Times New Roman" w:hAnsi="Times New Roman" w:cs="Times New Roman"/>
          <w:b/>
          <w:noProof/>
          <w:sz w:val="24"/>
          <w:szCs w:val="24"/>
        </w:rPr>
      </w:pPr>
      <w:r>
        <w:rPr>
          <w:rFonts w:ascii="Times New Roman" w:hAnsi="Times New Roman"/>
          <w:b/>
          <w:noProof/>
        </w:rPr>
        <w:lastRenderedPageBreak/>
        <w:t>RELATÓRIO DA COMISSÃO AO PARLAMENTO EUROPEU E AO CONSELHO</w:t>
      </w:r>
    </w:p>
    <w:p w:rsidR="000A16C6" w:rsidRDefault="00187EE7">
      <w:pPr>
        <w:ind w:left="360"/>
        <w:jc w:val="center"/>
        <w:rPr>
          <w:rFonts w:ascii="Times New Roman" w:hAnsi="Times New Roman" w:cs="Times New Roman"/>
          <w:b/>
          <w:noProof/>
          <w:sz w:val="24"/>
          <w:szCs w:val="24"/>
        </w:rPr>
      </w:pPr>
      <w:r>
        <w:rPr>
          <w:rFonts w:ascii="Times New Roman" w:hAnsi="Times New Roman"/>
          <w:b/>
          <w:noProof/>
        </w:rPr>
        <w:t xml:space="preserve">sobre o exercício do poder de adotar atos delegados conferido à Comissão nos termos da </w:t>
      </w:r>
      <w:r>
        <w:rPr>
          <w:rFonts w:ascii="Times New Roman" w:hAnsi="Times New Roman"/>
          <w:b/>
          <w:noProof/>
        </w:rPr>
        <w:t>Diretiva 2014/94/UE do Parlamento Europeu e do Conselho, de 22 de outubro de 2014, relativa à criação de uma infraestrutura para combustíveis alternativos</w:t>
      </w:r>
    </w:p>
    <w:p w:rsidR="000A16C6" w:rsidRDefault="00187EE7">
      <w:pPr>
        <w:pStyle w:val="Heading1"/>
        <w:rPr>
          <w:rFonts w:ascii="Times New Roman" w:hAnsi="Times New Roman" w:cs="Times New Roman"/>
          <w:smallCaps w:val="0"/>
          <w:noProof/>
          <w:sz w:val="24"/>
          <w:szCs w:val="24"/>
        </w:rPr>
      </w:pPr>
      <w:r>
        <w:rPr>
          <w:rFonts w:ascii="Times New Roman" w:hAnsi="Times New Roman"/>
          <w:smallCaps w:val="0"/>
          <w:noProof/>
        </w:rPr>
        <w:t>INTRODUÇÃO</w:t>
      </w:r>
    </w:p>
    <w:p w:rsidR="000A16C6" w:rsidRDefault="00187EE7">
      <w:pPr>
        <w:pStyle w:val="Text1"/>
        <w:ind w:left="0"/>
        <w:jc w:val="both"/>
        <w:rPr>
          <w:noProof/>
        </w:rPr>
      </w:pPr>
      <w:r>
        <w:rPr>
          <w:noProof/>
        </w:rPr>
        <w:t>A Diretiva 2014/94/UE do Parlamento Europeu e do Conselho, de 22 de outubro de 2014, relat</w:t>
      </w:r>
      <w:r>
        <w:rPr>
          <w:noProof/>
        </w:rPr>
        <w:t>iva à criação de uma infraestrutura para combustíveis alternativos</w:t>
      </w:r>
      <w:r>
        <w:rPr>
          <w:rStyle w:val="FootnoteReference"/>
          <w:noProof/>
        </w:rPr>
        <w:footnoteReference w:id="1"/>
      </w:r>
      <w:r>
        <w:rPr>
          <w:noProof/>
        </w:rPr>
        <w:t xml:space="preserve">, estabelece requisitos mínimos para a implantação da infraestrutura para combustíveis alternativos, incluindo pontos de carregamento de veículos elétricos e pontos de abastecimento de gás </w:t>
      </w:r>
      <w:r>
        <w:rPr>
          <w:noProof/>
        </w:rPr>
        <w:t>natural (GNL e GNC) e de hidrogénio. Os seus artigos 4.º, n.</w:t>
      </w:r>
      <w:r>
        <w:rPr>
          <w:noProof/>
          <w:vertAlign w:val="superscript"/>
        </w:rPr>
        <w:t>os</w:t>
      </w:r>
      <w:r>
        <w:rPr>
          <w:noProof/>
        </w:rPr>
        <w:t xml:space="preserve"> 4 e 6, 5.º, n.º 2, e 6.º, n.º 9, estabelecem que esses pontos de carregamento e de abastecimento, quando instalados ou renovados a partir de 18 de novembro de 2017, devem cumprir, pelo menos, a</w:t>
      </w:r>
      <w:r>
        <w:rPr>
          <w:noProof/>
        </w:rPr>
        <w:t xml:space="preserve">s especificações técnicas estabelecidas no anexo II da diretiva.  </w:t>
      </w:r>
    </w:p>
    <w:p w:rsidR="000A16C6" w:rsidRDefault="00187EE7">
      <w:pPr>
        <w:pStyle w:val="Text1"/>
        <w:ind w:left="0"/>
        <w:jc w:val="both"/>
        <w:rPr>
          <w:noProof/>
        </w:rPr>
      </w:pPr>
      <w:r>
        <w:rPr>
          <w:noProof/>
        </w:rPr>
        <w:t>Em conformidade com o artigo 8.º da diretiva, a Comissão é autorizada a adotar os atos delegados referidos:</w:t>
      </w:r>
    </w:p>
    <w:p w:rsidR="000A16C6" w:rsidRDefault="00187EE7">
      <w:pPr>
        <w:pStyle w:val="Text1"/>
        <w:numPr>
          <w:ilvl w:val="0"/>
          <w:numId w:val="28"/>
        </w:numPr>
        <w:jc w:val="both"/>
        <w:rPr>
          <w:noProof/>
        </w:rPr>
      </w:pPr>
      <w:r>
        <w:rPr>
          <w:noProof/>
        </w:rPr>
        <w:t>No Artigo 4.º, n.º 14, a fim de:</w:t>
      </w:r>
    </w:p>
    <w:p w:rsidR="000A16C6" w:rsidRDefault="00187EE7">
      <w:pPr>
        <w:pStyle w:val="Text1"/>
        <w:numPr>
          <w:ilvl w:val="0"/>
          <w:numId w:val="21"/>
        </w:numPr>
        <w:ind w:left="993"/>
        <w:jc w:val="both"/>
        <w:rPr>
          <w:noProof/>
        </w:rPr>
      </w:pPr>
      <w:r>
        <w:rPr>
          <w:noProof/>
        </w:rPr>
        <w:t xml:space="preserve">Complementar esse artigo e o anexo II, pontos </w:t>
      </w:r>
      <w:r>
        <w:rPr>
          <w:noProof/>
        </w:rPr>
        <w:t>1.3, 1.4, 1.5, 1.6 e 1.8, a fim de exigir a conformidade, por parte das infraestruturas a implantar ou a renovar, com as especificações técnicas constantes das normas a desenvolver pelas organizações europeias de normalização (OEN) pertinentes</w:t>
      </w:r>
      <w:r>
        <w:rPr>
          <w:rStyle w:val="FootnoteReference"/>
          <w:noProof/>
        </w:rPr>
        <w:footnoteReference w:id="2"/>
      </w:r>
      <w:r>
        <w:rPr>
          <w:noProof/>
        </w:rPr>
        <w:t>.</w:t>
      </w:r>
    </w:p>
    <w:p w:rsidR="000A16C6" w:rsidRDefault="00187EE7">
      <w:pPr>
        <w:pStyle w:val="Text1"/>
        <w:numPr>
          <w:ilvl w:val="0"/>
          <w:numId w:val="21"/>
        </w:numPr>
        <w:ind w:left="993"/>
        <w:jc w:val="both"/>
        <w:rPr>
          <w:noProof/>
        </w:rPr>
      </w:pPr>
      <w:r>
        <w:rPr>
          <w:noProof/>
        </w:rPr>
        <w:t xml:space="preserve">Atualizar </w:t>
      </w:r>
      <w:r>
        <w:rPr>
          <w:noProof/>
        </w:rPr>
        <w:t>as referências às normas referidas nas especificações técnicas estabelecidas ou a estabelecer no anexo II, ponto 1, caso essas normas sejam substituídas por novas versões adotadas pelas organizações europeias ou internacionais de normalização pertinentes.</w:t>
      </w:r>
    </w:p>
    <w:p w:rsidR="000A16C6" w:rsidRDefault="00187EE7">
      <w:pPr>
        <w:pStyle w:val="Text1"/>
        <w:numPr>
          <w:ilvl w:val="0"/>
          <w:numId w:val="28"/>
        </w:numPr>
        <w:jc w:val="both"/>
        <w:rPr>
          <w:noProof/>
        </w:rPr>
      </w:pPr>
      <w:r>
        <w:rPr>
          <w:noProof/>
        </w:rPr>
        <w:t>No artigo 5.º, n.º 3, a fim de atualizar as referências às normas referidas nas especificações técnicas estabelecidas no anexo II, ponto 2, caso essas normas sejam substituídas por novas versões adotadas pelas organizações de normalização pertinentes.</w:t>
      </w:r>
    </w:p>
    <w:p w:rsidR="000A16C6" w:rsidRDefault="00187EE7">
      <w:pPr>
        <w:pStyle w:val="Text1"/>
        <w:numPr>
          <w:ilvl w:val="0"/>
          <w:numId w:val="28"/>
        </w:numPr>
        <w:jc w:val="both"/>
        <w:rPr>
          <w:noProof/>
        </w:rPr>
      </w:pPr>
      <w:r>
        <w:rPr>
          <w:noProof/>
        </w:rPr>
        <w:t>No a</w:t>
      </w:r>
      <w:r>
        <w:rPr>
          <w:noProof/>
        </w:rPr>
        <w:t>rtigo 6.º, n.º 11, a fim de:</w:t>
      </w:r>
    </w:p>
    <w:p w:rsidR="000A16C6" w:rsidRDefault="00187EE7">
      <w:pPr>
        <w:pStyle w:val="Text1"/>
        <w:ind w:left="720"/>
        <w:jc w:val="both"/>
        <w:rPr>
          <w:noProof/>
        </w:rPr>
      </w:pPr>
      <w:r>
        <w:rPr>
          <w:noProof/>
        </w:rPr>
        <w:t>a) Complementar esse artigo e o anexo II, pontos 3.1, 3.2 e 3.4, a fim de exigir a conformidade, por parte das infraestruturas a implantar ou a renovar, com as especificações técnicas constantes das normas a desenvolver pelas O</w:t>
      </w:r>
      <w:r>
        <w:rPr>
          <w:noProof/>
        </w:rPr>
        <w:t>EN pertinentes;</w:t>
      </w:r>
    </w:p>
    <w:p w:rsidR="000A16C6" w:rsidRDefault="00187EE7">
      <w:pPr>
        <w:pStyle w:val="Text1"/>
        <w:ind w:left="720"/>
        <w:jc w:val="both"/>
        <w:rPr>
          <w:noProof/>
        </w:rPr>
      </w:pPr>
      <w:r>
        <w:rPr>
          <w:noProof/>
        </w:rPr>
        <w:t xml:space="preserve">b) Atualizar as referências às normas referidas nas especificações técnicas estabelecidas ou a estabelecer no anexo II, ponto 3, caso essas normas sejam </w:t>
      </w:r>
      <w:r>
        <w:rPr>
          <w:noProof/>
        </w:rPr>
        <w:lastRenderedPageBreak/>
        <w:t xml:space="preserve">substituídas por novas versões adotadas pelas organizações europeias ou internacionais </w:t>
      </w:r>
      <w:r>
        <w:rPr>
          <w:noProof/>
        </w:rPr>
        <w:t>de normalização pertinentes.</w:t>
      </w:r>
    </w:p>
    <w:p w:rsidR="000A16C6" w:rsidRDefault="00187EE7">
      <w:pPr>
        <w:pStyle w:val="Text1"/>
        <w:ind w:left="720"/>
        <w:jc w:val="both"/>
        <w:rPr>
          <w:noProof/>
        </w:rPr>
      </w:pPr>
      <w:r>
        <w:rPr>
          <w:noProof/>
        </w:rPr>
        <w:t>No artigo 6.º, n.º 12, a fim de estabelecer:</w:t>
      </w:r>
    </w:p>
    <w:p w:rsidR="000A16C6" w:rsidRDefault="00187EE7">
      <w:pPr>
        <w:pStyle w:val="Text1"/>
        <w:ind w:left="720"/>
        <w:jc w:val="both"/>
        <w:rPr>
          <w:noProof/>
        </w:rPr>
      </w:pPr>
      <w:r>
        <w:rPr>
          <w:noProof/>
        </w:rPr>
        <w:t>- requisitos aplicáveis às interfaces de trasfega de GNL no transporte marítimo e de navegação interior;</w:t>
      </w:r>
    </w:p>
    <w:p w:rsidR="000A16C6" w:rsidRDefault="00187EE7">
      <w:pPr>
        <w:pStyle w:val="Text1"/>
        <w:ind w:left="720"/>
        <w:jc w:val="both"/>
        <w:rPr>
          <w:noProof/>
        </w:rPr>
      </w:pPr>
      <w:r>
        <w:rPr>
          <w:noProof/>
        </w:rPr>
        <w:t>- requisitos relacionados com os aspetos de segurança do armazenamento terres</w:t>
      </w:r>
      <w:r>
        <w:rPr>
          <w:noProof/>
        </w:rPr>
        <w:t>tre e do processo de abastecimento de GNL no transporte marítimo e de navegação interior.</w:t>
      </w:r>
    </w:p>
    <w:p w:rsidR="000A16C6" w:rsidRDefault="00187EE7">
      <w:pPr>
        <w:pStyle w:val="Text1"/>
        <w:ind w:left="0"/>
        <w:jc w:val="both"/>
        <w:rPr>
          <w:noProof/>
        </w:rPr>
      </w:pPr>
      <w:r>
        <w:rPr>
          <w:noProof/>
        </w:rPr>
        <w:t xml:space="preserve">A Diretiva 2014/94/UE já estabelece especificações técnicas mínimas para algumas partes das redes de infraestruturas para combustíveis alternativos, incluindo: </w:t>
      </w:r>
    </w:p>
    <w:p w:rsidR="000A16C6" w:rsidRDefault="00187EE7">
      <w:pPr>
        <w:pStyle w:val="Text1"/>
        <w:numPr>
          <w:ilvl w:val="0"/>
          <w:numId w:val="30"/>
        </w:numPr>
        <w:jc w:val="both"/>
        <w:rPr>
          <w:noProof/>
        </w:rPr>
      </w:pPr>
      <w:r>
        <w:rPr>
          <w:noProof/>
        </w:rPr>
        <w:t>pontos de carregamento de potência normal e de alta potência para veículos a motor (anexo II, pontos 1.1 e 1.2)</w:t>
      </w:r>
    </w:p>
    <w:p w:rsidR="000A16C6" w:rsidRDefault="00187EE7">
      <w:pPr>
        <w:pStyle w:val="Text1"/>
        <w:numPr>
          <w:ilvl w:val="0"/>
          <w:numId w:val="30"/>
        </w:numPr>
        <w:jc w:val="both"/>
        <w:rPr>
          <w:noProof/>
        </w:rPr>
      </w:pPr>
      <w:r>
        <w:rPr>
          <w:noProof/>
        </w:rPr>
        <w:t>fornecimento de eletricidade da rede terrestre aos navios de mar (anexo II, ponto 1.7)</w:t>
      </w:r>
    </w:p>
    <w:p w:rsidR="000A16C6" w:rsidRDefault="00187EE7">
      <w:pPr>
        <w:pStyle w:val="Text1"/>
        <w:numPr>
          <w:ilvl w:val="0"/>
          <w:numId w:val="30"/>
        </w:numPr>
        <w:jc w:val="both"/>
        <w:rPr>
          <w:noProof/>
        </w:rPr>
      </w:pPr>
      <w:r>
        <w:rPr>
          <w:noProof/>
        </w:rPr>
        <w:t>pontos de abastecimento de hidrogénio para veículos a mot</w:t>
      </w:r>
      <w:r>
        <w:rPr>
          <w:noProof/>
        </w:rPr>
        <w:t>or (anexo II, ponto 2)</w:t>
      </w:r>
    </w:p>
    <w:p w:rsidR="000A16C6" w:rsidRDefault="00187EE7">
      <w:pPr>
        <w:pStyle w:val="Text1"/>
        <w:numPr>
          <w:ilvl w:val="0"/>
          <w:numId w:val="30"/>
        </w:numPr>
        <w:jc w:val="both"/>
        <w:rPr>
          <w:noProof/>
        </w:rPr>
      </w:pPr>
      <w:r>
        <w:rPr>
          <w:noProof/>
        </w:rPr>
        <w:t xml:space="preserve">conectores/recetáculos de gás natural comprimido (GNC) (anexo II, ponto 3.3)  </w:t>
      </w:r>
    </w:p>
    <w:p w:rsidR="000A16C6" w:rsidRDefault="00187EE7">
      <w:pPr>
        <w:pStyle w:val="Text1"/>
        <w:ind w:left="60"/>
        <w:jc w:val="both"/>
        <w:rPr>
          <w:noProof/>
        </w:rPr>
      </w:pPr>
      <w:r>
        <w:rPr>
          <w:noProof/>
        </w:rPr>
        <w:t>Estas disposições já ajudaram a criar segurança para o investimento no mercado. Todavia, a diretiva, no seu anexo II, indica necessidades remanescentes de</w:t>
      </w:r>
      <w:r>
        <w:rPr>
          <w:noProof/>
        </w:rPr>
        <w:t xml:space="preserve"> estabelecimento de especificações técnicas em domínios onde ainda não existe nenhuma referência a normas, incluindo:</w:t>
      </w:r>
    </w:p>
    <w:p w:rsidR="000A16C6" w:rsidRDefault="00187EE7">
      <w:pPr>
        <w:pStyle w:val="Text1"/>
        <w:numPr>
          <w:ilvl w:val="0"/>
          <w:numId w:val="31"/>
        </w:numPr>
        <w:jc w:val="both"/>
        <w:rPr>
          <w:noProof/>
        </w:rPr>
      </w:pPr>
      <w:r>
        <w:rPr>
          <w:noProof/>
        </w:rPr>
        <w:t>pontos de carregamento sem fios para veículos a motor (anexo II, ponto 1.3)</w:t>
      </w:r>
    </w:p>
    <w:p w:rsidR="000A16C6" w:rsidRDefault="00187EE7">
      <w:pPr>
        <w:pStyle w:val="Text1"/>
        <w:numPr>
          <w:ilvl w:val="0"/>
          <w:numId w:val="31"/>
        </w:numPr>
        <w:jc w:val="both"/>
        <w:rPr>
          <w:noProof/>
        </w:rPr>
      </w:pPr>
      <w:r>
        <w:rPr>
          <w:noProof/>
        </w:rPr>
        <w:t>troca de baterias de veículos a motor (anexo II, ponto 1.4)</w:t>
      </w:r>
    </w:p>
    <w:p w:rsidR="000A16C6" w:rsidRDefault="00187EE7">
      <w:pPr>
        <w:pStyle w:val="Text1"/>
        <w:numPr>
          <w:ilvl w:val="0"/>
          <w:numId w:val="31"/>
        </w:numPr>
        <w:jc w:val="both"/>
        <w:rPr>
          <w:noProof/>
        </w:rPr>
      </w:pPr>
      <w:r>
        <w:rPr>
          <w:noProof/>
        </w:rPr>
        <w:t>po</w:t>
      </w:r>
      <w:r>
        <w:rPr>
          <w:noProof/>
        </w:rPr>
        <w:t>ntos de carregamento para veículos a motor da categoria L (anexo II, ponto 1.5)</w:t>
      </w:r>
    </w:p>
    <w:p w:rsidR="000A16C6" w:rsidRDefault="00187EE7">
      <w:pPr>
        <w:pStyle w:val="Text1"/>
        <w:numPr>
          <w:ilvl w:val="0"/>
          <w:numId w:val="31"/>
        </w:numPr>
        <w:jc w:val="both"/>
        <w:rPr>
          <w:noProof/>
        </w:rPr>
      </w:pPr>
      <w:r>
        <w:rPr>
          <w:noProof/>
        </w:rPr>
        <w:t>pontos de carregamento para autocarros elétricos (anexo II, ponto 1.6)</w:t>
      </w:r>
    </w:p>
    <w:p w:rsidR="000A16C6" w:rsidRDefault="00187EE7">
      <w:pPr>
        <w:pStyle w:val="Text1"/>
        <w:numPr>
          <w:ilvl w:val="0"/>
          <w:numId w:val="31"/>
        </w:numPr>
        <w:jc w:val="both"/>
        <w:rPr>
          <w:noProof/>
        </w:rPr>
      </w:pPr>
      <w:r>
        <w:rPr>
          <w:noProof/>
        </w:rPr>
        <w:t>fornecimento de eletricidade da rede terrestre às embarcações de navegação interior (anexo II, ponto 1.8)</w:t>
      </w:r>
    </w:p>
    <w:p w:rsidR="000A16C6" w:rsidRDefault="00187EE7">
      <w:pPr>
        <w:pStyle w:val="Text1"/>
        <w:numPr>
          <w:ilvl w:val="0"/>
          <w:numId w:val="31"/>
        </w:numPr>
        <w:jc w:val="both"/>
        <w:rPr>
          <w:noProof/>
        </w:rPr>
      </w:pPr>
      <w:r>
        <w:rPr>
          <w:noProof/>
        </w:rPr>
        <w:t xml:space="preserve">pontos de abastecimento de GNL a embarcações de navegação interior, navios de mar e veículos a motor (anexo II, pontos 3.1 e 3.2) </w:t>
      </w:r>
    </w:p>
    <w:p w:rsidR="000A16C6" w:rsidRDefault="00187EE7">
      <w:pPr>
        <w:pStyle w:val="Text1"/>
        <w:numPr>
          <w:ilvl w:val="0"/>
          <w:numId w:val="31"/>
        </w:numPr>
        <w:jc w:val="both"/>
        <w:rPr>
          <w:noProof/>
        </w:rPr>
      </w:pPr>
      <w:r>
        <w:rPr>
          <w:noProof/>
        </w:rPr>
        <w:t>pontos de abastecimento de GNC para veículos a motor (anexo II, ponto 3.4)</w:t>
      </w:r>
    </w:p>
    <w:p w:rsidR="000A16C6" w:rsidRDefault="00187EE7">
      <w:pPr>
        <w:pStyle w:val="Text1"/>
        <w:ind w:left="60"/>
        <w:jc w:val="both"/>
        <w:rPr>
          <w:noProof/>
        </w:rPr>
      </w:pPr>
      <w:r>
        <w:rPr>
          <w:noProof/>
        </w:rPr>
        <w:t xml:space="preserve">Adicionalmente, as especificações técnicas já </w:t>
      </w:r>
      <w:r>
        <w:rPr>
          <w:noProof/>
        </w:rPr>
        <w:t>existentes para:</w:t>
      </w:r>
    </w:p>
    <w:p w:rsidR="000A16C6" w:rsidRDefault="00187EE7">
      <w:pPr>
        <w:pStyle w:val="Text1"/>
        <w:numPr>
          <w:ilvl w:val="0"/>
          <w:numId w:val="32"/>
        </w:numPr>
        <w:jc w:val="both"/>
        <w:rPr>
          <w:noProof/>
        </w:rPr>
      </w:pPr>
      <w:r>
        <w:rPr>
          <w:noProof/>
        </w:rPr>
        <w:t>pontos de abastecimento exteriores de hidrogénio (anexo II, ponto 2.1)</w:t>
      </w:r>
    </w:p>
    <w:p w:rsidR="000A16C6" w:rsidRDefault="00187EE7">
      <w:pPr>
        <w:pStyle w:val="Text1"/>
        <w:numPr>
          <w:ilvl w:val="0"/>
          <w:numId w:val="32"/>
        </w:numPr>
        <w:jc w:val="both"/>
        <w:rPr>
          <w:noProof/>
        </w:rPr>
      </w:pPr>
      <w:r>
        <w:rPr>
          <w:noProof/>
        </w:rPr>
        <w:t>grau de pureza do hidrogénio fornecido pelos pontos de abastecimento de hidrogénio (anexo II, ponto 2.2)</w:t>
      </w:r>
    </w:p>
    <w:p w:rsidR="000A16C6" w:rsidRDefault="00187EE7">
      <w:pPr>
        <w:pStyle w:val="Text1"/>
        <w:numPr>
          <w:ilvl w:val="0"/>
          <w:numId w:val="32"/>
        </w:numPr>
        <w:jc w:val="both"/>
        <w:rPr>
          <w:noProof/>
        </w:rPr>
      </w:pPr>
      <w:r>
        <w:rPr>
          <w:noProof/>
        </w:rPr>
        <w:t xml:space="preserve"> algoritmos e equipamento para abastecimento de hidrogénio (ane</w:t>
      </w:r>
      <w:r>
        <w:rPr>
          <w:noProof/>
        </w:rPr>
        <w:t>xo II, ponto 2.3)</w:t>
      </w:r>
    </w:p>
    <w:p w:rsidR="000A16C6" w:rsidRDefault="00187EE7">
      <w:pPr>
        <w:pStyle w:val="Text1"/>
        <w:numPr>
          <w:ilvl w:val="0"/>
          <w:numId w:val="32"/>
        </w:numPr>
        <w:jc w:val="both"/>
        <w:rPr>
          <w:noProof/>
        </w:rPr>
      </w:pPr>
      <w:r>
        <w:rPr>
          <w:noProof/>
        </w:rPr>
        <w:t xml:space="preserve">conectores de veículos a motor para o abastecimento de hidrogénio gasoso (anexo II, ponto 2.4) e </w:t>
      </w:r>
    </w:p>
    <w:p w:rsidR="000A16C6" w:rsidRDefault="00187EE7">
      <w:pPr>
        <w:pStyle w:val="Text1"/>
        <w:numPr>
          <w:ilvl w:val="0"/>
          <w:numId w:val="32"/>
        </w:numPr>
        <w:jc w:val="both"/>
        <w:rPr>
          <w:noProof/>
        </w:rPr>
      </w:pPr>
      <w:r>
        <w:rPr>
          <w:noProof/>
        </w:rPr>
        <w:t>conectores/recetáculos de GNC (anexo II, ponto 3.3)</w:t>
      </w:r>
    </w:p>
    <w:p w:rsidR="000A16C6" w:rsidRDefault="00187EE7">
      <w:pPr>
        <w:pStyle w:val="Text1"/>
        <w:ind w:left="0"/>
        <w:jc w:val="both"/>
        <w:rPr>
          <w:noProof/>
        </w:rPr>
      </w:pPr>
      <w:r>
        <w:rPr>
          <w:noProof/>
        </w:rPr>
        <w:t xml:space="preserve">foram atualizadas porque as organizações europeias de normalização pertinentes adotaram </w:t>
      </w:r>
      <w:r>
        <w:rPr>
          <w:noProof/>
        </w:rPr>
        <w:t xml:space="preserve">novas versões das respetivas normas. </w:t>
      </w:r>
    </w:p>
    <w:p w:rsidR="000A16C6" w:rsidRDefault="000A16C6">
      <w:pPr>
        <w:pStyle w:val="Text1"/>
        <w:ind w:left="0"/>
        <w:jc w:val="both"/>
        <w:rPr>
          <w:noProof/>
        </w:rPr>
      </w:pPr>
    </w:p>
    <w:p w:rsidR="000A16C6" w:rsidRDefault="00187EE7">
      <w:pPr>
        <w:pStyle w:val="Heading1"/>
        <w:rPr>
          <w:rFonts w:ascii="Times New Roman" w:hAnsi="Times New Roman" w:cs="Times New Roman"/>
          <w:smallCaps w:val="0"/>
          <w:noProof/>
          <w:sz w:val="24"/>
          <w:szCs w:val="24"/>
        </w:rPr>
      </w:pPr>
      <w:r>
        <w:rPr>
          <w:rFonts w:ascii="Times New Roman" w:hAnsi="Times New Roman"/>
          <w:smallCaps w:val="0"/>
          <w:noProof/>
        </w:rPr>
        <w:t xml:space="preserve">BASE JURÍDICA </w:t>
      </w:r>
    </w:p>
    <w:p w:rsidR="000A16C6" w:rsidRDefault="00187EE7">
      <w:pPr>
        <w:pStyle w:val="Text1"/>
        <w:ind w:left="0"/>
        <w:jc w:val="both"/>
        <w:rPr>
          <w:noProof/>
        </w:rPr>
      </w:pPr>
      <w:r>
        <w:rPr>
          <w:noProof/>
        </w:rPr>
        <w:t>O presente relatório é exigido pelo artigo 8.º, n.º 2, da Diretiva 2014/94/UE.</w:t>
      </w:r>
    </w:p>
    <w:p w:rsidR="000A16C6" w:rsidRDefault="00187EE7">
      <w:pPr>
        <w:pStyle w:val="Text1"/>
        <w:ind w:left="0"/>
        <w:jc w:val="both"/>
        <w:rPr>
          <w:noProof/>
          <w:shd w:val="clear" w:color="auto" w:fill="FFFFFF"/>
        </w:rPr>
      </w:pPr>
      <w:r>
        <w:rPr>
          <w:noProof/>
        </w:rPr>
        <w:t xml:space="preserve">Com o presente relatório, a Comissão informa o Parlamento Europeu e o Conselho sobre os regulamentos delegados da Comissão </w:t>
      </w:r>
      <w:r>
        <w:rPr>
          <w:noProof/>
        </w:rPr>
        <w:t xml:space="preserve">adotados ou a adotar de forma a </w:t>
      </w:r>
      <w:r>
        <w:rPr>
          <w:noProof/>
          <w:shd w:val="clear" w:color="auto" w:fill="FFFFFF"/>
        </w:rPr>
        <w:t xml:space="preserve">completar ou alterar as referências às normas referidas nos pontos 1.5, 1.8, 2.1, 2.2, 2.3, 2.4, 3.1, 3.2, 3.3, e 3.4 das especificações técnicas estabelecidas no anexo II da diretiva. </w:t>
      </w:r>
    </w:p>
    <w:p w:rsidR="000A16C6" w:rsidRDefault="00187EE7">
      <w:pPr>
        <w:pStyle w:val="Heading1"/>
        <w:rPr>
          <w:rFonts w:ascii="Times New Roman" w:hAnsi="Times New Roman" w:cs="Times New Roman"/>
          <w:smallCaps w:val="0"/>
          <w:noProof/>
          <w:sz w:val="24"/>
          <w:szCs w:val="24"/>
        </w:rPr>
      </w:pPr>
      <w:r>
        <w:rPr>
          <w:rFonts w:ascii="Times New Roman" w:hAnsi="Times New Roman"/>
          <w:smallCaps w:val="0"/>
          <w:noProof/>
        </w:rPr>
        <w:t xml:space="preserve">EXERCÍCIO DA DELEGAÇÃO </w:t>
      </w:r>
    </w:p>
    <w:p w:rsidR="000A16C6" w:rsidRDefault="00187EE7">
      <w:pPr>
        <w:pStyle w:val="Text1"/>
        <w:numPr>
          <w:ilvl w:val="0"/>
          <w:numId w:val="27"/>
        </w:numPr>
        <w:jc w:val="both"/>
        <w:rPr>
          <w:noProof/>
        </w:rPr>
      </w:pPr>
      <w:r>
        <w:rPr>
          <w:noProof/>
        </w:rPr>
        <w:t xml:space="preserve">Por ofício de </w:t>
      </w:r>
      <w:r>
        <w:rPr>
          <w:noProof/>
        </w:rPr>
        <w:t xml:space="preserve">13 de julho de 2017, o CEN-CENELEC informou a Comissão das normas que recomendava por forma a completar ou alterar as especificações técnicas estabelecidas no anexo II, pontos </w:t>
      </w:r>
      <w:r>
        <w:rPr>
          <w:noProof/>
          <w:shd w:val="clear" w:color="auto" w:fill="FFFFFF"/>
        </w:rPr>
        <w:t>1.5, 1.8, 2.4, e 3.1</w:t>
      </w:r>
      <w:r>
        <w:rPr>
          <w:noProof/>
        </w:rPr>
        <w:t xml:space="preserve">, da Diretiva 2014/94/UE, nomeadamente:  </w:t>
      </w:r>
    </w:p>
    <w:p w:rsidR="000A16C6" w:rsidRDefault="00187EE7">
      <w:pPr>
        <w:pStyle w:val="Text1"/>
        <w:numPr>
          <w:ilvl w:val="0"/>
          <w:numId w:val="22"/>
        </w:numPr>
        <w:jc w:val="both"/>
        <w:rPr>
          <w:noProof/>
        </w:rPr>
      </w:pPr>
      <w:r>
        <w:rPr>
          <w:noProof/>
        </w:rPr>
        <w:t>A norma EN 62196-2</w:t>
      </w:r>
      <w:r>
        <w:rPr>
          <w:noProof/>
        </w:rPr>
        <w:t xml:space="preserve"> «Fichas, tomadas, conectores para veículos e conjuntos ficha-tomada para veículos. Carga condutiva de veículos elétricos. Compatibilidade dimensional e prescrições de intermutabilidade dimensional para acessórios com pernos e alvéolos de CA» e a norma IEC</w:t>
      </w:r>
      <w:r>
        <w:rPr>
          <w:noProof/>
        </w:rPr>
        <w:t xml:space="preserve"> 60884-1 «Fichas, tomadas, conectores para uso doméstico e utilizações semelhantes – Parte 1: Requisitos gerais» devem aplicar-se a esses pontos de carregamento, consoante a alimentação e/ou o modo de carregamento, dos pontos de carregamento para veículos </w:t>
      </w:r>
      <w:r>
        <w:rPr>
          <w:noProof/>
        </w:rPr>
        <w:t xml:space="preserve">a motor da categoria L, de forma a complementar o ponto 1.5 do anexo II. </w:t>
      </w:r>
    </w:p>
    <w:p w:rsidR="000A16C6" w:rsidRDefault="00187EE7">
      <w:pPr>
        <w:pStyle w:val="Text1"/>
        <w:numPr>
          <w:ilvl w:val="0"/>
          <w:numId w:val="22"/>
        </w:numPr>
        <w:jc w:val="both"/>
        <w:rPr>
          <w:noProof/>
        </w:rPr>
      </w:pPr>
      <w:r>
        <w:rPr>
          <w:noProof/>
        </w:rPr>
        <w:t xml:space="preserve">A norma EN 15869-2 «Embarcações de navegação interior - Conexão elétrica a terra, corrente trifásica a 400 V, até 63 A, 50 Hz - Parte 2: Unidade costeira, prescrições de segurança», </w:t>
      </w:r>
      <w:r>
        <w:rPr>
          <w:noProof/>
        </w:rPr>
        <w:t>de forma a complementar o ponto 1.8 do anexo II, fornecimento de eletricidade da rede terrestre às embarcações de navegação interior.</w:t>
      </w:r>
    </w:p>
    <w:p w:rsidR="000A16C6" w:rsidRDefault="00187EE7">
      <w:pPr>
        <w:pStyle w:val="Text1"/>
        <w:numPr>
          <w:ilvl w:val="0"/>
          <w:numId w:val="22"/>
        </w:numPr>
        <w:jc w:val="both"/>
        <w:rPr>
          <w:noProof/>
        </w:rPr>
      </w:pPr>
      <w:r>
        <w:rPr>
          <w:noProof/>
        </w:rPr>
        <w:t>A norma EN ISO 17268 relativa a «Dispositivos de conexão para fornecimento de hidrogénio gasoso a veículos terrestres», de</w:t>
      </w:r>
      <w:r>
        <w:rPr>
          <w:noProof/>
        </w:rPr>
        <w:t xml:space="preserve"> forma a alterar o anexo II, ponto 2.4, no que diz respeito aos conectores de hidrogénio. </w:t>
      </w:r>
    </w:p>
    <w:p w:rsidR="000A16C6" w:rsidRDefault="00187EE7">
      <w:pPr>
        <w:pStyle w:val="Text1"/>
        <w:numPr>
          <w:ilvl w:val="0"/>
          <w:numId w:val="22"/>
        </w:numPr>
        <w:jc w:val="both"/>
        <w:rPr>
          <w:noProof/>
        </w:rPr>
      </w:pPr>
      <w:r>
        <w:rPr>
          <w:noProof/>
        </w:rPr>
        <w:t>A norma EN ISO 20519 «Navios e tecnologia marinha - Especificação para abastecimento de navios alimentados a gás natural liquefeito», de forma a complementar o anexo</w:t>
      </w:r>
      <w:r>
        <w:rPr>
          <w:noProof/>
        </w:rPr>
        <w:t xml:space="preserve"> II, ponto 3.1, relativo a embarcações de navegação interior ou a navios de mar.</w:t>
      </w:r>
    </w:p>
    <w:p w:rsidR="000A16C6" w:rsidRDefault="00187EE7">
      <w:pPr>
        <w:pStyle w:val="Text1"/>
        <w:ind w:left="0"/>
        <w:jc w:val="both"/>
        <w:rPr>
          <w:noProof/>
        </w:rPr>
      </w:pPr>
      <w:r>
        <w:rPr>
          <w:noProof/>
        </w:rPr>
        <w:t>Após consulta do grupo de peritos da Comissão «Fórum de Transportes Sustentáveis» e após ter informado o Parlamento Europeu e o Conselho desta consulta, a Comissão Europeia ad</w:t>
      </w:r>
      <w:r>
        <w:rPr>
          <w:noProof/>
        </w:rPr>
        <w:t>otou o Regulamento Delegado (UE) 2018/674 da Comissão, de 17 de novembro de 2017, que completa a Diretiva 2014/94/UE do Parlamento Europeu e do Conselho no que diz respeito aos pontos de carregamento para veículos a motor de categoria L, ao fornecimento de</w:t>
      </w:r>
      <w:r>
        <w:rPr>
          <w:noProof/>
        </w:rPr>
        <w:t xml:space="preserve"> eletricidade a partir da rede terrestre às embarcações de navegação interior e aos pontos de abastecimento de GNL para o transporte aquático, e que altera a referida diretiva em matéria de dispositivos de conexão para veículos a motor para o abastecimento</w:t>
      </w:r>
      <w:r>
        <w:rPr>
          <w:noProof/>
        </w:rPr>
        <w:t xml:space="preserve"> com hidrogénio gasoso</w:t>
      </w:r>
      <w:r>
        <w:rPr>
          <w:noProof/>
          <w:vertAlign w:val="superscript"/>
        </w:rPr>
        <w:footnoteReference w:id="3"/>
      </w:r>
      <w:r>
        <w:rPr>
          <w:noProof/>
        </w:rPr>
        <w:t>.</w:t>
      </w:r>
    </w:p>
    <w:p w:rsidR="000A16C6" w:rsidRDefault="00187EE7">
      <w:pPr>
        <w:pStyle w:val="Text1"/>
        <w:ind w:left="0"/>
        <w:jc w:val="both"/>
        <w:rPr>
          <w:noProof/>
        </w:rPr>
      </w:pPr>
      <w:r>
        <w:rPr>
          <w:noProof/>
        </w:rPr>
        <w:t>O referido regulamento delegado estabelece as seguintes disposições:</w:t>
      </w:r>
    </w:p>
    <w:p w:rsidR="000A16C6" w:rsidRDefault="00187EE7">
      <w:pPr>
        <w:pStyle w:val="Text1"/>
        <w:numPr>
          <w:ilvl w:val="0"/>
          <w:numId w:val="24"/>
        </w:numPr>
        <w:jc w:val="both"/>
        <w:rPr>
          <w:noProof/>
        </w:rPr>
      </w:pPr>
      <w:r>
        <w:rPr>
          <w:noProof/>
        </w:rPr>
        <w:t>Os pontos de carregamento de corrente alternada (CA) publicamente acessíveis reservados para veículos elétricos da categoria L com até 3,7 kVA devem estar equipad</w:t>
      </w:r>
      <w:r>
        <w:rPr>
          <w:noProof/>
        </w:rPr>
        <w:t>os, para fins de interoperabilidade, com pelo menos um dos seguintes sistemas:</w:t>
      </w:r>
    </w:p>
    <w:p w:rsidR="000A16C6" w:rsidRDefault="00187EE7">
      <w:pPr>
        <w:pStyle w:val="Text1"/>
        <w:numPr>
          <w:ilvl w:val="1"/>
          <w:numId w:val="24"/>
        </w:numPr>
        <w:jc w:val="both"/>
        <w:rPr>
          <w:noProof/>
        </w:rPr>
      </w:pPr>
      <w:r>
        <w:rPr>
          <w:noProof/>
        </w:rPr>
        <w:t>Tomadas ou conectores de veículos de tipo 3a, tal como descritos na norma EN 62196-2 (para carga em Modo 3);</w:t>
      </w:r>
    </w:p>
    <w:p w:rsidR="000A16C6" w:rsidRDefault="00187EE7">
      <w:pPr>
        <w:pStyle w:val="Text1"/>
        <w:numPr>
          <w:ilvl w:val="1"/>
          <w:numId w:val="24"/>
        </w:numPr>
        <w:jc w:val="both"/>
        <w:rPr>
          <w:noProof/>
        </w:rPr>
      </w:pPr>
      <w:r>
        <w:rPr>
          <w:noProof/>
        </w:rPr>
        <w:t>Tomadas e conectores conformes à série IEC 60884 (para carga de Modo</w:t>
      </w:r>
      <w:r>
        <w:rPr>
          <w:noProof/>
        </w:rPr>
        <w:t xml:space="preserve"> 1 ou de Modo 2).</w:t>
      </w:r>
    </w:p>
    <w:p w:rsidR="000A16C6" w:rsidRDefault="00187EE7">
      <w:pPr>
        <w:pStyle w:val="Text1"/>
        <w:ind w:left="720"/>
        <w:jc w:val="both"/>
        <w:rPr>
          <w:noProof/>
        </w:rPr>
      </w:pPr>
      <w:r>
        <w:rPr>
          <w:noProof/>
        </w:rPr>
        <w:t xml:space="preserve">Os pontos de carregamento de corrente alternada (CA) publicamente acessíveis reservados para veículos elétricos da categoria L com mais de 3,7 kVA devem estar equipados, para fins de interoperabilidade, com pelo menos tomadas ou </w:t>
      </w:r>
      <w:r>
        <w:rPr>
          <w:noProof/>
        </w:rPr>
        <w:t>conectores de veículos de Tipo 2, tal como descritos na norma EN 62196-2.</w:t>
      </w:r>
    </w:p>
    <w:p w:rsidR="000A16C6" w:rsidRDefault="00187EE7">
      <w:pPr>
        <w:pStyle w:val="Text1"/>
        <w:numPr>
          <w:ilvl w:val="0"/>
          <w:numId w:val="24"/>
        </w:numPr>
        <w:jc w:val="both"/>
        <w:rPr>
          <w:noProof/>
        </w:rPr>
      </w:pPr>
      <w:r>
        <w:rPr>
          <w:noProof/>
        </w:rPr>
        <w:t>O fornecimento de eletricidade a partir da rede terrestre para as embarcações de navegação interior deve ser conforme com a norma EN 15869-2 «Embarcações de navegação interior - Cone</w:t>
      </w:r>
      <w:r>
        <w:rPr>
          <w:noProof/>
        </w:rPr>
        <w:t>xão elétrica a terra, corrente trifásica a 400 V, até 63 A, 50 Hz - Parte 2: Unidade costeira, prescrições de segurança».</w:t>
      </w:r>
    </w:p>
    <w:p w:rsidR="000A16C6" w:rsidRDefault="00187EE7">
      <w:pPr>
        <w:pStyle w:val="Text1"/>
        <w:numPr>
          <w:ilvl w:val="0"/>
          <w:numId w:val="24"/>
        </w:numPr>
        <w:jc w:val="both"/>
        <w:rPr>
          <w:noProof/>
        </w:rPr>
      </w:pPr>
      <w:r>
        <w:rPr>
          <w:noProof/>
        </w:rPr>
        <w:t xml:space="preserve">Os pontos de abastecimento de GNL a embarcações de navegação interior ou a navios de mar, não abrangidos pelo Código internacional de </w:t>
      </w:r>
      <w:r>
        <w:rPr>
          <w:noProof/>
        </w:rPr>
        <w:t>construção e equipamento de navios de transporte de gases liquefeitos a granel (Código IGC), devem ser conformes com a norma EN ISO 20519.</w:t>
      </w:r>
    </w:p>
    <w:p w:rsidR="000A16C6" w:rsidRDefault="00187EE7">
      <w:pPr>
        <w:pStyle w:val="Text1"/>
        <w:numPr>
          <w:ilvl w:val="0"/>
          <w:numId w:val="24"/>
        </w:numPr>
        <w:jc w:val="both"/>
        <w:rPr>
          <w:noProof/>
        </w:rPr>
      </w:pPr>
      <w:r>
        <w:rPr>
          <w:noProof/>
        </w:rPr>
        <w:t>No abastecimento de hidrogénio gasoso, os conectores dos veículos a motor devem ser conformes com a norma EN ISO 1726</w:t>
      </w:r>
      <w:r>
        <w:rPr>
          <w:noProof/>
        </w:rPr>
        <w:t>8 (relativa aos dispositivos de conexão para o fornecimento de hidrogénio gasoso a veículos terrestres).»</w:t>
      </w:r>
    </w:p>
    <w:p w:rsidR="000A16C6" w:rsidRDefault="00187EE7">
      <w:pPr>
        <w:pStyle w:val="Text1"/>
        <w:numPr>
          <w:ilvl w:val="0"/>
          <w:numId w:val="27"/>
        </w:numPr>
        <w:ind w:left="0"/>
        <w:jc w:val="both"/>
        <w:rPr>
          <w:noProof/>
        </w:rPr>
      </w:pPr>
      <w:r>
        <w:rPr>
          <w:noProof/>
        </w:rPr>
        <w:t>Na sequência de pedidos recebidos de Estados-Membros em separado e da Comissão Central para a Navegação do Reno (CCNR) no sentido de atualizar tecnica</w:t>
      </w:r>
      <w:r>
        <w:rPr>
          <w:noProof/>
        </w:rPr>
        <w:t xml:space="preserve">mente e complementar o Regulamento Delegado (UE) 2018/674 da Comissão, de 17 de novembro de 2017, e após receção do ofício do CEN/CENELEC de 26 de novembro de 2018, que informava a Comissão dos novos desenvolvimentos na normalização das infraestruturas de </w:t>
      </w:r>
      <w:r>
        <w:rPr>
          <w:noProof/>
        </w:rPr>
        <w:t>abastecimento de gás natural e de hidrogénio, a Comissão adotou, em 13 de agosto de 2019, um novo Regulamento Delegado</w:t>
      </w:r>
      <w:r>
        <w:rPr>
          <w:rStyle w:val="FootnoteReference"/>
          <w:noProof/>
        </w:rPr>
        <w:footnoteReference w:id="4"/>
      </w:r>
      <w:r>
        <w:rPr>
          <w:noProof/>
        </w:rPr>
        <w:t xml:space="preserve"> a fim de revogar o Regulamento Delegado (UE) 2018/674 da Comissão, de 17 de novembro de 2017, e para incluir as atualizações e complemen</w:t>
      </w:r>
      <w:r>
        <w:rPr>
          <w:noProof/>
        </w:rPr>
        <w:t xml:space="preserve">tos acima referidos, assim como os novos desenvolvimentos na normalização das infraestruturas de abastecimento de gás natural e de hidrogénio. </w:t>
      </w:r>
    </w:p>
    <w:p w:rsidR="000A16C6" w:rsidRDefault="00187EE7">
      <w:pPr>
        <w:pStyle w:val="Text1"/>
        <w:ind w:left="0"/>
        <w:jc w:val="both"/>
        <w:rPr>
          <w:noProof/>
        </w:rPr>
      </w:pPr>
      <w:r>
        <w:rPr>
          <w:noProof/>
        </w:rPr>
        <w:t>Este Regulamento Delegado da Comissão:</w:t>
      </w:r>
    </w:p>
    <w:p w:rsidR="000A16C6" w:rsidRDefault="00187EE7">
      <w:pPr>
        <w:pStyle w:val="Text1"/>
        <w:numPr>
          <w:ilvl w:val="0"/>
          <w:numId w:val="23"/>
        </w:numPr>
        <w:jc w:val="both"/>
        <w:rPr>
          <w:noProof/>
        </w:rPr>
      </w:pPr>
      <w:r>
        <w:rPr>
          <w:noProof/>
        </w:rPr>
        <w:t xml:space="preserve">Complementa o ponto 1.5 pela inclusão das normas, norteadas pelo tipo de </w:t>
      </w:r>
      <w:r>
        <w:rPr>
          <w:noProof/>
        </w:rPr>
        <w:t>alimentação e/ou pelo modo de carregamento, aplicáveis aos pontos de carregamento para veículos a motor da categoria L, nomeadamente:</w:t>
      </w:r>
    </w:p>
    <w:p w:rsidR="000A16C6" w:rsidRDefault="00187EE7">
      <w:pPr>
        <w:pStyle w:val="ListParagraph"/>
        <w:numPr>
          <w:ilvl w:val="1"/>
          <w:numId w:val="23"/>
        </w:numPr>
        <w:jc w:val="both"/>
        <w:rPr>
          <w:rFonts w:ascii="Times New Roman" w:hAnsi="Times New Roman" w:cs="Times New Roman"/>
          <w:noProof/>
          <w:sz w:val="24"/>
          <w:szCs w:val="24"/>
        </w:rPr>
      </w:pPr>
      <w:r>
        <w:rPr>
          <w:rFonts w:ascii="Times New Roman" w:hAnsi="Times New Roman"/>
          <w:noProof/>
        </w:rPr>
        <w:t xml:space="preserve"> Norma EN 62196-2 «Fichas, tomadas, conectores para veículos e conjuntos ficha-tomada para veículos. Carga condutiva de ve</w:t>
      </w:r>
      <w:r>
        <w:rPr>
          <w:rFonts w:ascii="Times New Roman" w:hAnsi="Times New Roman"/>
          <w:noProof/>
        </w:rPr>
        <w:t xml:space="preserve">ículos elétricos. Compatibilidade dimensional e prescrições de intermutabilidade dimensional para acessórios com pernos e alvéolos de CA» e </w:t>
      </w:r>
    </w:p>
    <w:p w:rsidR="000A16C6" w:rsidRDefault="00187EE7">
      <w:pPr>
        <w:pStyle w:val="ListParagraph"/>
        <w:numPr>
          <w:ilvl w:val="1"/>
          <w:numId w:val="23"/>
        </w:numPr>
        <w:jc w:val="both"/>
        <w:rPr>
          <w:rFonts w:ascii="Times New Roman" w:hAnsi="Times New Roman" w:cs="Times New Roman"/>
          <w:noProof/>
          <w:sz w:val="24"/>
          <w:szCs w:val="24"/>
        </w:rPr>
      </w:pPr>
      <w:r>
        <w:rPr>
          <w:rFonts w:ascii="Times New Roman" w:hAnsi="Times New Roman"/>
          <w:noProof/>
        </w:rPr>
        <w:t xml:space="preserve">Norma IEC 60884-1 «Fichas, tomadas, conectores para uso doméstico e utilizações semelhantes  – Parte 1: Requisitos </w:t>
      </w:r>
      <w:r>
        <w:rPr>
          <w:rFonts w:ascii="Times New Roman" w:hAnsi="Times New Roman"/>
          <w:noProof/>
        </w:rPr>
        <w:t>gerais» devem aplicar-se a esses pontos de carregamento.</w:t>
      </w:r>
    </w:p>
    <w:p w:rsidR="000A16C6" w:rsidRPr="00187EE7" w:rsidRDefault="00187EE7">
      <w:pPr>
        <w:pStyle w:val="Text1"/>
        <w:numPr>
          <w:ilvl w:val="0"/>
          <w:numId w:val="23"/>
        </w:numPr>
        <w:jc w:val="both"/>
        <w:rPr>
          <w:noProof/>
        </w:rPr>
      </w:pPr>
      <w:r>
        <w:rPr>
          <w:noProof/>
        </w:rPr>
        <w:t xml:space="preserve">Complementa o anexo II, ponto 1.8, pela inclusão da norma relativa ao fornecimento de eletricidade da rede terrestre às embarcações de navegação </w:t>
      </w:r>
      <w:bookmarkStart w:id="1" w:name="_GoBack"/>
      <w:r w:rsidRPr="00187EE7">
        <w:rPr>
          <w:noProof/>
        </w:rPr>
        <w:t xml:space="preserve">interior, nomeadamente: </w:t>
      </w:r>
    </w:p>
    <w:p w:rsidR="000A16C6" w:rsidRPr="00187EE7" w:rsidRDefault="00187EE7">
      <w:pPr>
        <w:pStyle w:val="ListParagraph"/>
        <w:numPr>
          <w:ilvl w:val="1"/>
          <w:numId w:val="23"/>
        </w:numPr>
        <w:jc w:val="both"/>
        <w:rPr>
          <w:rFonts w:ascii="Times New Roman" w:hAnsi="Times New Roman" w:cs="Times New Roman"/>
          <w:noProof/>
          <w:sz w:val="24"/>
          <w:szCs w:val="24"/>
        </w:rPr>
      </w:pPr>
      <w:r w:rsidRPr="00187EE7">
        <w:rPr>
          <w:rFonts w:ascii="Times New Roman" w:hAnsi="Times New Roman"/>
          <w:noProof/>
        </w:rPr>
        <w:t>Norma EN 15869-2 «Embarcações</w:t>
      </w:r>
      <w:r w:rsidRPr="00187EE7">
        <w:rPr>
          <w:rFonts w:ascii="Times New Roman" w:hAnsi="Times New Roman"/>
          <w:noProof/>
        </w:rPr>
        <w:t xml:space="preserve"> de navegação interior - Conexão elétrica a terra, corrente trifásica a 400 V, até 63 A, 50 Hz - Parte 2: Unidade costeira, prescrições de segurança» </w:t>
      </w:r>
      <w:r w:rsidRPr="00187EE7">
        <w:rPr>
          <w:rFonts w:ascii="Times New Roman" w:hAnsi="Times New Roman"/>
          <w:noProof/>
        </w:rPr>
        <w:t xml:space="preserve">ou norma EN 16840 «Embarcações de navegação interior - Conexão elétrica a terra, corrente trifásica a 400 </w:t>
      </w:r>
      <w:r w:rsidRPr="00187EE7">
        <w:rPr>
          <w:rFonts w:ascii="Times New Roman" w:hAnsi="Times New Roman"/>
          <w:noProof/>
        </w:rPr>
        <w:t>V, pelo menos 250 A, 50 Hz» consoante os requisitos energéticos.</w:t>
      </w:r>
    </w:p>
    <w:p w:rsidR="000A16C6" w:rsidRDefault="00187EE7">
      <w:pPr>
        <w:pStyle w:val="Text1"/>
        <w:numPr>
          <w:ilvl w:val="0"/>
          <w:numId w:val="23"/>
        </w:numPr>
        <w:jc w:val="both"/>
        <w:rPr>
          <w:noProof/>
        </w:rPr>
      </w:pPr>
      <w:r w:rsidRPr="00187EE7">
        <w:rPr>
          <w:noProof/>
        </w:rPr>
        <w:t xml:space="preserve"> Altera o anexo II, pontos 2.1 e 2.</w:t>
      </w:r>
      <w:bookmarkEnd w:id="1"/>
      <w:r>
        <w:rPr>
          <w:noProof/>
        </w:rPr>
        <w:t>3, pela inclusão da norma europeia EN 17127 «Pontos de abastecimento exteriores de hidrogénio gasoso e protocolos de enchimento»</w:t>
      </w:r>
    </w:p>
    <w:p w:rsidR="000A16C6" w:rsidRDefault="00187EE7">
      <w:pPr>
        <w:pStyle w:val="Text1"/>
        <w:numPr>
          <w:ilvl w:val="0"/>
          <w:numId w:val="23"/>
        </w:numPr>
        <w:jc w:val="both"/>
        <w:rPr>
          <w:noProof/>
        </w:rPr>
      </w:pPr>
      <w:r>
        <w:rPr>
          <w:noProof/>
        </w:rPr>
        <w:t>Altera o anexo II, ponto 2.</w:t>
      </w:r>
      <w:r>
        <w:rPr>
          <w:noProof/>
        </w:rPr>
        <w:t xml:space="preserve">2, pela inclusão da norma europeia EN 17124 «Combustível de hidrogénio — Especificações de produto e garantia de qualidade — Aplicações de pilha de combustível com membrana de permuta protónica (PEM) para veículos a motor» </w:t>
      </w:r>
    </w:p>
    <w:p w:rsidR="000A16C6" w:rsidRDefault="00187EE7">
      <w:pPr>
        <w:pStyle w:val="Text1"/>
        <w:numPr>
          <w:ilvl w:val="0"/>
          <w:numId w:val="23"/>
        </w:numPr>
        <w:jc w:val="both"/>
        <w:rPr>
          <w:noProof/>
        </w:rPr>
      </w:pPr>
      <w:r>
        <w:rPr>
          <w:noProof/>
        </w:rPr>
        <w:t>Altera o anexo II, ponto 2.4, pe</w:t>
      </w:r>
      <w:r>
        <w:rPr>
          <w:noProof/>
        </w:rPr>
        <w:t>la inclusão da norma europeia EN ISO 17268 «Dispositivos de conexão para o fornecimento de hidrogénio gasoso a veículos terrestres»</w:t>
      </w:r>
    </w:p>
    <w:p w:rsidR="000A16C6" w:rsidRDefault="00187EE7">
      <w:pPr>
        <w:pStyle w:val="Text1"/>
        <w:numPr>
          <w:ilvl w:val="0"/>
          <w:numId w:val="23"/>
        </w:numPr>
        <w:jc w:val="both"/>
        <w:rPr>
          <w:noProof/>
        </w:rPr>
      </w:pPr>
      <w:r>
        <w:rPr>
          <w:noProof/>
        </w:rPr>
        <w:t>Complementa o anexo II, ponto 3.1, pela inclusão da norma relativa aos pontos de abastecimento de GNL aos navios de mar e às</w:t>
      </w:r>
      <w:r>
        <w:rPr>
          <w:noProof/>
        </w:rPr>
        <w:t xml:space="preserve"> embarcações de navegação interior, nomeadamente:</w:t>
      </w:r>
    </w:p>
    <w:p w:rsidR="000A16C6" w:rsidRDefault="00187EE7">
      <w:pPr>
        <w:pStyle w:val="Text1"/>
        <w:numPr>
          <w:ilvl w:val="1"/>
          <w:numId w:val="23"/>
        </w:numPr>
        <w:jc w:val="both"/>
        <w:rPr>
          <w:noProof/>
        </w:rPr>
      </w:pPr>
      <w:r>
        <w:rPr>
          <w:noProof/>
        </w:rPr>
        <w:t>EN ISO 20519 «Navios e tecnologia marinha - Especificação para abastecimento de navios alimentados a gás natural liquefeito» que terá aplicação em navios de mar não abrangidos pelo código internacional de c</w:t>
      </w:r>
      <w:r>
        <w:rPr>
          <w:noProof/>
        </w:rPr>
        <w:t>onstrução e equipamento de navios de transporte de gases liquefeitos a granel (Código IGC),</w:t>
      </w:r>
    </w:p>
    <w:p w:rsidR="000A16C6" w:rsidRDefault="00187EE7">
      <w:pPr>
        <w:pStyle w:val="Text1"/>
        <w:numPr>
          <w:ilvl w:val="1"/>
          <w:numId w:val="23"/>
        </w:numPr>
        <w:jc w:val="both"/>
        <w:rPr>
          <w:noProof/>
        </w:rPr>
      </w:pPr>
      <w:r>
        <w:rPr>
          <w:noProof/>
        </w:rPr>
        <w:t>EN ISO 20519 (partes 5.3 a 5.7) que se aplicará aos navios de navegação interior</w:t>
      </w:r>
    </w:p>
    <w:p w:rsidR="000A16C6" w:rsidRDefault="00187EE7">
      <w:pPr>
        <w:pStyle w:val="Text1"/>
        <w:numPr>
          <w:ilvl w:val="0"/>
          <w:numId w:val="23"/>
        </w:numPr>
        <w:jc w:val="both"/>
        <w:rPr>
          <w:noProof/>
        </w:rPr>
      </w:pPr>
      <w:r>
        <w:rPr>
          <w:noProof/>
        </w:rPr>
        <w:t>Complementa o anexo II, ponto 3.2, pela inclusão dos elementos de interoperabilidad</w:t>
      </w:r>
      <w:r>
        <w:rPr>
          <w:noProof/>
        </w:rPr>
        <w:t>e da norma europeia EN ISO 16924 «Estações de abastecimento de gás natural — Estações de GNL para autotanques», tais como a pressão de abastecimento e o conector a utilizar</w:t>
      </w:r>
    </w:p>
    <w:p w:rsidR="000A16C6" w:rsidRDefault="00187EE7">
      <w:pPr>
        <w:pStyle w:val="Text1"/>
        <w:numPr>
          <w:ilvl w:val="0"/>
          <w:numId w:val="23"/>
        </w:numPr>
        <w:jc w:val="both"/>
        <w:rPr>
          <w:noProof/>
        </w:rPr>
      </w:pPr>
      <w:r>
        <w:rPr>
          <w:noProof/>
        </w:rPr>
        <w:t xml:space="preserve">Complementa o anexo II, ponto 3.3, pela solicitação de que a norma europeia EN ISO </w:t>
      </w:r>
      <w:r>
        <w:rPr>
          <w:noProof/>
        </w:rPr>
        <w:t xml:space="preserve">14469 «Veículos rodoviários — conector de abastecimento a gás natural comprimido (GNC)» se aplique aos conectores/recétaculos de GNC. </w:t>
      </w:r>
    </w:p>
    <w:p w:rsidR="000A16C6" w:rsidRDefault="00187EE7">
      <w:pPr>
        <w:pStyle w:val="Text1"/>
        <w:numPr>
          <w:ilvl w:val="0"/>
          <w:numId w:val="23"/>
        </w:numPr>
        <w:jc w:val="both"/>
        <w:rPr>
          <w:noProof/>
        </w:rPr>
      </w:pPr>
      <w:r>
        <w:rPr>
          <w:noProof/>
        </w:rPr>
        <w:t>Complementa o anexo II, ponto 3.4, pela inclusão dos elementos de interoperabilidade da norma europeia EN ISO 16923 «Esta</w:t>
      </w:r>
      <w:r>
        <w:rPr>
          <w:noProof/>
        </w:rPr>
        <w:t xml:space="preserve">ções de abastecimento de gás natural — Estações de GNC para autotanques», tais como a pressão de abastecimento </w:t>
      </w:r>
    </w:p>
    <w:p w:rsidR="000A16C6" w:rsidRDefault="00187EE7">
      <w:pPr>
        <w:pStyle w:val="Text1"/>
        <w:ind w:left="0"/>
        <w:jc w:val="both"/>
        <w:rPr>
          <w:noProof/>
        </w:rPr>
      </w:pPr>
      <w:r>
        <w:rPr>
          <w:noProof/>
        </w:rPr>
        <w:t>O projeto de regulamento delegado da Comissão foi publicado no Portal Legislar Melhor entre 15 de março de 2019 e 12 de abril de 2019. A Comissã</w:t>
      </w:r>
      <w:r>
        <w:rPr>
          <w:noProof/>
        </w:rPr>
        <w:t xml:space="preserve">o recebeu reações por parte de 10 observadores. Além disso, os peritos dos Estados-Membros do Fórum de Transportes Sustentáveis foram consultados em diferentes fases da preparação do regulamento delegado da Comissão. </w:t>
      </w:r>
    </w:p>
    <w:p w:rsidR="000A16C6" w:rsidRDefault="00187EE7">
      <w:pPr>
        <w:pStyle w:val="Text1"/>
        <w:ind w:left="0"/>
        <w:jc w:val="both"/>
        <w:rPr>
          <w:noProof/>
        </w:rPr>
      </w:pPr>
      <w:r>
        <w:rPr>
          <w:noProof/>
        </w:rPr>
        <w:t>Este foi adotado pela Comissão em 13 d</w:t>
      </w:r>
      <w:r>
        <w:rPr>
          <w:noProof/>
        </w:rPr>
        <w:t>e agosto de 2019</w:t>
      </w:r>
      <w:r>
        <w:rPr>
          <w:rStyle w:val="FootnoteReference"/>
          <w:noProof/>
        </w:rPr>
        <w:footnoteReference w:id="5"/>
      </w:r>
      <w:r>
        <w:rPr>
          <w:noProof/>
        </w:rPr>
        <w:t>). Ao abrigo do artigo 8.º, n.º 5, da Diretiva 2014/94/UE, o Conselho Europeu e o Parlamento Europeu foram consultados e não foi recebida qualquer objeção. Por conseguinte, o referido regulamento delegado da Comissão entra em vigor no vigé</w:t>
      </w:r>
      <w:r>
        <w:rPr>
          <w:noProof/>
        </w:rPr>
        <w:t xml:space="preserve">simo dia seguinte ao da sua publicação no </w:t>
      </w:r>
      <w:r>
        <w:rPr>
          <w:i/>
          <w:noProof/>
        </w:rPr>
        <w:t>Jornal Oficial da União Europeia</w:t>
      </w:r>
      <w:r>
        <w:rPr>
          <w:noProof/>
        </w:rPr>
        <w:t xml:space="preserve">, em 22 de outubro de 2019. É aplicável a partir de 12 de novembro de 2021.  </w:t>
      </w:r>
    </w:p>
    <w:p w:rsidR="000A16C6" w:rsidRDefault="00187EE7">
      <w:pPr>
        <w:pStyle w:val="Text1"/>
        <w:ind w:left="0"/>
        <w:jc w:val="both"/>
        <w:rPr>
          <w:noProof/>
        </w:rPr>
      </w:pPr>
      <w:r>
        <w:rPr>
          <w:noProof/>
        </w:rPr>
        <w:t>Além disso, a adoção de um novo regulamento delegado da Comissão está prevista no quarto trimestre de 2020, a fim de completar as especificações técnicas do anexo II, pontos 1.3 (pontos de carregamento sem fios para veículos a motor) e 1.6 (pontos de carre</w:t>
      </w:r>
      <w:r>
        <w:rPr>
          <w:noProof/>
        </w:rPr>
        <w:t xml:space="preserve">gamento para autocarros elétricos), da Diretiva 2014/94/UE. </w:t>
      </w:r>
    </w:p>
    <w:p w:rsidR="000A16C6" w:rsidRDefault="000A16C6">
      <w:pPr>
        <w:pStyle w:val="Text1"/>
        <w:ind w:left="0"/>
        <w:jc w:val="both"/>
        <w:rPr>
          <w:noProof/>
        </w:rPr>
      </w:pPr>
    </w:p>
    <w:p w:rsidR="000A16C6" w:rsidRDefault="00187EE7">
      <w:pPr>
        <w:pStyle w:val="Text1"/>
        <w:ind w:left="0"/>
        <w:jc w:val="both"/>
        <w:rPr>
          <w:noProof/>
        </w:rPr>
      </w:pPr>
      <w:r>
        <w:rPr>
          <w:noProof/>
        </w:rPr>
        <w:t>A Comissão não tenciona incluir as especificações técnicas relativas ao anexo II, ponto 1.4 (troca de baterias de veículos a motor) no regulamento delegado da Comissão acima anunciado, uma vez q</w:t>
      </w:r>
      <w:r>
        <w:rPr>
          <w:noProof/>
        </w:rPr>
        <w:t xml:space="preserve">ue a organização europeia de normalização pertinente não considera essa norma prioritária para a indústria da UE. </w:t>
      </w:r>
    </w:p>
    <w:p w:rsidR="000A16C6" w:rsidRDefault="00187EE7">
      <w:pPr>
        <w:pStyle w:val="Heading1"/>
        <w:rPr>
          <w:rFonts w:ascii="Times New Roman" w:hAnsi="Times New Roman" w:cs="Times New Roman"/>
          <w:smallCaps w:val="0"/>
          <w:noProof/>
          <w:sz w:val="24"/>
          <w:szCs w:val="24"/>
        </w:rPr>
      </w:pPr>
      <w:r>
        <w:rPr>
          <w:rFonts w:ascii="Times New Roman" w:hAnsi="Times New Roman"/>
          <w:smallCaps w:val="0"/>
          <w:noProof/>
        </w:rPr>
        <w:t xml:space="preserve">CONCLUSÃO E PERSPETIVAS PARA O FUTURO </w:t>
      </w:r>
    </w:p>
    <w:p w:rsidR="000A16C6" w:rsidRDefault="00187EE7">
      <w:pPr>
        <w:pStyle w:val="Text1"/>
        <w:ind w:left="0"/>
        <w:jc w:val="both"/>
        <w:rPr>
          <w:noProof/>
        </w:rPr>
      </w:pPr>
      <w:r>
        <w:rPr>
          <w:noProof/>
        </w:rPr>
        <w:t>A Comissão convida o Parlamento Europeu e o Conselho a tomarem nota do presente relatório.</w:t>
      </w:r>
    </w:p>
    <w:sectPr w:rsidR="000A16C6">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CC4BE" w16cid:durableId="2135F0BD"/>
  <w16cid:commentId w16cid:paraId="101398B1" w16cid:durableId="2135F190"/>
  <w16cid:commentId w16cid:paraId="0CEA7850" w16cid:durableId="2135F0EA"/>
  <w16cid:commentId w16cid:paraId="24305BAF" w16cid:durableId="2135F374"/>
  <w16cid:commentId w16cid:paraId="336B3BFE" w16cid:durableId="21360000"/>
  <w16cid:commentId w16cid:paraId="6031BE4A" w16cid:durableId="21360023"/>
  <w16cid:commentId w16cid:paraId="79D949FA" w16cid:durableId="213606A7"/>
  <w16cid:commentId w16cid:paraId="666DD3C8" w16cid:durableId="21360543"/>
  <w16cid:commentId w16cid:paraId="431005D6" w16cid:durableId="213601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C6" w:rsidRDefault="00187EE7">
      <w:pPr>
        <w:spacing w:after="0" w:line="240" w:lineRule="auto"/>
      </w:pPr>
      <w:r>
        <w:separator/>
      </w:r>
    </w:p>
  </w:endnote>
  <w:endnote w:type="continuationSeparator" w:id="0">
    <w:p w:rsidR="000A16C6" w:rsidRDefault="0018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187EE7">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187EE7">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C6" w:rsidRDefault="00187EE7">
      <w:pPr>
        <w:spacing w:after="0" w:line="240" w:lineRule="auto"/>
      </w:pPr>
      <w:r>
        <w:separator/>
      </w:r>
    </w:p>
  </w:footnote>
  <w:footnote w:type="continuationSeparator" w:id="0">
    <w:p w:rsidR="000A16C6" w:rsidRDefault="00187EE7">
      <w:pPr>
        <w:spacing w:after="0" w:line="240" w:lineRule="auto"/>
      </w:pPr>
      <w:r>
        <w:continuationSeparator/>
      </w:r>
    </w:p>
  </w:footnote>
  <w:footnote w:id="1">
    <w:p w:rsidR="000A16C6" w:rsidRDefault="00187EE7">
      <w:pPr>
        <w:pStyle w:val="FootnoteText"/>
        <w:spacing w:after="0"/>
        <w:contextualSpacing/>
        <w:rPr>
          <w:rFonts w:ascii="Times New Roman" w:hAnsi="Times New Roman" w:cs="Times New Roman"/>
          <w:sz w:val="24"/>
          <w:szCs w:val="24"/>
        </w:rPr>
      </w:pPr>
      <w:r>
        <w:rPr>
          <w:rStyle w:val="FootnoteReference"/>
        </w:rPr>
        <w:footnoteRef/>
      </w:r>
      <w:r>
        <w:t xml:space="preserve"> </w:t>
      </w:r>
      <w:r>
        <w:rPr>
          <w:rFonts w:ascii="Times New Roman" w:hAnsi="Times New Roman"/>
          <w:szCs w:val="20"/>
        </w:rPr>
        <w:t>JO L 307 de 28.10.2014, p. 1.</w:t>
      </w:r>
    </w:p>
  </w:footnote>
  <w:footnote w:id="2">
    <w:p w:rsidR="000A16C6" w:rsidRDefault="00187EE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Comité Europeu de Normalização (CEN) e Comité Europeu de</w:t>
      </w:r>
      <w:r>
        <w:rPr>
          <w:rFonts w:ascii="Times New Roman" w:hAnsi="Times New Roman"/>
          <w:color w:val="222222"/>
        </w:rPr>
        <w:t xml:space="preserve"> </w:t>
      </w:r>
      <w:r>
        <w:rPr>
          <w:rFonts w:ascii="Times New Roman" w:hAnsi="Times New Roman"/>
        </w:rPr>
        <w:t>Normalização Eletrotécnica (CENELEC)</w:t>
      </w:r>
    </w:p>
  </w:footnote>
  <w:footnote w:id="3">
    <w:p w:rsidR="000A16C6" w:rsidRDefault="00187EE7">
      <w:pPr>
        <w:pStyle w:val="FootnoteText"/>
        <w:rPr>
          <w:rFonts w:ascii="Times New Roman" w:hAnsi="Times New Roman" w:cs="Times New Roman"/>
        </w:rPr>
      </w:pPr>
      <w:r>
        <w:rPr>
          <w:rStyle w:val="FootnoteReference"/>
        </w:rPr>
        <w:footnoteRef/>
      </w:r>
      <w:r>
        <w:t xml:space="preserve"> </w:t>
      </w:r>
      <w:r>
        <w:rPr>
          <w:rStyle w:val="Emphasis"/>
          <w:rFonts w:ascii="Times New Roman" w:hAnsi="Times New Roman"/>
          <w:i w:val="0"/>
          <w:iCs w:val="0"/>
        </w:rPr>
        <w:t xml:space="preserve">JO L 114 de 4.5.2018, p. 1. </w:t>
      </w:r>
      <w:hyperlink r:id="rId1" w:history="1">
        <w:r>
          <w:rPr>
            <w:rStyle w:val="Hyperlink"/>
          </w:rPr>
          <w:t>https://eur-lex.europa.eu/legal-content/EN/TXT/?uri=uriserv%3AOJ.L_.2018.114.01.0001.01.ENG</w:t>
        </w:r>
      </w:hyperlink>
    </w:p>
  </w:footnote>
  <w:footnote w:id="4">
    <w:p w:rsidR="000A16C6" w:rsidRDefault="00187EE7">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C(2019) 5960 final </w:t>
      </w:r>
    </w:p>
  </w:footnote>
  <w:footnote w:id="5">
    <w:p w:rsidR="000A16C6" w:rsidRDefault="00187EE7">
      <w:pPr>
        <w:pStyle w:val="NormalWeb"/>
        <w:spacing w:before="0" w:beforeAutospacing="0" w:after="75" w:afterAutospacing="0"/>
        <w:jc w:val="both"/>
        <w:rPr>
          <w:rFonts w:ascii="&amp;quot" w:hAnsi="&amp;quot"/>
          <w:color w:val="444444"/>
          <w:sz w:val="21"/>
          <w:szCs w:val="21"/>
        </w:rPr>
      </w:pPr>
      <w:r>
        <w:rPr>
          <w:rStyle w:val="FootnoteReference"/>
        </w:rPr>
        <w:footnoteRef/>
      </w:r>
      <w:r>
        <w:tab/>
      </w:r>
      <w:r>
        <w:rPr>
          <w:rFonts w:ascii="&amp;quot" w:hAnsi="&amp;quot"/>
          <w:color w:val="444444"/>
          <w:sz w:val="21"/>
          <w:szCs w:val="21"/>
        </w:rPr>
        <w:t>Regulamento Delegado (UE) 2019/1745 da Comissão de 13 de agosto de 2019 que completa e altera a Diretiva 2014/94/UE do Parlam</w:t>
      </w:r>
      <w:r>
        <w:rPr>
          <w:rFonts w:ascii="&amp;quot" w:hAnsi="&amp;quot"/>
          <w:color w:val="444444"/>
          <w:sz w:val="21"/>
          <w:szCs w:val="21"/>
        </w:rPr>
        <w:t>ento Europeu e do Conselho no que diz respeito aos pontos de carregamento para veículos a motor de categoria L, ao fornecimento de eletricidade a partir da rede terrestre às embarcações de navegação interior, ao fornecimento de hidrogénio para os transport</w:t>
      </w:r>
      <w:r>
        <w:rPr>
          <w:rFonts w:ascii="&amp;quot" w:hAnsi="&amp;quot"/>
          <w:color w:val="444444"/>
          <w:sz w:val="21"/>
          <w:szCs w:val="21"/>
        </w:rPr>
        <w:t>es rodoviários e ao fornecimento de gás natural para os transportes rodoviários e por vias navegáveis e que revoga o Regulamento Delegado (UE) 2018/674 da Comissão (</w:t>
      </w:r>
      <w:r>
        <w:rPr>
          <w:rStyle w:val="Emphasis"/>
          <w:rFonts w:ascii="&amp;quot" w:hAnsi="&amp;quot"/>
          <w:i w:val="0"/>
          <w:color w:val="444444"/>
          <w:sz w:val="21"/>
          <w:szCs w:val="21"/>
        </w:rPr>
        <w:t>JO L 268 de 22.10.2019, p.1</w:t>
      </w:r>
      <w:r>
        <w:rPr>
          <w:rFonts w:ascii="&amp;quot" w:hAnsi="&amp;quot"/>
          <w:color w:val="444444"/>
          <w:sz w:val="21"/>
          <w:szCs w:val="21"/>
        </w:rPr>
        <w:t>).</w:t>
      </w:r>
    </w:p>
    <w:p w:rsidR="000A16C6" w:rsidRDefault="000A16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6" w:rsidRDefault="000A16C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805BF"/>
    <w:multiLevelType w:val="hybridMultilevel"/>
    <w:tmpl w:val="03C4EEA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797311"/>
    <w:multiLevelType w:val="hybridMultilevel"/>
    <w:tmpl w:val="30DA8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6C5914"/>
    <w:multiLevelType w:val="hybridMultilevel"/>
    <w:tmpl w:val="4E20A9E4"/>
    <w:lvl w:ilvl="0" w:tplc="351248FC">
      <w:start w:val="1"/>
      <w:numFmt w:val="bullet"/>
      <w:lvlText w:val=""/>
      <w:lvlJc w:val="left"/>
      <w:pPr>
        <w:ind w:left="1202" w:hanging="360"/>
      </w:pPr>
      <w:rPr>
        <w:rFonts w:ascii="Symbol" w:hAnsi="Symbol" w:hint="default"/>
        <w:spacing w:val="12"/>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F25E70"/>
    <w:multiLevelType w:val="hybridMultilevel"/>
    <w:tmpl w:val="7472AE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310F77"/>
    <w:multiLevelType w:val="hybridMultilevel"/>
    <w:tmpl w:val="09B4C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8A65720"/>
    <w:multiLevelType w:val="hybridMultilevel"/>
    <w:tmpl w:val="54F6CA2E"/>
    <w:lvl w:ilvl="0" w:tplc="351248FC">
      <w:start w:val="1"/>
      <w:numFmt w:val="bullet"/>
      <w:lvlText w:val=""/>
      <w:lvlJc w:val="left"/>
      <w:pPr>
        <w:ind w:left="1202" w:hanging="360"/>
      </w:pPr>
      <w:rPr>
        <w:rFonts w:ascii="Symbol" w:hAnsi="Symbol" w:hint="default"/>
        <w:spacing w:val="12"/>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15:restartNumberingAfterBreak="0">
    <w:nsid w:val="4E832C3F"/>
    <w:multiLevelType w:val="hybridMultilevel"/>
    <w:tmpl w:val="5AD4E508"/>
    <w:lvl w:ilvl="0" w:tplc="BA6093B6">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8C36CE8"/>
    <w:multiLevelType w:val="hybridMultilevel"/>
    <w:tmpl w:val="B81C9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32711C8"/>
    <w:multiLevelType w:val="hybridMultilevel"/>
    <w:tmpl w:val="A7D075A4"/>
    <w:lvl w:ilvl="0" w:tplc="08090017">
      <w:start w:val="1"/>
      <w:numFmt w:val="lowerLetter"/>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5"/>
  </w:num>
  <w:num w:numId="4">
    <w:abstractNumId w:val="18"/>
  </w:num>
  <w:num w:numId="5">
    <w:abstractNumId w:val="10"/>
  </w:num>
  <w:num w:numId="6">
    <w:abstractNumId w:val="17"/>
  </w:num>
  <w:num w:numId="7">
    <w:abstractNumId w:val="27"/>
  </w:num>
  <w:num w:numId="8">
    <w:abstractNumId w:val="29"/>
  </w:num>
  <w:num w:numId="9">
    <w:abstractNumId w:val="15"/>
  </w:num>
  <w:num w:numId="10">
    <w:abstractNumId w:val="26"/>
  </w:num>
  <w:num w:numId="11">
    <w:abstractNumId w:val="25"/>
  </w:num>
  <w:num w:numId="12">
    <w:abstractNumId w:val="19"/>
  </w:num>
  <w:num w:numId="13">
    <w:abstractNumId w:val="22"/>
  </w:num>
  <w:num w:numId="14">
    <w:abstractNumId w:val="8"/>
  </w:num>
  <w:num w:numId="15">
    <w:abstractNumId w:val="16"/>
  </w:num>
  <w:num w:numId="16">
    <w:abstractNumId w:val="4"/>
  </w:num>
  <w:num w:numId="17">
    <w:abstractNumId w:val="11"/>
  </w:num>
  <w:num w:numId="18">
    <w:abstractNumId w:val="30"/>
  </w:num>
  <w:num w:numId="19">
    <w:abstractNumId w:val="13"/>
  </w:num>
  <w:num w:numId="20">
    <w:abstractNumId w:val="32"/>
  </w:num>
  <w:num w:numId="21">
    <w:abstractNumId w:val="28"/>
  </w:num>
  <w:num w:numId="22">
    <w:abstractNumId w:val="20"/>
  </w:num>
  <w:num w:numId="23">
    <w:abstractNumId w:val="7"/>
  </w:num>
  <w:num w:numId="24">
    <w:abstractNumId w:val="9"/>
  </w:num>
  <w:num w:numId="25">
    <w:abstractNumId w:val="24"/>
    <w:lvlOverride w:ilvl="0">
      <w:startOverride w:val="1"/>
    </w:lvlOverride>
  </w:num>
  <w:num w:numId="26">
    <w:abstractNumId w:val="12"/>
  </w:num>
  <w:num w:numId="27">
    <w:abstractNumId w:val="3"/>
  </w:num>
  <w:num w:numId="28">
    <w:abstractNumId w:val="21"/>
  </w:num>
  <w:num w:numId="29">
    <w:abstractNumId w:val="2"/>
  </w:num>
  <w:num w:numId="30">
    <w:abstractNumId w:val="14"/>
  </w:num>
  <w:num w:numId="31">
    <w:abstractNumId w:val="6"/>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2189733-B80E-43FF-ACA4-A6A7AADE54FD"/>
    <w:docVar w:name="LW_COVERPAGE_TYPE" w:val="1"/>
    <w:docVar w:name="LW_CROSSREFERENCE" w:val="&lt;UNUSED&gt;"/>
    <w:docVar w:name="LW_DocType" w:val="REP"/>
    <w:docVar w:name="LW_EMISSION" w:val="19.11.2019"/>
    <w:docVar w:name="LW_EMISSION_ISODATE" w:val="2019-11-19"/>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obre o exercício do poder de adotar atos delegados conferido à Comissão nos termos da Diretiva 2014/94/UE do Parlamento Europeu e do Conselho, de 22 de outubro de 2014, relativa à criação de uma infraestrutura para combustíveis alternativos&lt;/FMT&gt;"/>
    <w:docVar w:name="LW_TYPE.DOC.CP" w:val="RELATÓRIO DA COMISSÃO AO PARLAMENTO EUROPEU E AO CONSELHO"/>
  </w:docVars>
  <w:rsids>
    <w:rsidRoot w:val="000A16C6"/>
    <w:rsid w:val="000A16C6"/>
    <w:rsid w:val="0018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A77E57C-3C79-414F-A653-53C54F25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rPr>
      <w:rFonts w:ascii="Times New Roman" w:hAnsi="Times New Roman" w:cs="Times New Roman"/>
      <w:sz w:val="24"/>
      <w:szCs w:val="24"/>
    </w:r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pPr>
  </w:style>
  <w:style w:type="paragraph" w:customStyle="1" w:styleId="Enclosures">
    <w:name w:val="Enclosures"/>
    <w:basedOn w:val="Normal"/>
    <w:pPr>
      <w:keepNext/>
      <w:keepLines/>
      <w:tabs>
        <w:tab w:val="left" w:pos="5642"/>
      </w:tabs>
      <w:spacing w:before="480" w:after="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numPr>
        <w:numId w:val="0"/>
      </w:numPr>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ind w:left="952" w:hanging="476"/>
    </w:pPr>
  </w:style>
  <w:style w:type="paragraph" w:customStyle="1" w:styleId="LegalNumPar3">
    <w:name w:val="LegalNumPar3"/>
    <w:basedOn w:val="Normal"/>
    <w:pPr>
      <w:numPr>
        <w:ilvl w:val="2"/>
        <w:numId w:val="19"/>
      </w:numPr>
      <w:spacing w:line="360" w:lineRule="auto"/>
    </w:pPr>
  </w:style>
  <w:style w:type="character" w:styleId="PageNumber">
    <w:name w:val="page number"/>
    <w:basedOn w:val="DefaultParagraphFont"/>
    <w:uiPriority w:val="99"/>
    <w:semiHidden/>
    <w:unhideWhenUsed/>
    <w:rPr>
      <w:rFonts w:ascii="Times New Roman" w:hAnsi="Times New Roman" w:cs="Times New Roman"/>
    </w:rPr>
  </w:style>
  <w:style w:type="character" w:customStyle="1" w:styleId="FooterChar">
    <w:name w:val="Footer Char"/>
    <w:basedOn w:val="DefaultParagraphFont"/>
    <w:link w:val="Footer"/>
    <w:uiPriority w:val="99"/>
    <w:locked/>
    <w:rPr>
      <w:sz w:val="16"/>
      <w:lang w:eastAsia="en-US"/>
    </w:rPr>
  </w:style>
  <w:style w:type="character" w:customStyle="1" w:styleId="HeaderChar">
    <w:name w:val="Header Char"/>
    <w:basedOn w:val="DefaultParagraphFont"/>
    <w:link w:val="Header"/>
    <w:uiPriority w:val="99"/>
    <w:locked/>
    <w:rPr>
      <w:sz w:val="24"/>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Considrant">
    <w:name w:val="Considérant"/>
    <w:basedOn w:val="Normal"/>
    <w:pPr>
      <w:numPr>
        <w:numId w:val="20"/>
      </w:numPr>
      <w:spacing w:before="120" w:after="120" w:line="240" w:lineRule="auto"/>
      <w:jc w:val="both"/>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eastAsiaTheme="minorHAnsi"/>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eastAsiaTheme="minorHAnsi"/>
      <w:b/>
      <w:sz w:val="32"/>
      <w:szCs w:val="22"/>
      <w:lang w:eastAsia="en-US"/>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Cs w:val="22"/>
      <w:lang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200" w:line="276" w:lineRule="auto"/>
    </w:pPr>
    <w:rPr>
      <w:rFonts w:eastAsia="Calibri"/>
      <w:sz w:val="24"/>
      <w:szCs w:val="22"/>
      <w:lang w:eastAsia="en-US"/>
    </w:rPr>
  </w:style>
  <w:style w:type="paragraph" w:customStyle="1" w:styleId="Tiret0">
    <w:name w:val="Tiret 0"/>
    <w:basedOn w:val="Normal"/>
    <w:pPr>
      <w:numPr>
        <w:numId w:val="25"/>
      </w:numPr>
      <w:spacing w:before="120" w:after="120" w:line="240" w:lineRule="auto"/>
      <w:jc w:val="both"/>
    </w:pPr>
    <w:rPr>
      <w:rFonts w:ascii="Times New Roman" w:eastAsia="Calibri" w:hAnsi="Times New Roman" w:cs="Times New Roman"/>
      <w:sz w:val="24"/>
    </w:rPr>
  </w:style>
  <w:style w:type="paragraph" w:customStyle="1" w:styleId="Tiret3">
    <w:name w:val="Tiret 3"/>
    <w:basedOn w:val="Normal"/>
    <w:pPr>
      <w:numPr>
        <w:numId w:val="26"/>
      </w:numPr>
      <w:spacing w:before="120" w:after="120" w:line="240" w:lineRule="auto"/>
      <w:jc w:val="both"/>
    </w:pPr>
    <w:rPr>
      <w:rFonts w:ascii="Times New Roman" w:eastAsia="Calibri" w:hAnsi="Times New Roman" w:cs="Times New Roman"/>
      <w:sz w:val="24"/>
    </w:rPr>
  </w:style>
  <w:style w:type="character" w:styleId="EndnoteReference">
    <w:name w:val="endnote reference"/>
    <w:basedOn w:val="DefaultParagraphFont"/>
    <w:uiPriority w:val="99"/>
    <w:semiHidden/>
    <w:unhideWhenUsed/>
    <w:rPr>
      <w:vertAlign w:val="superscript"/>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318">
      <w:bodyDiv w:val="1"/>
      <w:marLeft w:val="0"/>
      <w:marRight w:val="0"/>
      <w:marTop w:val="0"/>
      <w:marBottom w:val="0"/>
      <w:divBdr>
        <w:top w:val="none" w:sz="0" w:space="0" w:color="auto"/>
        <w:left w:val="none" w:sz="0" w:space="0" w:color="auto"/>
        <w:bottom w:val="none" w:sz="0" w:space="0" w:color="auto"/>
        <w:right w:val="none" w:sz="0" w:space="0" w:color="auto"/>
      </w:divBdr>
    </w:div>
    <w:div w:id="616722059">
      <w:bodyDiv w:val="1"/>
      <w:marLeft w:val="0"/>
      <w:marRight w:val="0"/>
      <w:marTop w:val="0"/>
      <w:marBottom w:val="0"/>
      <w:divBdr>
        <w:top w:val="none" w:sz="0" w:space="0" w:color="auto"/>
        <w:left w:val="none" w:sz="0" w:space="0" w:color="auto"/>
        <w:bottom w:val="none" w:sz="0" w:space="0" w:color="auto"/>
        <w:right w:val="none" w:sz="0" w:space="0" w:color="auto"/>
      </w:divBdr>
    </w:div>
    <w:div w:id="1019237562">
      <w:bodyDiv w:val="1"/>
      <w:marLeft w:val="0"/>
      <w:marRight w:val="0"/>
      <w:marTop w:val="0"/>
      <w:marBottom w:val="0"/>
      <w:divBdr>
        <w:top w:val="none" w:sz="0" w:space="0" w:color="auto"/>
        <w:left w:val="none" w:sz="0" w:space="0" w:color="auto"/>
        <w:bottom w:val="none" w:sz="0" w:space="0" w:color="auto"/>
        <w:right w:val="none" w:sz="0" w:space="0" w:color="auto"/>
      </w:divBdr>
    </w:div>
    <w:div w:id="1134366517">
      <w:bodyDiv w:val="1"/>
      <w:marLeft w:val="0"/>
      <w:marRight w:val="0"/>
      <w:marTop w:val="0"/>
      <w:marBottom w:val="0"/>
      <w:divBdr>
        <w:top w:val="none" w:sz="0" w:space="0" w:color="auto"/>
        <w:left w:val="none" w:sz="0" w:space="0" w:color="auto"/>
        <w:bottom w:val="none" w:sz="0" w:space="0" w:color="auto"/>
        <w:right w:val="none" w:sz="0" w:space="0" w:color="auto"/>
      </w:divBdr>
    </w:div>
    <w:div w:id="1134568862">
      <w:bodyDiv w:val="1"/>
      <w:marLeft w:val="0"/>
      <w:marRight w:val="0"/>
      <w:marTop w:val="0"/>
      <w:marBottom w:val="0"/>
      <w:divBdr>
        <w:top w:val="none" w:sz="0" w:space="0" w:color="auto"/>
        <w:left w:val="none" w:sz="0" w:space="0" w:color="auto"/>
        <w:bottom w:val="none" w:sz="0" w:space="0" w:color="auto"/>
        <w:right w:val="none" w:sz="0" w:space="0" w:color="auto"/>
      </w:divBdr>
    </w:div>
    <w:div w:id="1399672968">
      <w:bodyDiv w:val="1"/>
      <w:marLeft w:val="0"/>
      <w:marRight w:val="0"/>
      <w:marTop w:val="0"/>
      <w:marBottom w:val="0"/>
      <w:divBdr>
        <w:top w:val="none" w:sz="0" w:space="0" w:color="auto"/>
        <w:left w:val="none" w:sz="0" w:space="0" w:color="auto"/>
        <w:bottom w:val="none" w:sz="0" w:space="0" w:color="auto"/>
        <w:right w:val="none" w:sz="0" w:space="0" w:color="auto"/>
      </w:divBdr>
    </w:div>
    <w:div w:id="1885754106">
      <w:bodyDiv w:val="1"/>
      <w:marLeft w:val="0"/>
      <w:marRight w:val="0"/>
      <w:marTop w:val="0"/>
      <w:marBottom w:val="0"/>
      <w:divBdr>
        <w:top w:val="none" w:sz="0" w:space="0" w:color="auto"/>
        <w:left w:val="none" w:sz="0" w:space="0" w:color="auto"/>
        <w:bottom w:val="none" w:sz="0" w:space="0" w:color="auto"/>
        <w:right w:val="none" w:sz="0" w:space="0" w:color="auto"/>
      </w:divBdr>
      <w:divsChild>
        <w:div w:id="867526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uriserv:OJ.L_.2018.114.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751c4b5e-1cf5-4f61-b2e7-6cc821cbb6fe</Id>
  <Names>
    <Latin>
      <FirstName>Herald</FirstName>
      <LastName>RUIJTERS</LastName>
    </Latin>
    <Greek>
      <FirstName/>
      <LastName/>
    </Greek>
    <Cyrillic>
      <FirstName/>
      <LastName/>
    </Cyrillic>
    <DocumentScript>
      <FirstName>Herald</FirstName>
      <LastName>RUIJTERS</LastName>
      <FullName>Herald RUIJTERS</FullName>
    </DocumentScript>
  </Names>
  <Initials>HR</Initials>
  <Gender>m</Gender>
  <Email>Herald.RUIJTERS@ec.europa.eu</Email>
  <Service>MOVE.DDG1.B</Service>
  <Function ShowInSignature="false">Director</Function>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14d4d6da-d69c-4940-972d-a6e5b743c263</Id>
    <LogicalLevel>2</LogicalLevel>
    <Name>MOVE.DDG1.B</Name>
    <HeadLine1>Directorate B - Investment, Innovative &amp; Sustainable Transport</HeadLine1>
    <HeadLine2/>
    <PrimaryAddressId>f03b5801-04c9-4931-aa17-c6d6c70bc579</PrimaryAddressId>
    <SecondaryAddressId/>
    <WebAddress/>
    <InheritedWebAddress>WebAddress</InheritedWebAddress>
    <ShowInHeader>true</ShowInHeader>
  </OrgaEntity2>
  <OrgaEntity3>
    <Id>f6e386b3-212f-490a-a5ed-9eb35f3ff909</Id>
    <LogicalLevel>3</LogicalLevel>
    <Name>MOVE.DDG1.B</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+32 229 68372</Phone>
    <Office>DM28 06/109</Office>
  </MainWorkplace>
  <Workplaces>
    <Workplace IsMain="false">
      <AddressId>1264fb81-f6bb-475e-9f9d-a937d3be6ee2</AddressId>
      <Fax/>
      <Phone/>
      <Office/>
    </Workplace>
    <Workplace IsMain="true">
      <AddressId>f03b5801-04c9-4931-aa17-c6d6c70bc579</AddressId>
      <Fax/>
      <Phone>+32 229 68372</Phone>
      <Office>DM28 06/109</Office>
    </Workplace>
  </Workplaces>
</Author>
</file>

<file path=customXml/item2.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
  <Created>
    <Version>4.6</Version>
    <Date>2019-06-07T13:06:23</Date>
    <Language>EN</Language>
  </Created>
  <Edited>
    <Version>10.0.40183.0</Version>
    <Date>2019-11-19T11:28:49</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CA16-6294-4FDC-AAFB-1966959CF558}">
  <ds:schemaRefs/>
</ds:datastoreItem>
</file>

<file path=customXml/itemProps2.xml><?xml version="1.0" encoding="utf-8"?>
<ds:datastoreItem xmlns:ds="http://schemas.openxmlformats.org/officeDocument/2006/customXml" ds:itemID="{B85048A5-D475-4A7B-B5B1-D79BC785FA0C}">
  <ds:schemaRefs/>
</ds:datastoreItem>
</file>

<file path=customXml/itemProps3.xml><?xml version="1.0" encoding="utf-8"?>
<ds:datastoreItem xmlns:ds="http://schemas.openxmlformats.org/officeDocument/2006/customXml" ds:itemID="{2761420F-9BCB-4B8D-8367-718BBE15CE73}">
  <ds:schemaRefs/>
</ds:datastoreItem>
</file>

<file path=customXml/itemProps4.xml><?xml version="1.0" encoding="utf-8"?>
<ds:datastoreItem xmlns:ds="http://schemas.openxmlformats.org/officeDocument/2006/customXml" ds:itemID="{FADA9BD8-4922-404C-8E6D-073D1C6F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8</Pages>
  <Words>2278</Words>
  <Characters>12328</Characters>
  <Application>Microsoft Office Word</Application>
  <DocSecurity>0</DocSecurity>
  <PresentationFormat>Microsoft Word 14.0</PresentationFormat>
  <Lines>228</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TORRE UNGUREANU Ana-Claudia (SG)</cp:lastModifiedBy>
  <cp:revision>17</cp:revision>
  <cp:lastPrinted>2019-09-30T13:19:00Z</cp:lastPrinted>
  <dcterms:created xsi:type="dcterms:W3CDTF">2019-11-14T12:15:00Z</dcterms:created>
  <dcterms:modified xsi:type="dcterms:W3CDTF">2019-11-19T10:28:00Z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_LW_INVALIDATED_TemplateVersion">
    <vt:lpwstr>4.6.5.1000</vt:lpwstr>
  </property>
  <property fmtid="{D5CDD505-2E9C-101B-9397-08002B2CF9AE}" pid="10" name="_LW_INVALIDATED_EurolookVersion">
    <vt:lpwstr>4.6</vt:lpwstr>
  </property>
  <property fmtid="{D5CDD505-2E9C-101B-9397-08002B2CF9AE}" pid="11" name="_LW_INVALIDATED_DocID_EU">
    <vt:lpwstr> </vt:lpwstr>
  </property>
  <property fmtid="{D5CDD505-2E9C-101B-9397-08002B2CF9AE}" pid="12" name="_LW_INVALIDATED_ELDocType">
    <vt:lpwstr>rep.dot</vt:lpwstr>
  </property>
  <property fmtid="{D5CDD505-2E9C-101B-9397-08002B2CF9AE}" pid="13" name="_LW_INVALIDATED_Formatting">
    <vt:lpwstr>4.1</vt:lpwstr>
  </property>
  <property fmtid="{D5CDD505-2E9C-101B-9397-08002B2CF9AE}" pid="14" name="_LW_INVALIDATED_EL_Author">
    <vt:lpwstr>Herald RUIJTERS</vt:lpwstr>
  </property>
  <property fmtid="{D5CDD505-2E9C-101B-9397-08002B2CF9AE}" pid="15" name="_LW_INVALIDATED_Type">
    <vt:lpwstr>Eurolook Report</vt:lpwstr>
  </property>
  <property fmtid="{D5CDD505-2E9C-101B-9397-08002B2CF9AE}" pid="16" name="_LW_INVALIDATED_EL_Language">
    <vt:lpwstr>EN</vt:lpwstr>
  </property>
  <property fmtid="{D5CDD505-2E9C-101B-9397-08002B2CF9AE}" pid="17" name="CPTemplateID">
    <vt:lpwstr>CP-006</vt:lpwstr>
  </property>
</Properties>
</file>