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17C8D12-B172-499F-905B-4757EFDE529C" style="width:450.75pt;height:320.25pt">
            <v:imagedata r:id="rId12" o:title=""/>
          </v:shape>
        </w:pict>
      </w:r>
    </w:p>
    <w:bookmarkEnd w:id="0"/>
    <w:p>
      <w:pPr>
        <w:pStyle w:val="Pagedecouverture"/>
        <w:rPr>
          <w:noProof/>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299"/>
        </w:sectPr>
      </w:pPr>
    </w:p>
    <w:p>
      <w:pPr>
        <w:ind w:left="360"/>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KOMISIJAS ZIŅOJUMS EIROPAS PARLAMENTAM UN PADOMEI</w:t>
      </w:r>
    </w:p>
    <w:p>
      <w:pPr>
        <w:ind w:left="360"/>
        <w:jc w:val="center"/>
        <w:rPr>
          <w:rFonts w:ascii="Times New Roman" w:hAnsi="Times New Roman" w:cs="Times New Roman"/>
          <w:b/>
          <w:noProof/>
          <w:sz w:val="24"/>
          <w:szCs w:val="24"/>
        </w:rPr>
      </w:pPr>
      <w:r>
        <w:rPr>
          <w:rFonts w:ascii="Times New Roman" w:hAnsi="Times New Roman"/>
          <w:b/>
          <w:noProof/>
          <w:sz w:val="24"/>
          <w:szCs w:val="24"/>
        </w:rPr>
        <w:t>par to, kā tiek īstenotas deleģēto aktu pieņemšanas pilnvaras, kas Komisijai piešķirtas ar Eiropas Parlamenta un Padomes 2014. gada 22. oktobra Direktīvu 2014/94/ES par alternatīvo degvielu infrastruktūras ieviešanu</w:t>
      </w:r>
    </w:p>
    <w:p>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IEVADS</w:t>
      </w:r>
    </w:p>
    <w:p>
      <w:pPr>
        <w:pStyle w:val="Text1"/>
        <w:ind w:left="0"/>
        <w:jc w:val="both"/>
        <w:rPr>
          <w:noProof/>
        </w:rPr>
      </w:pPr>
      <w:r>
        <w:rPr>
          <w:noProof/>
        </w:rPr>
        <w:t>Ar Eiropas Parlamenta un Padomes 2014. gada 22. oktobra Direktīvu 2014/94/ES par alternatīvo degvielu infrastruktūras ieviešanu</w:t>
      </w:r>
      <w:r>
        <w:rPr>
          <w:rStyle w:val="FootnoteReference"/>
          <w:noProof/>
        </w:rPr>
        <w:footnoteReference w:id="1"/>
      </w:r>
      <w:r>
        <w:rPr>
          <w:noProof/>
        </w:rPr>
        <w:t xml:space="preserve"> ir noteiktas minimālās prasības alternatīvo degvielu infrastruktūras, tostarp elektrotransportlīdzekļu uzlādes punktu un dabasgāzes (</w:t>
      </w:r>
      <w:r>
        <w:rPr>
          <w:i/>
          <w:noProof/>
        </w:rPr>
        <w:t>LNG</w:t>
      </w:r>
      <w:r>
        <w:rPr>
          <w:noProof/>
        </w:rPr>
        <w:t xml:space="preserve"> un </w:t>
      </w:r>
      <w:r>
        <w:rPr>
          <w:i/>
          <w:noProof/>
        </w:rPr>
        <w:t>CNG</w:t>
      </w:r>
      <w:r>
        <w:rPr>
          <w:noProof/>
        </w:rPr>
        <w:t xml:space="preserve">) un ūdeņraža uzpildes punktu, izbūvei. Direktīvas 4. panta 4. punktā, 4. panta 6. punktā, 5. panta 2. punktā un 6. panta 9. punktā ir noteikts, ka šādiem uzlādes un uzpildes punktiem, kas izveidoti vai atjaunoti, sākot ar 2017. gada 18. novembri, jāatbilst vismaz direktīvas II pielikumā noteiktajām tehniskajām specifikācijām. </w:t>
      </w:r>
    </w:p>
    <w:p>
      <w:pPr>
        <w:pStyle w:val="Text1"/>
        <w:ind w:left="0"/>
        <w:jc w:val="both"/>
        <w:rPr>
          <w:noProof/>
        </w:rPr>
      </w:pPr>
      <w:r>
        <w:rPr>
          <w:noProof/>
        </w:rPr>
        <w:t>Saskaņā ar direktīvas 8. pantu Komisija ir pilnvarota pieņemt deleģētos aktus, kas minēti:</w:t>
      </w:r>
    </w:p>
    <w:p>
      <w:pPr>
        <w:pStyle w:val="Text1"/>
        <w:numPr>
          <w:ilvl w:val="0"/>
          <w:numId w:val="28"/>
        </w:numPr>
        <w:jc w:val="both"/>
        <w:rPr>
          <w:noProof/>
        </w:rPr>
      </w:pPr>
      <w:r>
        <w:rPr>
          <w:noProof/>
        </w:rPr>
        <w:t>4. panta 14. punktā, lai:</w:t>
      </w:r>
    </w:p>
    <w:p>
      <w:pPr>
        <w:pStyle w:val="Text1"/>
        <w:numPr>
          <w:ilvl w:val="0"/>
          <w:numId w:val="21"/>
        </w:numPr>
        <w:ind w:left="993"/>
        <w:jc w:val="both"/>
        <w:rPr>
          <w:noProof/>
        </w:rPr>
      </w:pPr>
      <w:r>
        <w:rPr>
          <w:noProof/>
        </w:rPr>
        <w:t>papildinātu šo pantu un II pielikuma 1.3., 1.4., 1.5., 1.6. un 1.8. apakšpunktu ar mērķi pieprasīt, lai izveidojamā vai atjaunojamā infrastruktūra atbilstu tehniskajām specifikācijām, kas iekļautas standartos, kuri jāizstrādā attiecīgajām Eiropas standartizācijas organizācijām (ESO)</w:t>
      </w:r>
      <w:r>
        <w:rPr>
          <w:rStyle w:val="FootnoteReference"/>
          <w:noProof/>
        </w:rPr>
        <w:footnoteReference w:id="2"/>
      </w:r>
      <w:r>
        <w:rPr>
          <w:noProof/>
        </w:rPr>
        <w:t>;</w:t>
      </w:r>
    </w:p>
    <w:p>
      <w:pPr>
        <w:pStyle w:val="Text1"/>
        <w:numPr>
          <w:ilvl w:val="0"/>
          <w:numId w:val="21"/>
        </w:numPr>
        <w:ind w:left="993"/>
        <w:jc w:val="both"/>
        <w:rPr>
          <w:noProof/>
        </w:rPr>
      </w:pPr>
      <w:r>
        <w:rPr>
          <w:noProof/>
        </w:rPr>
        <w:t>atjauninātu atsauces uz standartiem, kas minēti tehniskajās specifikācijās, kuras ir izklāstītas vai kuras ir paredzēts izklāstīt II pielikuma 1. punktā, ja minētos standartus aizstāj ar jaunām versijām, ko pieņēmušas attiecīgās Eiropas vai starptautiskās standartizācijas organizācijas;</w:t>
      </w:r>
    </w:p>
    <w:p>
      <w:pPr>
        <w:pStyle w:val="Text1"/>
        <w:numPr>
          <w:ilvl w:val="0"/>
          <w:numId w:val="28"/>
        </w:numPr>
        <w:jc w:val="both"/>
        <w:rPr>
          <w:noProof/>
        </w:rPr>
      </w:pPr>
      <w:r>
        <w:rPr>
          <w:noProof/>
        </w:rPr>
        <w:t>5. panta 3. punktā, lai atjauninātu atsauces uz standartiem, kas minēti II pielikuma 2. punktā noteiktajās tehniskajās specifikācijās, ja minētos standartus aizstāj ar jaunām versijām, ko pieņēmušas attiecīgās standartizācijas organizācijas;</w:t>
      </w:r>
    </w:p>
    <w:p>
      <w:pPr>
        <w:pStyle w:val="Text1"/>
        <w:numPr>
          <w:ilvl w:val="0"/>
          <w:numId w:val="28"/>
        </w:numPr>
        <w:jc w:val="both"/>
        <w:rPr>
          <w:noProof/>
        </w:rPr>
      </w:pPr>
      <w:r>
        <w:rPr>
          <w:noProof/>
        </w:rPr>
        <w:t>6. panta 11. punktā, lai:</w:t>
      </w:r>
    </w:p>
    <w:p>
      <w:pPr>
        <w:pStyle w:val="Text1"/>
        <w:ind w:left="720"/>
        <w:jc w:val="both"/>
        <w:rPr>
          <w:noProof/>
        </w:rPr>
      </w:pPr>
      <w:r>
        <w:rPr>
          <w:noProof/>
        </w:rPr>
        <w:t>a) papildinātu šo pantu un II pielikuma 3.1., 3.2. un 3.4. apakšpunktu ar mērķi pieprasīt, lai izveidojamā vai atjaunojamā infrastruktūra atbilstu tehniskajām specifikācijām, kas iekļautas standartos, kuri jāizstrādā attiecīgajām ESO;</w:t>
      </w:r>
    </w:p>
    <w:p>
      <w:pPr>
        <w:pStyle w:val="Text1"/>
        <w:ind w:left="720"/>
        <w:jc w:val="both"/>
        <w:rPr>
          <w:noProof/>
        </w:rPr>
      </w:pPr>
      <w:r>
        <w:rPr>
          <w:noProof/>
        </w:rPr>
        <w:t>b) atjauninātu atsauces uz standartiem, kas minēti tehniskajās specifikācijās, kuras ir izklāstītas vai kuras ir paredzēts izklāstīt II pielikuma 3. punktā, ja minētos standartus aizstāj ar jaunām versijām, ko pieņēmušas attiecīgās Eiropas vai starptautiskās standartizācijas organizācijas;</w:t>
      </w:r>
    </w:p>
    <w:p>
      <w:pPr>
        <w:pStyle w:val="Text1"/>
        <w:ind w:left="720"/>
        <w:jc w:val="both"/>
        <w:rPr>
          <w:noProof/>
        </w:rPr>
      </w:pPr>
      <w:r>
        <w:rPr>
          <w:noProof/>
        </w:rPr>
        <w:t>6. panta 12. punktā, lai noteiktu:</w:t>
      </w:r>
    </w:p>
    <w:p>
      <w:pPr>
        <w:pStyle w:val="Text1"/>
        <w:ind w:left="720"/>
        <w:jc w:val="both"/>
        <w:rPr>
          <w:noProof/>
        </w:rPr>
      </w:pPr>
      <w:r>
        <w:rPr>
          <w:noProof/>
        </w:rPr>
        <w:t>— prasības</w:t>
      </w:r>
      <w:r>
        <w:rPr>
          <w:i/>
          <w:noProof/>
        </w:rPr>
        <w:t xml:space="preserve"> LNG</w:t>
      </w:r>
      <w:r>
        <w:rPr>
          <w:noProof/>
        </w:rPr>
        <w:t xml:space="preserve"> pārsūknēšanas saskarnēm jūras un iekšzemes ūdensceļu transportā,</w:t>
      </w:r>
    </w:p>
    <w:p>
      <w:pPr>
        <w:pStyle w:val="Text1"/>
        <w:ind w:left="720"/>
        <w:jc w:val="both"/>
        <w:rPr>
          <w:noProof/>
        </w:rPr>
      </w:pPr>
      <w:r>
        <w:rPr>
          <w:noProof/>
        </w:rPr>
        <w:t xml:space="preserve">— prasības attiecībā uz </w:t>
      </w:r>
      <w:r>
        <w:rPr>
          <w:i/>
          <w:noProof/>
        </w:rPr>
        <w:t>LNG</w:t>
      </w:r>
      <w:r>
        <w:rPr>
          <w:noProof/>
        </w:rPr>
        <w:t xml:space="preserve"> krasta uzglabāšanas un bunkurēšanas procedūras drošības aspektiem jūras un iekšzemes ūdensceļu transportā.</w:t>
      </w:r>
    </w:p>
    <w:p>
      <w:pPr>
        <w:pStyle w:val="Text1"/>
        <w:ind w:left="0"/>
        <w:jc w:val="both"/>
        <w:rPr>
          <w:noProof/>
        </w:rPr>
      </w:pPr>
      <w:r>
        <w:rPr>
          <w:noProof/>
        </w:rPr>
        <w:t>Direktīvā 2014/94/ES jau ir noteiktas minimālās tehniskās specifikācijas dažām alternatīvo degvielu infrastruktūras tīklu daļām, tostarp:</w:t>
      </w:r>
    </w:p>
    <w:p>
      <w:pPr>
        <w:pStyle w:val="Text1"/>
        <w:numPr>
          <w:ilvl w:val="0"/>
          <w:numId w:val="30"/>
        </w:numPr>
        <w:jc w:val="both"/>
        <w:rPr>
          <w:noProof/>
        </w:rPr>
      </w:pPr>
      <w:r>
        <w:rPr>
          <w:noProof/>
        </w:rPr>
        <w:t>mehāniskajiem transportlīdzekļiem paredzētajiem parastas jaudas un lieljaudas uzlādes punktiem (II pielikuma 1.1. un 1.2. apakšpunkts),</w:t>
      </w:r>
    </w:p>
    <w:p>
      <w:pPr>
        <w:pStyle w:val="Text1"/>
        <w:numPr>
          <w:ilvl w:val="0"/>
          <w:numId w:val="30"/>
        </w:numPr>
        <w:jc w:val="both"/>
        <w:rPr>
          <w:noProof/>
        </w:rPr>
      </w:pPr>
      <w:r>
        <w:rPr>
          <w:noProof/>
        </w:rPr>
        <w:t>krasta elektropadevei jūras kuģiem (II pielikuma 1.7. apakšpunkts),</w:t>
      </w:r>
    </w:p>
    <w:p>
      <w:pPr>
        <w:pStyle w:val="Text1"/>
        <w:numPr>
          <w:ilvl w:val="0"/>
          <w:numId w:val="30"/>
        </w:numPr>
        <w:jc w:val="both"/>
        <w:rPr>
          <w:noProof/>
        </w:rPr>
      </w:pPr>
      <w:r>
        <w:rPr>
          <w:noProof/>
        </w:rPr>
        <w:t>ūdeņraža uzpildes punktiem, kas paredzēti mehāniskajiem transportlīdzekļiem (II pielikuma 2. punkts),</w:t>
      </w:r>
    </w:p>
    <w:p>
      <w:pPr>
        <w:pStyle w:val="Text1"/>
        <w:numPr>
          <w:ilvl w:val="0"/>
          <w:numId w:val="30"/>
        </w:numPr>
        <w:jc w:val="both"/>
        <w:rPr>
          <w:noProof/>
        </w:rPr>
      </w:pPr>
      <w:r>
        <w:rPr>
          <w:noProof/>
        </w:rPr>
        <w:t>saspiestās dabasgāzes (</w:t>
      </w:r>
      <w:r>
        <w:rPr>
          <w:i/>
          <w:noProof/>
        </w:rPr>
        <w:t>CNG</w:t>
      </w:r>
      <w:r>
        <w:rPr>
          <w:noProof/>
        </w:rPr>
        <w:t xml:space="preserve">) savienotājiem / ieplūdes elementiem (II pielikuma 3.3. apakšpunkts). </w:t>
      </w:r>
    </w:p>
    <w:p>
      <w:pPr>
        <w:pStyle w:val="Text1"/>
        <w:ind w:left="60"/>
        <w:jc w:val="both"/>
        <w:rPr>
          <w:noProof/>
        </w:rPr>
      </w:pPr>
      <w:r>
        <w:rPr>
          <w:noProof/>
        </w:rPr>
        <w:t>Šie noteikumi jau ir palīdzējuši radīt noteiktību tirgus ieguldījumiem. Tomēr direktīvas II pielikumā ir norādītas arī turpmākas vajadzības noteikt tehniskās specifikācijas jomās, kurās vēl nav atsauces uz standartiem, tostarp tādās jomās kā:</w:t>
      </w:r>
    </w:p>
    <w:p>
      <w:pPr>
        <w:pStyle w:val="Text1"/>
        <w:numPr>
          <w:ilvl w:val="0"/>
          <w:numId w:val="31"/>
        </w:numPr>
        <w:jc w:val="both"/>
        <w:rPr>
          <w:noProof/>
        </w:rPr>
      </w:pPr>
      <w:r>
        <w:rPr>
          <w:noProof/>
        </w:rPr>
        <w:t>bezvadu uzlādes punkti mehāniskajiem transportlīdzekļiem (II pielikuma 1.3. apakšpunkts),</w:t>
      </w:r>
    </w:p>
    <w:p>
      <w:pPr>
        <w:pStyle w:val="Text1"/>
        <w:numPr>
          <w:ilvl w:val="0"/>
          <w:numId w:val="31"/>
        </w:numPr>
        <w:jc w:val="both"/>
        <w:rPr>
          <w:noProof/>
        </w:rPr>
      </w:pPr>
      <w:r>
        <w:rPr>
          <w:noProof/>
        </w:rPr>
        <w:t>mehānisko transportlīdzekļu akumulatoru apmaiņa (II pielikuma 1.4. apakšpunkts),</w:t>
      </w:r>
    </w:p>
    <w:p>
      <w:pPr>
        <w:pStyle w:val="Text1"/>
        <w:numPr>
          <w:ilvl w:val="0"/>
          <w:numId w:val="31"/>
        </w:numPr>
        <w:jc w:val="both"/>
        <w:rPr>
          <w:noProof/>
        </w:rPr>
      </w:pPr>
      <w:r>
        <w:rPr>
          <w:noProof/>
        </w:rPr>
        <w:t>uzlādes punkti L kategorijas mehāniskajiem transportlīdzekļiem (II pielikuma 1.5. apakšpunkts),</w:t>
      </w:r>
    </w:p>
    <w:p>
      <w:pPr>
        <w:pStyle w:val="Text1"/>
        <w:numPr>
          <w:ilvl w:val="0"/>
          <w:numId w:val="31"/>
        </w:numPr>
        <w:jc w:val="both"/>
        <w:rPr>
          <w:noProof/>
        </w:rPr>
      </w:pPr>
      <w:r>
        <w:rPr>
          <w:noProof/>
        </w:rPr>
        <w:t>uzlādes punkti elektriskajiem autobusiem (II pielikuma 1.6. apakšpunkts),</w:t>
      </w:r>
    </w:p>
    <w:p>
      <w:pPr>
        <w:pStyle w:val="Text1"/>
        <w:numPr>
          <w:ilvl w:val="0"/>
          <w:numId w:val="31"/>
        </w:numPr>
        <w:jc w:val="both"/>
        <w:rPr>
          <w:noProof/>
        </w:rPr>
      </w:pPr>
      <w:r>
        <w:rPr>
          <w:noProof/>
        </w:rPr>
        <w:t>krasta elektropadeve iekšzemes ūdensceļu kuģiem (II pielikuma 1.8. apakšpunkts),</w:t>
      </w:r>
    </w:p>
    <w:p>
      <w:pPr>
        <w:pStyle w:val="Text1"/>
        <w:numPr>
          <w:ilvl w:val="0"/>
          <w:numId w:val="31"/>
        </w:numPr>
        <w:jc w:val="both"/>
        <w:rPr>
          <w:noProof/>
        </w:rPr>
      </w:pPr>
      <w:r>
        <w:rPr>
          <w:i/>
          <w:noProof/>
        </w:rPr>
        <w:t>LNG</w:t>
      </w:r>
      <w:r>
        <w:rPr>
          <w:noProof/>
        </w:rPr>
        <w:t xml:space="preserve"> uzpildes punkti, kas paredzēti iekšzemes ūdensceļu kuģiem, jūras kuģiem un mehāniskajiem transportlīdzekļiem (II pielikuma 3.1. un 3.2. apakšpunkts), </w:t>
      </w:r>
    </w:p>
    <w:p>
      <w:pPr>
        <w:pStyle w:val="Text1"/>
        <w:numPr>
          <w:ilvl w:val="0"/>
          <w:numId w:val="31"/>
        </w:numPr>
        <w:jc w:val="both"/>
        <w:rPr>
          <w:noProof/>
        </w:rPr>
      </w:pPr>
      <w:r>
        <w:rPr>
          <w:i/>
          <w:noProof/>
        </w:rPr>
        <w:t>CNG</w:t>
      </w:r>
      <w:r>
        <w:rPr>
          <w:noProof/>
        </w:rPr>
        <w:t xml:space="preserve"> uzpildes punkti mehāniskajiem transportlīdzekļiem (II pielikuma 3.4. apakšpunkts).</w:t>
      </w:r>
    </w:p>
    <w:p>
      <w:pPr>
        <w:pStyle w:val="Text1"/>
        <w:ind w:left="60"/>
        <w:jc w:val="both"/>
        <w:rPr>
          <w:noProof/>
        </w:rPr>
      </w:pPr>
      <w:r>
        <w:rPr>
          <w:noProof/>
        </w:rPr>
        <w:t>Turklāt jau esošās tehniskās specifikācijas, kas attiecas uz:</w:t>
      </w:r>
    </w:p>
    <w:p>
      <w:pPr>
        <w:pStyle w:val="Text1"/>
        <w:numPr>
          <w:ilvl w:val="0"/>
          <w:numId w:val="32"/>
        </w:numPr>
        <w:jc w:val="both"/>
        <w:rPr>
          <w:noProof/>
        </w:rPr>
      </w:pPr>
      <w:r>
        <w:rPr>
          <w:noProof/>
        </w:rPr>
        <w:t>ūdeņraža ārpustelpu uzpildes punktiem (II pielikuma 2.1. apakšpunkts),</w:t>
      </w:r>
    </w:p>
    <w:p>
      <w:pPr>
        <w:pStyle w:val="Text1"/>
        <w:numPr>
          <w:ilvl w:val="0"/>
          <w:numId w:val="32"/>
        </w:numPr>
        <w:jc w:val="both"/>
        <w:rPr>
          <w:noProof/>
        </w:rPr>
      </w:pPr>
      <w:r>
        <w:rPr>
          <w:noProof/>
        </w:rPr>
        <w:t>ūdeņraža uzpildes punktos izsniegtā ūdeņraža tīrības nodrošināšanu (II pielikuma 2.2. apakšpunkts),</w:t>
      </w:r>
    </w:p>
    <w:p>
      <w:pPr>
        <w:pStyle w:val="Text1"/>
        <w:numPr>
          <w:ilvl w:val="0"/>
          <w:numId w:val="32"/>
        </w:numPr>
        <w:jc w:val="both"/>
        <w:rPr>
          <w:noProof/>
        </w:rPr>
      </w:pPr>
      <w:r>
        <w:rPr>
          <w:noProof/>
        </w:rPr>
        <w:t xml:space="preserve"> ūdeņraža uzpildes algoritmiem un aprīkojumu (II pielikuma 2.3. apakšpunkts),</w:t>
      </w:r>
    </w:p>
    <w:p>
      <w:pPr>
        <w:pStyle w:val="Text1"/>
        <w:numPr>
          <w:ilvl w:val="0"/>
          <w:numId w:val="32"/>
        </w:numPr>
        <w:jc w:val="both"/>
        <w:rPr>
          <w:noProof/>
        </w:rPr>
      </w:pPr>
      <w:r>
        <w:rPr>
          <w:noProof/>
        </w:rPr>
        <w:t>savienojumiem mehānisko transportlīdzekļu uzpildei ar gāzveida ūdeņradi (II pielikuma 2.4. apakšpunkts) un</w:t>
      </w:r>
    </w:p>
    <w:p>
      <w:pPr>
        <w:pStyle w:val="Text1"/>
        <w:numPr>
          <w:ilvl w:val="0"/>
          <w:numId w:val="32"/>
        </w:numPr>
        <w:jc w:val="both"/>
        <w:rPr>
          <w:noProof/>
        </w:rPr>
      </w:pPr>
      <w:r>
        <w:rPr>
          <w:i/>
          <w:noProof/>
        </w:rPr>
        <w:t>CNG</w:t>
      </w:r>
      <w:r>
        <w:rPr>
          <w:noProof/>
        </w:rPr>
        <w:t xml:space="preserve"> savienotājiem / ieplūdes elementiem (II pielikuma 3.3. apakšpunkts),</w:t>
      </w:r>
    </w:p>
    <w:p>
      <w:pPr>
        <w:pStyle w:val="Text1"/>
        <w:ind w:left="0"/>
        <w:jc w:val="both"/>
        <w:rPr>
          <w:noProof/>
        </w:rPr>
      </w:pPr>
      <w:r>
        <w:rPr>
          <w:noProof/>
        </w:rPr>
        <w:t xml:space="preserve">ir atjauninātas, jo attiecīgās Eiropas standartizācijas organizācijas ir pieņēmušas jaunas attiecīgo standartu versijas. </w:t>
      </w:r>
    </w:p>
    <w:p>
      <w:pPr>
        <w:pStyle w:val="Text1"/>
        <w:ind w:left="0"/>
        <w:jc w:val="both"/>
        <w:rPr>
          <w:noProof/>
        </w:rPr>
      </w:pPr>
    </w:p>
    <w:p>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 xml:space="preserve">JURIDISKAIS PAMATS </w:t>
      </w:r>
    </w:p>
    <w:p>
      <w:pPr>
        <w:pStyle w:val="Text1"/>
        <w:ind w:left="0"/>
        <w:jc w:val="both"/>
        <w:rPr>
          <w:noProof/>
        </w:rPr>
      </w:pPr>
      <w:r>
        <w:rPr>
          <w:noProof/>
        </w:rPr>
        <w:t>Šis ziņojums paredzēts Direktīvas 2014/94/ES 8. panta 2. punktā.</w:t>
      </w:r>
    </w:p>
    <w:p>
      <w:pPr>
        <w:pStyle w:val="Text1"/>
        <w:ind w:left="0"/>
        <w:jc w:val="both"/>
        <w:rPr>
          <w:noProof/>
          <w:shd w:val="clear" w:color="auto" w:fill="FFFFFF"/>
        </w:rPr>
      </w:pPr>
      <w:r>
        <w:rPr>
          <w:noProof/>
        </w:rPr>
        <w:t xml:space="preserve">Ar šo ziņojumu Komisija informē Eiropas Parlamentu un Padomi par Komisijas deleģētajām regulām, kas ir pieņemtas vai tiks pieņemtas, lai </w:t>
      </w:r>
      <w:r>
        <w:rPr>
          <w:noProof/>
          <w:shd w:val="clear" w:color="auto" w:fill="FFFFFF"/>
        </w:rPr>
        <w:t xml:space="preserve">papildinātu vai grozītu atsauces uz standartiem, kuri minēti direktīvas II pielikumā izklāstīto tehnisko specifikāciju 1.5., 1.8., 2.1., 2.2., 2.3., 2.4., 3.1., 3.2., 3.3. un 3.4. apakšpunktā. </w:t>
      </w:r>
    </w:p>
    <w:p>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 xml:space="preserve">DELEĢĒJUMA ĪSTENOŠANA </w:t>
      </w:r>
    </w:p>
    <w:p>
      <w:pPr>
        <w:pStyle w:val="Text1"/>
        <w:numPr>
          <w:ilvl w:val="0"/>
          <w:numId w:val="27"/>
        </w:numPr>
        <w:jc w:val="both"/>
        <w:rPr>
          <w:noProof/>
        </w:rPr>
      </w:pPr>
      <w:r>
        <w:rPr>
          <w:noProof/>
        </w:rPr>
        <w:t xml:space="preserve">Ar 2017. gada 13. jūlija vēstuli </w:t>
      </w:r>
      <w:r>
        <w:rPr>
          <w:i/>
          <w:noProof/>
        </w:rPr>
        <w:t>CEN-CENELEC</w:t>
      </w:r>
      <w:r>
        <w:rPr>
          <w:noProof/>
        </w:rPr>
        <w:t xml:space="preserve"> informēja Komisiju par standartiem, ko tā iesaka, lai papildinātu vai grozītu tehniskās specifikācijas, kuras noteiktas Direktīvas 2014/94/ES II pielikuma </w:t>
      </w:r>
      <w:r>
        <w:rPr>
          <w:noProof/>
          <w:shd w:val="clear" w:color="auto" w:fill="FFFFFF"/>
        </w:rPr>
        <w:t>1.5., 1.8., 2.4. un 3.1. apakšpunktā</w:t>
      </w:r>
      <w:r>
        <w:rPr>
          <w:noProof/>
        </w:rPr>
        <w:t>, proti:</w:t>
      </w:r>
    </w:p>
    <w:p>
      <w:pPr>
        <w:pStyle w:val="Text1"/>
        <w:numPr>
          <w:ilvl w:val="0"/>
          <w:numId w:val="22"/>
        </w:numPr>
        <w:jc w:val="both"/>
        <w:rPr>
          <w:noProof/>
        </w:rPr>
      </w:pPr>
      <w:r>
        <w:rPr>
          <w:noProof/>
        </w:rPr>
        <w:t xml:space="preserve">standartu EN 62196-2 “Kontaktspraudņi, kontaktligzdas, transportlīdzekļu spraudsavienotāji un ievadligzdas. Elektrotransportlīdzekļu konduktīvā uzlādēšana. Maiņstrāvas kontaktdakšu un cauruļveida kontaktligzdu aprīkojuma izmēru savietojamības un savstarpējās apmaināmības prasības” un standartu IEC 60884-1 “Mājsaimniecības un līdzīga lietojuma kontaktspraudņi un kontaktligzdas — 1. daļa: Vispārīgās prasības”, lai papildinātu II pielikuma 1.5. apakšpunktu, piemērojot tos L kategorijas mehāniskajiem transportlīdzekļiem paredzētiem uzlādes punktiem, ņemot vērā to jaudu un/vai uzlādes režīmu, </w:t>
      </w:r>
    </w:p>
    <w:p>
      <w:pPr>
        <w:pStyle w:val="Text1"/>
        <w:numPr>
          <w:ilvl w:val="0"/>
          <w:numId w:val="22"/>
        </w:numPr>
        <w:jc w:val="both"/>
        <w:rPr>
          <w:noProof/>
        </w:rPr>
      </w:pPr>
      <w:r>
        <w:rPr>
          <w:noProof/>
        </w:rPr>
        <w:t>standartu EN 15869-2 “Iekšzemes ūdensceļu kuģi. Krasta elektroenerģijas pieslēgums, trīsfāžu, 400 V, līdz 63 A, 50 Hz. 2. daļa: Krasta elektropieslēgums, drošuma prasības”, lai papildinātu II pielikuma 1.8. apakšpunktu attiecībā uz krasta elektropadevi iekšzemes ūdensceļu kuģiem,</w:t>
      </w:r>
    </w:p>
    <w:p>
      <w:pPr>
        <w:pStyle w:val="Text1"/>
        <w:numPr>
          <w:ilvl w:val="0"/>
          <w:numId w:val="22"/>
        </w:numPr>
        <w:jc w:val="both"/>
        <w:rPr>
          <w:noProof/>
        </w:rPr>
      </w:pPr>
      <w:r>
        <w:rPr>
          <w:noProof/>
        </w:rPr>
        <w:t xml:space="preserve">standartu EN ISO 17268 “Gāzveida ūdeņraža degvielas uzpildes savienojuma ierīces sauszemes transportlīdzekļiem”, lai grozītu II pielikuma 2.4. apakšpunktu attiecībā uz savienojumiem uzpildei ar ūdeņradi, </w:t>
      </w:r>
    </w:p>
    <w:p>
      <w:pPr>
        <w:pStyle w:val="Text1"/>
        <w:numPr>
          <w:ilvl w:val="0"/>
          <w:numId w:val="22"/>
        </w:numPr>
        <w:jc w:val="both"/>
        <w:rPr>
          <w:noProof/>
        </w:rPr>
      </w:pPr>
      <w:r>
        <w:rPr>
          <w:noProof/>
        </w:rPr>
        <w:t>standartu EN ISO 20519 “Kuģu un jūras tehnoloģijas. Specifikācija ar sašķidrinātu dabasgāzi darbināmu kuģu bunkurēšanai”, lai papildinātu II pielikuma 3.1. apakšpunktu attiecībā uz iekšzemes ūdensceļu kuģiem vai jūras kuģiem.</w:t>
      </w:r>
    </w:p>
    <w:p>
      <w:pPr>
        <w:pStyle w:val="Text1"/>
        <w:ind w:left="0"/>
        <w:jc w:val="both"/>
        <w:rPr>
          <w:noProof/>
        </w:rPr>
      </w:pPr>
      <w:r>
        <w:rPr>
          <w:noProof/>
        </w:rPr>
        <w:t xml:space="preserve">Pēc apspriešanās ar Komisijas ekspertu grupu “Ilgtspējīga transporta forums” un Eiropas Parlamenta un Padomes informēšanas par šo apspriešanos Eiropas Komisija pieņēma Komisijas 2017. gada 17. novembra Deleģēto regulu (ES) 2018/674, ar ko Eiropas Parlamenta un Padomes Direktīvu 2014/94/ES papildina attiecībā uz L kategorijas mehānisko transportlīdzekļu uzlādes punktiem, krasta elektropadevi iekšzemes ūdensceļu kuģiem un ūdens transporta </w:t>
      </w:r>
      <w:r>
        <w:rPr>
          <w:i/>
          <w:iCs/>
          <w:noProof/>
        </w:rPr>
        <w:t>LNG</w:t>
      </w:r>
      <w:r>
        <w:rPr>
          <w:noProof/>
        </w:rPr>
        <w:t xml:space="preserve"> uzpildes punktiem un groza minēto direktīvu attiecībā uz savienojumiem mehānisko transportlīdzekļu uzpildei ar gāzveida ūdeņradi</w:t>
      </w:r>
      <w:r>
        <w:rPr>
          <w:noProof/>
          <w:vertAlign w:val="superscript"/>
        </w:rPr>
        <w:footnoteReference w:id="3"/>
      </w:r>
      <w:r>
        <w:rPr>
          <w:noProof/>
        </w:rPr>
        <w:t>.</w:t>
      </w:r>
    </w:p>
    <w:p>
      <w:pPr>
        <w:pStyle w:val="Text1"/>
        <w:ind w:left="0"/>
        <w:jc w:val="both"/>
        <w:rPr>
          <w:noProof/>
        </w:rPr>
      </w:pPr>
      <w:r>
        <w:rPr>
          <w:noProof/>
        </w:rPr>
        <w:t>Ar šo deleģēto regulu ir paredzēti šādi noteikumi:</w:t>
      </w:r>
    </w:p>
    <w:p>
      <w:pPr>
        <w:pStyle w:val="Text1"/>
        <w:numPr>
          <w:ilvl w:val="0"/>
          <w:numId w:val="24"/>
        </w:numPr>
        <w:jc w:val="both"/>
        <w:rPr>
          <w:noProof/>
        </w:rPr>
      </w:pPr>
      <w:r>
        <w:rPr>
          <w:noProof/>
        </w:rPr>
        <w:t>publiski pieejamos maiņstrāvas (</w:t>
      </w:r>
      <w:r>
        <w:rPr>
          <w:i/>
          <w:noProof/>
        </w:rPr>
        <w:t>AC</w:t>
      </w:r>
      <w:r>
        <w:rPr>
          <w:noProof/>
        </w:rPr>
        <w:t>) uzlādes punktus ar jaudu līdz 3,7 kVA, kas paredzēti L kategorijas elektrotransportlīdzekļiem, savstarpējas izmantojamības nolūkā aprīko ar vismaz vienu no šādām uzlādes sistēmām:</w:t>
      </w:r>
    </w:p>
    <w:p>
      <w:pPr>
        <w:pStyle w:val="Text1"/>
        <w:numPr>
          <w:ilvl w:val="1"/>
          <w:numId w:val="24"/>
        </w:numPr>
        <w:jc w:val="both"/>
        <w:rPr>
          <w:noProof/>
        </w:rPr>
      </w:pPr>
      <w:r>
        <w:rPr>
          <w:noProof/>
        </w:rPr>
        <w:t>3.a tipa kontaktligzdu vai transportlīdzekļa spraudsavienotājiem, kas aprakstīti standartā EN 62196-2 (uzlādei 3. režīmā);</w:t>
      </w:r>
    </w:p>
    <w:p>
      <w:pPr>
        <w:pStyle w:val="Text1"/>
        <w:numPr>
          <w:ilvl w:val="1"/>
          <w:numId w:val="24"/>
        </w:numPr>
        <w:jc w:val="both"/>
        <w:rPr>
          <w:noProof/>
        </w:rPr>
      </w:pPr>
      <w:r>
        <w:rPr>
          <w:noProof/>
        </w:rPr>
        <w:t>kontaktligzdu un savienotājiem, kas atbilst standartam IEC 60884 (uzlādei 1. vai 2. režīmā).</w:t>
      </w:r>
    </w:p>
    <w:p>
      <w:pPr>
        <w:pStyle w:val="Text1"/>
        <w:ind w:left="720"/>
        <w:jc w:val="both"/>
        <w:rPr>
          <w:noProof/>
        </w:rPr>
      </w:pPr>
      <w:r>
        <w:rPr>
          <w:noProof/>
        </w:rPr>
        <w:t>Publiski pieejamos maiņstrāvas (</w:t>
      </w:r>
      <w:r>
        <w:rPr>
          <w:i/>
          <w:noProof/>
        </w:rPr>
        <w:t>AC</w:t>
      </w:r>
      <w:r>
        <w:rPr>
          <w:noProof/>
        </w:rPr>
        <w:t>) uzlādes punktus ar jaudu lielāku nekā 3,7 kVA, kas paredzēti L kategorijas elektrotransportlīdzekļiem, savstarpējās izmantojamības nolūkā aprīko vismaz ar 2. tipa kontaktligzdām vai transportlīdzekļa spraudsavienotājiem, kas aprakstīti standartā EN 62196-2;</w:t>
      </w:r>
    </w:p>
    <w:p>
      <w:pPr>
        <w:pStyle w:val="Text1"/>
        <w:numPr>
          <w:ilvl w:val="0"/>
          <w:numId w:val="24"/>
        </w:numPr>
        <w:jc w:val="both"/>
        <w:rPr>
          <w:noProof/>
        </w:rPr>
      </w:pPr>
      <w:r>
        <w:rPr>
          <w:noProof/>
        </w:rPr>
        <w:t>krasta elektropadeve iekšzemes ūdensceļu kuģiem atbilst standartam EN 15869-2 “Iekšzemes ūdensceļu kuģi. Krasta elektroenerģijas pieslēgums, trīsfāžu, 400 V, līdz 63 A, 50 Hz. 2. daļa: Krasta elektropieslēgums, drošuma prasības”;</w:t>
      </w:r>
    </w:p>
    <w:p>
      <w:pPr>
        <w:pStyle w:val="Text1"/>
        <w:numPr>
          <w:ilvl w:val="0"/>
          <w:numId w:val="24"/>
        </w:numPr>
        <w:jc w:val="both"/>
        <w:rPr>
          <w:noProof/>
        </w:rPr>
      </w:pPr>
      <w:r>
        <w:rPr>
          <w:i/>
          <w:noProof/>
        </w:rPr>
        <w:t>LNG</w:t>
      </w:r>
      <w:r>
        <w:rPr>
          <w:noProof/>
        </w:rPr>
        <w:t xml:space="preserve"> uzpildes punkti, kuri paredzēti iekšzemes ūdensceļu kuģiem vai jūras kuģiem, uz ko neattiecas Starptautiskais kodekss par kuģu konstrukciju un aprīkojumu, kuri pārvadā sašķidrinātas gāzes kā lejamkravas (</w:t>
      </w:r>
      <w:r>
        <w:rPr>
          <w:i/>
          <w:noProof/>
        </w:rPr>
        <w:t>IGC</w:t>
      </w:r>
      <w:r>
        <w:rPr>
          <w:noProof/>
        </w:rPr>
        <w:t xml:space="preserve"> kodekss), atbilst standartam EN ISO 20519;</w:t>
      </w:r>
    </w:p>
    <w:p>
      <w:pPr>
        <w:pStyle w:val="Text1"/>
        <w:numPr>
          <w:ilvl w:val="0"/>
          <w:numId w:val="24"/>
        </w:numPr>
        <w:jc w:val="both"/>
        <w:rPr>
          <w:noProof/>
        </w:rPr>
      </w:pPr>
      <w:r>
        <w:rPr>
          <w:noProof/>
        </w:rPr>
        <w:t>savienojumi mehānisko transportlīdzekļu uzpildei ar gāzveida ūdeņradi atbilst standartam EN ISO 17268 “Gāzveida ūdeņraža degvielas uzpildes savienojuma ierīces sauszemes transportlīdzekļiem”.</w:t>
      </w:r>
    </w:p>
    <w:p>
      <w:pPr>
        <w:pStyle w:val="Text1"/>
        <w:numPr>
          <w:ilvl w:val="0"/>
          <w:numId w:val="27"/>
        </w:numPr>
        <w:ind w:left="0"/>
        <w:jc w:val="both"/>
        <w:rPr>
          <w:noProof/>
        </w:rPr>
      </w:pPr>
      <w:r>
        <w:rPr>
          <w:noProof/>
        </w:rPr>
        <w:t>Pēc atsevišķu dalībvalstu un Reinas kuģniecības centrālās komisijas (</w:t>
      </w:r>
      <w:r>
        <w:rPr>
          <w:i/>
          <w:iCs/>
          <w:noProof/>
        </w:rPr>
        <w:t>CCNR</w:t>
      </w:r>
      <w:r>
        <w:rPr>
          <w:noProof/>
        </w:rPr>
        <w:t xml:space="preserve">) iesniegtajiem pieprasījumiem tehniski atjaunināt un papildināt Komisijas 2017. gada 17. novembra Deleģēto regulu (ES) 2018/674, kā arī pēc </w:t>
      </w:r>
      <w:r>
        <w:rPr>
          <w:i/>
          <w:iCs/>
          <w:noProof/>
        </w:rPr>
        <w:t>CEN-CENELEC</w:t>
      </w:r>
      <w:r>
        <w:rPr>
          <w:noProof/>
        </w:rPr>
        <w:t xml:space="preserve"> 2018. gada 26. novembra vēstules, ar kuru Komisija tika informēta par dabasgāzes un ūdeņraža uzpildes infrastruktūras standartizācijas jaunākajiem notikumiem, Komisija 2019. gada 13. augustā pieņēma jaunu deleģēto regulu</w:t>
      </w:r>
      <w:r>
        <w:rPr>
          <w:rStyle w:val="FootnoteReference"/>
          <w:noProof/>
        </w:rPr>
        <w:footnoteReference w:id="4"/>
      </w:r>
      <w:r>
        <w:rPr>
          <w:noProof/>
        </w:rPr>
        <w:t xml:space="preserve">, ar kuru atceļ Komisijas 2017. gada 17. novembra Deleģēto regulu (ES) 2018/674 un iekļauj iepriekš minētos atjauninājumus un papildinājumus un jaunievedumus dabasgāzes un ūdeņraža uzpildes infrastruktūras standartizācijā. </w:t>
      </w:r>
    </w:p>
    <w:p>
      <w:pPr>
        <w:pStyle w:val="Text1"/>
        <w:ind w:left="0"/>
        <w:jc w:val="both"/>
        <w:rPr>
          <w:noProof/>
        </w:rPr>
      </w:pPr>
      <w:r>
        <w:rPr>
          <w:noProof/>
        </w:rPr>
        <w:t>Ar šo Komisijas deleģēto regulu:</w:t>
      </w:r>
    </w:p>
    <w:p>
      <w:pPr>
        <w:pStyle w:val="Text1"/>
        <w:numPr>
          <w:ilvl w:val="0"/>
          <w:numId w:val="23"/>
        </w:numPr>
        <w:jc w:val="both"/>
        <w:rPr>
          <w:noProof/>
        </w:rPr>
      </w:pPr>
      <w:r>
        <w:rPr>
          <w:noProof/>
        </w:rPr>
        <w:t>ir papildināts 1.5. apakšpunkts, iekļaujot standartus (ņemot vērā jaudu un/vai uzlādes režīmu) L kategorijas mehāniskajiem transportlīdzekļiem paredzētiem uzlādes punktiem, proti:</w:t>
      </w:r>
    </w:p>
    <w:p>
      <w:pPr>
        <w:pStyle w:val="ListParagraph"/>
        <w:numPr>
          <w:ilvl w:val="1"/>
          <w:numId w:val="23"/>
        </w:numPr>
        <w:jc w:val="both"/>
        <w:rPr>
          <w:rFonts w:ascii="Times New Roman" w:hAnsi="Times New Roman" w:cs="Times New Roman"/>
          <w:noProof/>
          <w:sz w:val="24"/>
          <w:szCs w:val="24"/>
        </w:rPr>
      </w:pPr>
      <w:r>
        <w:rPr>
          <w:rFonts w:ascii="Times New Roman" w:hAnsi="Times New Roman"/>
          <w:noProof/>
          <w:sz w:val="24"/>
          <w:szCs w:val="24"/>
        </w:rPr>
        <w:t xml:space="preserve"> EN 62196-2 “Kontaktspraudņi, kontaktligzdas, transportlīdzekļu spraudsavienotāji un ievadligzdas. Elektrotransportlīdzekļu konduktīvā uzlādēšana. Maiņstrāvas kontaktdakšu un cauruļveida kontaktligzdu aprīkojuma izmēru savietojamības un savstarpējās apmaināmības prasības” un </w:t>
      </w:r>
    </w:p>
    <w:p>
      <w:pPr>
        <w:pStyle w:val="ListParagraph"/>
        <w:numPr>
          <w:ilvl w:val="1"/>
          <w:numId w:val="23"/>
        </w:numPr>
        <w:jc w:val="both"/>
        <w:rPr>
          <w:rFonts w:ascii="Times New Roman" w:hAnsi="Times New Roman" w:cs="Times New Roman"/>
          <w:noProof/>
          <w:sz w:val="24"/>
          <w:szCs w:val="24"/>
        </w:rPr>
      </w:pPr>
      <w:r>
        <w:rPr>
          <w:rFonts w:ascii="Times New Roman" w:hAnsi="Times New Roman"/>
          <w:noProof/>
          <w:sz w:val="24"/>
          <w:szCs w:val="24"/>
        </w:rPr>
        <w:t>IEC 60884-1 “Mājsaimniecības un līdzīga lietojuma kontaktspraudņi un kontaktligzdas — 1. daļa: Vispārīgās prasības” būtu jāpiemēro šiem uzlādes punktiem,</w:t>
      </w:r>
    </w:p>
    <w:p>
      <w:pPr>
        <w:pStyle w:val="Text1"/>
        <w:numPr>
          <w:ilvl w:val="0"/>
          <w:numId w:val="23"/>
        </w:numPr>
        <w:jc w:val="both"/>
        <w:rPr>
          <w:noProof/>
        </w:rPr>
      </w:pPr>
      <w:r>
        <w:rPr>
          <w:noProof/>
        </w:rPr>
        <w:t xml:space="preserve">ir papildināts II pielikuma 1.8. apakšpunkts, iekļaujot standartu attiecībā uz krasta elektropadevi iekšzemes ūdensceļu kuģiem, proti: </w:t>
      </w:r>
    </w:p>
    <w:p>
      <w:pPr>
        <w:pStyle w:val="ListParagraph"/>
        <w:numPr>
          <w:ilvl w:val="1"/>
          <w:numId w:val="23"/>
        </w:numPr>
        <w:jc w:val="both"/>
        <w:rPr>
          <w:rFonts w:ascii="Times New Roman" w:hAnsi="Times New Roman" w:cs="Times New Roman"/>
          <w:noProof/>
          <w:color w:val="FF0000"/>
          <w:sz w:val="24"/>
          <w:szCs w:val="24"/>
        </w:rPr>
      </w:pPr>
      <w:r>
        <w:rPr>
          <w:rFonts w:ascii="Times New Roman" w:hAnsi="Times New Roman"/>
          <w:noProof/>
          <w:sz w:val="24"/>
          <w:szCs w:val="24"/>
        </w:rPr>
        <w:t>standartu EN 15869-2 “Iekšzemes ūdensceļu kuģi. Krasta elektroenerģijas pieslēgums, trīsfāžu, 400 V, līdz 63 A, 50 Hz. 2. daļa: Krasta elektropieslēgums, drošuma prasības” vai standartu EN 16840 “Iekšzemes ūdensceļu kuģi. Krasta elektroenerģijas pieslēgums, trīsfāžu strāva 400 V, 50 Hz un vismaz 250 A” atkarībā no elektroenerģijas vajadzībām,</w:t>
      </w:r>
    </w:p>
    <w:p>
      <w:pPr>
        <w:pStyle w:val="Text1"/>
        <w:numPr>
          <w:ilvl w:val="0"/>
          <w:numId w:val="23"/>
        </w:numPr>
        <w:jc w:val="both"/>
        <w:rPr>
          <w:noProof/>
        </w:rPr>
      </w:pPr>
      <w:r>
        <w:rPr>
          <w:noProof/>
        </w:rPr>
        <w:t>ir grozīts II pielikuma 2.1. un 2.3. apakšpunkts, iekļaujot Eiropas standartu EN 17127 “Āra ūdeņraža uzpildes punkti ar gāzveida ūdeņradi, kuros izmanto uzpildīšanas protokolus”,</w:t>
      </w:r>
    </w:p>
    <w:p>
      <w:pPr>
        <w:pStyle w:val="Text1"/>
        <w:numPr>
          <w:ilvl w:val="0"/>
          <w:numId w:val="23"/>
        </w:numPr>
        <w:jc w:val="both"/>
        <w:rPr>
          <w:noProof/>
        </w:rPr>
      </w:pPr>
      <w:r>
        <w:rPr>
          <w:noProof/>
        </w:rPr>
        <w:t>ir grozīts II pielikuma 2.2. apakšpunkts, iekļaujot Eiropas standartu EN 17124 “Ūdeņraža degviela. Produkta specifikācija un kvalitātes nodrošināšana. Degvielas šūnu protonu apmaiņas membrānas (</w:t>
      </w:r>
      <w:r>
        <w:rPr>
          <w:i/>
          <w:iCs/>
          <w:noProof/>
        </w:rPr>
        <w:t>PEM</w:t>
      </w:r>
      <w:r>
        <w:rPr>
          <w:noProof/>
        </w:rPr>
        <w:t xml:space="preserve">) autotransportlīdzekļiem”, </w:t>
      </w:r>
    </w:p>
    <w:p>
      <w:pPr>
        <w:pStyle w:val="Text1"/>
        <w:numPr>
          <w:ilvl w:val="0"/>
          <w:numId w:val="23"/>
        </w:numPr>
        <w:jc w:val="both"/>
        <w:rPr>
          <w:noProof/>
        </w:rPr>
      </w:pPr>
      <w:r>
        <w:rPr>
          <w:noProof/>
        </w:rPr>
        <w:t>ir grozīts II pielikuma 2.4. apakšpunkts, iekļaujot Eiropas standartu EN ISO 17268 “Gāzveida ūdeņraža degvielas uzpildes savienojuma ierīces sauszemes transportlīdzekļiem”,</w:t>
      </w:r>
    </w:p>
    <w:p>
      <w:pPr>
        <w:pStyle w:val="Text1"/>
        <w:numPr>
          <w:ilvl w:val="0"/>
          <w:numId w:val="23"/>
        </w:numPr>
        <w:jc w:val="both"/>
        <w:rPr>
          <w:noProof/>
        </w:rPr>
      </w:pPr>
      <w:r>
        <w:rPr>
          <w:noProof/>
        </w:rPr>
        <w:t xml:space="preserve">ir papildināts II pielikuma 3.1. apakšpunkts, iekļaujot standartu attiecībā uz </w:t>
      </w:r>
      <w:r>
        <w:rPr>
          <w:i/>
          <w:noProof/>
        </w:rPr>
        <w:t>LNG</w:t>
      </w:r>
      <w:r>
        <w:rPr>
          <w:noProof/>
        </w:rPr>
        <w:t xml:space="preserve"> uzpildes punktiem, kas paredzēti iekšzemes ūdensceļu kuģiem un jūras kuģiem, proti:</w:t>
      </w:r>
    </w:p>
    <w:p>
      <w:pPr>
        <w:pStyle w:val="Text1"/>
        <w:numPr>
          <w:ilvl w:val="1"/>
          <w:numId w:val="23"/>
        </w:numPr>
        <w:jc w:val="both"/>
        <w:rPr>
          <w:noProof/>
        </w:rPr>
      </w:pPr>
      <w:r>
        <w:rPr>
          <w:noProof/>
        </w:rPr>
        <w:t>EN ISO 20519 “Kuģu un jūras tehnoloģijas. Specifikācija ar sašķidrinātu dabasgāzi darbināmu kuģu bunkurēšanai”, kurš attieksies uz jūras kuģiem, uz ko neattiecas Starptautiskais kodekss par kuģu konstrukciju un aprīkojumu, kuri pārvadā sašķidrinātas gāzes kā lejamkravas (</w:t>
      </w:r>
      <w:r>
        <w:rPr>
          <w:i/>
          <w:noProof/>
        </w:rPr>
        <w:t>IGC</w:t>
      </w:r>
      <w:r>
        <w:rPr>
          <w:noProof/>
        </w:rPr>
        <w:t xml:space="preserve"> kodekss),</w:t>
      </w:r>
    </w:p>
    <w:p>
      <w:pPr>
        <w:pStyle w:val="Text1"/>
        <w:numPr>
          <w:ilvl w:val="1"/>
          <w:numId w:val="23"/>
        </w:numPr>
        <w:jc w:val="both"/>
        <w:rPr>
          <w:noProof/>
        </w:rPr>
      </w:pPr>
      <w:r>
        <w:rPr>
          <w:noProof/>
        </w:rPr>
        <w:t>EN ISO 20519 (5.3.–5.7. daļa), ko piemēros iekšzemes ūdensceļu kuģiem,</w:t>
      </w:r>
    </w:p>
    <w:p>
      <w:pPr>
        <w:pStyle w:val="Text1"/>
        <w:numPr>
          <w:ilvl w:val="0"/>
          <w:numId w:val="23"/>
        </w:numPr>
        <w:jc w:val="both"/>
        <w:rPr>
          <w:noProof/>
        </w:rPr>
      </w:pPr>
      <w:r>
        <w:rPr>
          <w:noProof/>
        </w:rPr>
        <w:t xml:space="preserve">ir papildināts II pielikuma 3.2. apakšpunkts, iekļaujot tādus Eiropas standarta EN ISO 16924 “Dabasgāzes uzpildes stacijas. Transportlīdzekļu </w:t>
      </w:r>
      <w:r>
        <w:rPr>
          <w:i/>
          <w:iCs/>
          <w:noProof/>
        </w:rPr>
        <w:t>LNG</w:t>
      </w:r>
      <w:r>
        <w:rPr>
          <w:noProof/>
        </w:rPr>
        <w:t xml:space="preserve"> uzpildes stacijas” savstarpējās izmantojamības elementus kā uzpildes spiediens un izmantojamais savienojums,</w:t>
      </w:r>
    </w:p>
    <w:p>
      <w:pPr>
        <w:pStyle w:val="Text1"/>
        <w:numPr>
          <w:ilvl w:val="0"/>
          <w:numId w:val="23"/>
        </w:numPr>
        <w:jc w:val="both"/>
        <w:rPr>
          <w:noProof/>
        </w:rPr>
      </w:pPr>
      <w:r>
        <w:rPr>
          <w:noProof/>
        </w:rPr>
        <w:t>ir grozīts II pielikuma 3.3. apakšpunkts, pieprasot Eiropas standartu EN ISO 14469 “Autotransporta līdzekļi. Degvielas uzpildes savienotājs saspiestai dabasgāzei (</w:t>
      </w:r>
      <w:r>
        <w:rPr>
          <w:i/>
          <w:iCs/>
          <w:noProof/>
        </w:rPr>
        <w:t>CNG</w:t>
      </w:r>
      <w:r>
        <w:rPr>
          <w:noProof/>
        </w:rPr>
        <w:t xml:space="preserve">)” piemērot </w:t>
      </w:r>
      <w:r>
        <w:rPr>
          <w:i/>
          <w:iCs/>
          <w:noProof/>
        </w:rPr>
        <w:t>CNG</w:t>
      </w:r>
      <w:r>
        <w:rPr>
          <w:noProof/>
        </w:rPr>
        <w:t xml:space="preserve"> savienotājiem/ iepildes elementiem, </w:t>
      </w:r>
    </w:p>
    <w:p>
      <w:pPr>
        <w:pStyle w:val="Text1"/>
        <w:numPr>
          <w:ilvl w:val="0"/>
          <w:numId w:val="23"/>
        </w:numPr>
        <w:jc w:val="both"/>
        <w:rPr>
          <w:noProof/>
        </w:rPr>
      </w:pPr>
      <w:r>
        <w:rPr>
          <w:noProof/>
        </w:rPr>
        <w:t xml:space="preserve">ir papildināts II pielikuma 3.4. apakšpunkts, iekļaujot tādus Eiropas standarta EN ISO 16923 “Dabasgāzes uzpildes stacijas. Transportlīdzekļu </w:t>
      </w:r>
      <w:r>
        <w:rPr>
          <w:i/>
          <w:iCs/>
          <w:noProof/>
        </w:rPr>
        <w:t>LNG</w:t>
      </w:r>
      <w:r>
        <w:rPr>
          <w:noProof/>
        </w:rPr>
        <w:t xml:space="preserve"> uzpildes stacijas” savstarpējās izmantojamības elementus kā uzpildes spiediens. </w:t>
      </w:r>
    </w:p>
    <w:p>
      <w:pPr>
        <w:pStyle w:val="Text1"/>
        <w:ind w:left="0"/>
        <w:jc w:val="both"/>
        <w:rPr>
          <w:noProof/>
        </w:rPr>
      </w:pPr>
      <w:r>
        <w:rPr>
          <w:noProof/>
        </w:rPr>
        <w:t xml:space="preserve">Komisijas deleģētās regulas projekts bija publicēts Labāka regulējuma portālā laikā no 2019. gada 15. marta līdz 2019. gada 12. aprīlim. Komisija saņēma atsauksmes no 10 respondentiem. Turklāt dažādos šīs Komisijas deleģētās regulas sagatavošanas posmos notika apspriešanās ar Ilgtspējīga transporta foruma dalībvalstu ekspertiem. </w:t>
      </w:r>
    </w:p>
    <w:p>
      <w:pPr>
        <w:pStyle w:val="Text1"/>
        <w:ind w:left="0"/>
        <w:jc w:val="both"/>
        <w:rPr>
          <w:noProof/>
        </w:rPr>
      </w:pPr>
      <w:r>
        <w:rPr>
          <w:noProof/>
        </w:rPr>
        <w:t>Komisija pieņēma Komisijas deleģēto regulu 2019. gada 13. augustā</w:t>
      </w:r>
      <w:r>
        <w:rPr>
          <w:rStyle w:val="FootnoteReference"/>
          <w:noProof/>
        </w:rPr>
        <w:footnoteReference w:id="5"/>
      </w:r>
      <w:r>
        <w:rPr>
          <w:noProof/>
        </w:rPr>
        <w:t xml:space="preserve">. Saskaņā ar Direktīvas 2014/94/ES 8. panta 5. punktu notika apspriedes ar Eiropadomi un Eiropas Parlamentu, un netika saņemti iebildumi. Tāpēc šī Komisijas deleģētā regula stājas spēkā divdesmitajā dienā pēc tās publicēšanas </w:t>
      </w:r>
      <w:r>
        <w:rPr>
          <w:i/>
          <w:noProof/>
        </w:rPr>
        <w:t>Eiropas Savienības Oficiālajā Vēstnesī</w:t>
      </w:r>
      <w:r>
        <w:rPr>
          <w:noProof/>
        </w:rPr>
        <w:t xml:space="preserve">, proti, 2019. gada 22. oktobrī. To sāk piemērot no 2021. gada 12. novembra. </w:t>
      </w:r>
    </w:p>
    <w:p>
      <w:pPr>
        <w:pStyle w:val="Text1"/>
        <w:ind w:left="0"/>
        <w:jc w:val="both"/>
        <w:rPr>
          <w:noProof/>
        </w:rPr>
      </w:pPr>
      <w:r>
        <w:rPr>
          <w:noProof/>
        </w:rPr>
        <w:t xml:space="preserve">Turklāt 2020. gada ceturtajā ceturksnī ir paredzēta jaunas Komisijas deleģētās regulas pieņemšana, lai papildinātu tehniskās specifikācijas attiecībā uz Direktīvas 2014/94/ES II pielikuma 1.3. apakšpunktu (bezvadu uzlāde mehāniskajiem transportlīdzekļiem) un 1.6. apakšpunktu (uzlādes punkti elektriskajiem autobusiem). </w:t>
      </w:r>
    </w:p>
    <w:p>
      <w:pPr>
        <w:pStyle w:val="Text1"/>
        <w:ind w:left="0"/>
        <w:jc w:val="both"/>
        <w:rPr>
          <w:noProof/>
        </w:rPr>
      </w:pPr>
    </w:p>
    <w:p>
      <w:pPr>
        <w:pStyle w:val="Text1"/>
        <w:ind w:left="0"/>
        <w:jc w:val="both"/>
        <w:rPr>
          <w:noProof/>
        </w:rPr>
      </w:pPr>
      <w:r>
        <w:rPr>
          <w:noProof/>
        </w:rPr>
        <w:t xml:space="preserve">Komisija iepriekš minētajā paziņotajā Komisijas deleģētajā regulā neplāno iekļaut tehniskās specifikācijas attiecībā uz II pielikuma 1.4. apakšpunktu (mehānisko transportlīdzekļu akumulatoru apmaiņu), jo attiecīgā Eiropas standartizācijas organizācija šādu standartu neuzskata par ES rūpniecības prioritāti. </w:t>
      </w:r>
    </w:p>
    <w:p>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 xml:space="preserve">SECINĀJUMI UN NĀKOTNES PERSPEKTĪVAS </w:t>
      </w:r>
    </w:p>
    <w:p>
      <w:pPr>
        <w:pStyle w:val="Text1"/>
        <w:ind w:left="0"/>
        <w:jc w:val="both"/>
        <w:rPr>
          <w:noProof/>
        </w:rPr>
      </w:pPr>
      <w:r>
        <w:rPr>
          <w:noProof/>
        </w:rPr>
        <w:t>Komisija aicina Eiropas Parlamentu un Padomi ņemt vērā šo ziņojumu.</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CC4BE" w16cid:durableId="2135F0BD"/>
  <w16cid:commentId w16cid:paraId="101398B1" w16cid:durableId="2135F190"/>
  <w16cid:commentId w16cid:paraId="0CEA7850" w16cid:durableId="2135F0EA"/>
  <w16cid:commentId w16cid:paraId="24305BAF" w16cid:durableId="2135F374"/>
  <w16cid:commentId w16cid:paraId="336B3BFE" w16cid:durableId="21360000"/>
  <w16cid:commentId w16cid:paraId="6031BE4A" w16cid:durableId="21360023"/>
  <w16cid:commentId w16cid:paraId="79D949FA" w16cid:durableId="213606A7"/>
  <w16cid:commentId w16cid:paraId="666DD3C8" w16cid:durableId="21360543"/>
  <w16cid:commentId w16cid:paraId="431005D6" w16cid:durableId="213601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contextualSpacing/>
        <w:rPr>
          <w:rFonts w:ascii="Times New Roman" w:hAnsi="Times New Roman" w:cs="Times New Roman"/>
          <w:sz w:val="24"/>
          <w:szCs w:val="24"/>
        </w:rPr>
      </w:pPr>
      <w:r>
        <w:rPr>
          <w:rStyle w:val="FootnoteReference"/>
        </w:rPr>
        <w:footnoteRef/>
      </w:r>
      <w:r>
        <w:rPr>
          <w:rFonts w:ascii="Times New Roman" w:hAnsi="Times New Roman"/>
          <w:szCs w:val="20"/>
        </w:rPr>
        <w:t xml:space="preserve"> OV L 307, 28.10.2014., 1. lpp.</w:t>
      </w: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Standartizācijas komiteja (</w:t>
      </w:r>
      <w:r>
        <w:rPr>
          <w:rFonts w:ascii="Times New Roman" w:hAnsi="Times New Roman"/>
          <w:i/>
        </w:rPr>
        <w:t>CEN</w:t>
      </w:r>
      <w:r>
        <w:rPr>
          <w:rFonts w:ascii="Times New Roman" w:hAnsi="Times New Roman"/>
        </w:rPr>
        <w:t>) un Eiropas Elektrotehnikas standartizācijas komiteja (</w:t>
      </w:r>
      <w:r>
        <w:rPr>
          <w:rFonts w:ascii="Times New Roman" w:hAnsi="Times New Roman"/>
          <w:i/>
        </w:rPr>
        <w:t>CENELEC</w:t>
      </w:r>
      <w:r>
        <w:rPr>
          <w:rFonts w:ascii="Times New Roman" w:hAnsi="Times New Roman"/>
        </w:rPr>
        <w:t>).</w:t>
      </w:r>
    </w:p>
  </w:footnote>
  <w:footnote w:id="3">
    <w:p>
      <w:pPr>
        <w:pStyle w:val="FootnoteText"/>
        <w:rPr>
          <w:rFonts w:ascii="Times New Roman" w:hAnsi="Times New Roman" w:cs="Times New Roman"/>
        </w:rPr>
      </w:pPr>
      <w:r>
        <w:rPr>
          <w:rStyle w:val="FootnoteReference"/>
        </w:rPr>
        <w:footnoteRef/>
      </w:r>
      <w:r>
        <w:t xml:space="preserve"> </w:t>
      </w:r>
      <w:r>
        <w:rPr>
          <w:rStyle w:val="Emphasis"/>
          <w:rFonts w:ascii="Times New Roman" w:hAnsi="Times New Roman"/>
          <w:i w:val="0"/>
          <w:iCs w:val="0"/>
        </w:rPr>
        <w:t xml:space="preserve">OV L 114, 4.5.2018., 1.–3. lpp., </w:t>
      </w:r>
      <w:hyperlink r:id="rId1" w:history="1">
        <w:r>
          <w:rPr>
            <w:rStyle w:val="Hyperlink"/>
          </w:rPr>
          <w:t>https://eur-lex.europa.eu/legal-content/LV/TXT/?uri=uriserv%3AOJ.L_.2018.114.01.0001.01.LAV</w:t>
        </w:r>
      </w:hyperlink>
      <w:r>
        <w:t>.</w:t>
      </w:r>
    </w:p>
  </w:footnote>
  <w:footnote w:id="4">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C(2019) 5960 final. </w:t>
      </w:r>
    </w:p>
  </w:footnote>
  <w:footnote w:id="5">
    <w:p>
      <w:pPr>
        <w:pStyle w:val="NormalWeb"/>
        <w:spacing w:before="0" w:beforeAutospacing="0" w:after="75" w:afterAutospacing="0"/>
        <w:jc w:val="both"/>
        <w:rPr>
          <w:rFonts w:ascii="&amp;quot" w:hAnsi="&amp;quot"/>
          <w:color w:val="444444"/>
          <w:sz w:val="21"/>
          <w:szCs w:val="21"/>
        </w:rPr>
      </w:pPr>
      <w:r>
        <w:rPr>
          <w:rStyle w:val="FootnoteReference"/>
        </w:rPr>
        <w:footnoteRef/>
      </w:r>
      <w:r>
        <w:t xml:space="preserve"> </w:t>
      </w:r>
      <w:r>
        <w:rPr>
          <w:rFonts w:ascii="&amp;quot" w:hAnsi="&amp;quot"/>
          <w:color w:val="444444"/>
          <w:sz w:val="21"/>
          <w:szCs w:val="21"/>
        </w:rPr>
        <w:t>Komisijas Deleģētā regula (ES) 2019/1745 (2019. gada 13. augusts), ar ko Eiropas Parlamenta un Padomes Direktīvu 2014/94/ES papildina un groza attiecībā uz L kategorijas mehānisko transportlīdzekļu uzlādes punktiem, krasta elektropadevi iekšzemes ūdensceļu kuģiem, ūdeņraža padevi autotransportam un dabasgāzes padevi autotransportam un ūdens transportam un ar ko atceļ Komisijas Deleģēto regulu (ES) 2018/674 (</w:t>
      </w:r>
      <w:r>
        <w:rPr>
          <w:rStyle w:val="Emphasis"/>
          <w:rFonts w:ascii="&amp;quot" w:hAnsi="&amp;quot"/>
          <w:i w:val="0"/>
          <w:color w:val="444444"/>
          <w:sz w:val="21"/>
          <w:szCs w:val="21"/>
        </w:rPr>
        <w:t>OV L 268, 22.10.2019., 1. lpp.</w:t>
      </w:r>
      <w:r>
        <w:rPr>
          <w:rFonts w:ascii="&amp;quot" w:hAnsi="&amp;quot"/>
          <w:color w:val="444444"/>
          <w:sz w:val="21"/>
          <w:szCs w:val="21"/>
        </w:rPr>
        <w:t>).</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805BF"/>
    <w:multiLevelType w:val="hybridMultilevel"/>
    <w:tmpl w:val="03C4EEA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797311"/>
    <w:multiLevelType w:val="hybridMultilevel"/>
    <w:tmpl w:val="30DA8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6C5914"/>
    <w:multiLevelType w:val="hybridMultilevel"/>
    <w:tmpl w:val="4E20A9E4"/>
    <w:lvl w:ilvl="0" w:tplc="351248FC">
      <w:start w:val="1"/>
      <w:numFmt w:val="bullet"/>
      <w:lvlText w:val=""/>
      <w:lvlJc w:val="left"/>
      <w:pPr>
        <w:ind w:left="1202" w:hanging="360"/>
      </w:pPr>
      <w:rPr>
        <w:rFonts w:ascii="Symbol" w:hAnsi="Symbol" w:hint="default"/>
        <w:spacing w:val="12"/>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F25E70"/>
    <w:multiLevelType w:val="hybridMultilevel"/>
    <w:tmpl w:val="7472AE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0310F77"/>
    <w:multiLevelType w:val="hybridMultilevel"/>
    <w:tmpl w:val="09B4C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48A65720"/>
    <w:multiLevelType w:val="hybridMultilevel"/>
    <w:tmpl w:val="54F6CA2E"/>
    <w:lvl w:ilvl="0" w:tplc="351248FC">
      <w:start w:val="1"/>
      <w:numFmt w:val="bullet"/>
      <w:lvlText w:val=""/>
      <w:lvlJc w:val="left"/>
      <w:pPr>
        <w:ind w:left="1202" w:hanging="360"/>
      </w:pPr>
      <w:rPr>
        <w:rFonts w:ascii="Symbol" w:hAnsi="Symbol" w:hint="default"/>
        <w:spacing w:val="12"/>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nsid w:val="4E832C3F"/>
    <w:multiLevelType w:val="hybridMultilevel"/>
    <w:tmpl w:val="5AD4E508"/>
    <w:lvl w:ilvl="0" w:tplc="BA6093B6">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nsid w:val="58C36CE8"/>
    <w:multiLevelType w:val="hybridMultilevel"/>
    <w:tmpl w:val="B81C9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nsid w:val="632711C8"/>
    <w:multiLevelType w:val="hybridMultilevel"/>
    <w:tmpl w:val="A7D075A4"/>
    <w:lvl w:ilvl="0" w:tplc="08090017">
      <w:start w:val="1"/>
      <w:numFmt w:val="lowerLetter"/>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2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5"/>
  </w:num>
  <w:num w:numId="4">
    <w:abstractNumId w:val="18"/>
  </w:num>
  <w:num w:numId="5">
    <w:abstractNumId w:val="10"/>
  </w:num>
  <w:num w:numId="6">
    <w:abstractNumId w:val="17"/>
  </w:num>
  <w:num w:numId="7">
    <w:abstractNumId w:val="27"/>
  </w:num>
  <w:num w:numId="8">
    <w:abstractNumId w:val="29"/>
  </w:num>
  <w:num w:numId="9">
    <w:abstractNumId w:val="15"/>
  </w:num>
  <w:num w:numId="10">
    <w:abstractNumId w:val="26"/>
  </w:num>
  <w:num w:numId="11">
    <w:abstractNumId w:val="25"/>
  </w:num>
  <w:num w:numId="12">
    <w:abstractNumId w:val="19"/>
  </w:num>
  <w:num w:numId="13">
    <w:abstractNumId w:val="22"/>
  </w:num>
  <w:num w:numId="14">
    <w:abstractNumId w:val="8"/>
  </w:num>
  <w:num w:numId="15">
    <w:abstractNumId w:val="16"/>
  </w:num>
  <w:num w:numId="16">
    <w:abstractNumId w:val="4"/>
  </w:num>
  <w:num w:numId="17">
    <w:abstractNumId w:val="11"/>
  </w:num>
  <w:num w:numId="18">
    <w:abstractNumId w:val="30"/>
  </w:num>
  <w:num w:numId="19">
    <w:abstractNumId w:val="13"/>
  </w:num>
  <w:num w:numId="20">
    <w:abstractNumId w:val="32"/>
  </w:num>
  <w:num w:numId="21">
    <w:abstractNumId w:val="28"/>
  </w:num>
  <w:num w:numId="22">
    <w:abstractNumId w:val="20"/>
  </w:num>
  <w:num w:numId="23">
    <w:abstractNumId w:val="7"/>
  </w:num>
  <w:num w:numId="24">
    <w:abstractNumId w:val="9"/>
  </w:num>
  <w:num w:numId="25">
    <w:abstractNumId w:val="24"/>
    <w:lvlOverride w:ilvl="0">
      <w:startOverride w:val="1"/>
    </w:lvlOverride>
  </w:num>
  <w:num w:numId="26">
    <w:abstractNumId w:val="12"/>
  </w:num>
  <w:num w:numId="27">
    <w:abstractNumId w:val="3"/>
  </w:num>
  <w:num w:numId="28">
    <w:abstractNumId w:val="21"/>
  </w:num>
  <w:num w:numId="29">
    <w:abstractNumId w:val="2"/>
  </w:num>
  <w:num w:numId="30">
    <w:abstractNumId w:val="14"/>
  </w:num>
  <w:num w:numId="31">
    <w:abstractNumId w:val="6"/>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17C8D12-B172-499F-905B-4757EFDE529C"/>
    <w:docVar w:name="LW_COVERPAGE_TYPE" w:val="1"/>
    <w:docVar w:name="LW_CROSSREFERENCE" w:val="&lt;UNUSED&gt;"/>
    <w:docVar w:name="LW_DocType" w:val="REP"/>
    <w:docVar w:name="LW_EMISSION" w:val="19.11.2019"/>
    <w:docVar w:name="LW_EMISSION_ISODATE" w:val="2019-11-19"/>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ar to, k\u257? tiek \u299?stenotas dele\u291?\u275?to aktu pie\u326?em\u353?anas pilnvaras, kas Komisijai pie\u353?\u311?irtas ar Eiropas Parlamenta un Padomes 2014. gada 22. oktobra Direkt\u299?vu 2014/94/ES par alternat\u299?vo degvielu infrastrukt\u363?ras ievie\u353?anu&lt;/FMT&gt;"/>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rPr>
      <w:rFonts w:ascii="Times New Roman" w:hAnsi="Times New Roman" w:cs="Times New Roman"/>
      <w:sz w:val="24"/>
      <w:szCs w:val="24"/>
    </w:r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pPr>
  </w:style>
  <w:style w:type="paragraph" w:customStyle="1" w:styleId="Enclosures">
    <w:name w:val="Enclosures"/>
    <w:basedOn w:val="Normal"/>
    <w:pPr>
      <w:keepNext/>
      <w:keepLines/>
      <w:tabs>
        <w:tab w:val="left" w:pos="5642"/>
      </w:tabs>
      <w:spacing w:before="480" w:after="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numPr>
        <w:numId w:val="0"/>
      </w:numPr>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ind w:left="952" w:hanging="476"/>
    </w:pPr>
  </w:style>
  <w:style w:type="paragraph" w:customStyle="1" w:styleId="LegalNumPar3">
    <w:name w:val="LegalNumPar3"/>
    <w:basedOn w:val="Normal"/>
    <w:pPr>
      <w:numPr>
        <w:ilvl w:val="2"/>
        <w:numId w:val="19"/>
      </w:numPr>
      <w:spacing w:line="360" w:lineRule="auto"/>
    </w:pPr>
  </w:style>
  <w:style w:type="character" w:styleId="PageNumber">
    <w:name w:val="page number"/>
    <w:basedOn w:val="DefaultParagraphFont"/>
    <w:uiPriority w:val="99"/>
    <w:semiHidden/>
    <w:unhideWhenUsed/>
    <w:rPr>
      <w:rFonts w:ascii="Times New Roman" w:hAnsi="Times New Roman" w:cs="Times New Roman"/>
    </w:rPr>
  </w:style>
  <w:style w:type="character" w:customStyle="1" w:styleId="FooterChar">
    <w:name w:val="Footer Char"/>
    <w:basedOn w:val="DefaultParagraphFont"/>
    <w:link w:val="Footer"/>
    <w:uiPriority w:val="99"/>
    <w:locked/>
    <w:rPr>
      <w:sz w:val="16"/>
      <w:lang w:eastAsia="en-US"/>
    </w:rPr>
  </w:style>
  <w:style w:type="character" w:customStyle="1" w:styleId="HeaderChar">
    <w:name w:val="Header Char"/>
    <w:basedOn w:val="DefaultParagraphFont"/>
    <w:link w:val="Header"/>
    <w:uiPriority w:val="99"/>
    <w:locked/>
    <w:rPr>
      <w:sz w:val="24"/>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Considrant">
    <w:name w:val="Considérant"/>
    <w:basedOn w:val="Normal"/>
    <w:pPr>
      <w:numPr>
        <w:numId w:val="20"/>
      </w:numPr>
      <w:spacing w:before="120" w:after="120" w:line="240" w:lineRule="auto"/>
      <w:jc w:val="both"/>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eastAsiaTheme="minorHAnsi"/>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eastAsiaTheme="minorHAnsi"/>
      <w:b/>
      <w:sz w:val="32"/>
      <w:szCs w:val="22"/>
      <w:lang w:eastAsia="en-US"/>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Cs w:val="22"/>
      <w:lang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200" w:line="276" w:lineRule="auto"/>
    </w:pPr>
    <w:rPr>
      <w:rFonts w:eastAsia="Calibri"/>
      <w:sz w:val="24"/>
      <w:szCs w:val="22"/>
      <w:lang w:eastAsia="en-US"/>
    </w:rPr>
  </w:style>
  <w:style w:type="paragraph" w:customStyle="1" w:styleId="Tiret0">
    <w:name w:val="Tiret 0"/>
    <w:basedOn w:val="Normal"/>
    <w:pPr>
      <w:numPr>
        <w:numId w:val="25"/>
      </w:numPr>
      <w:spacing w:before="120" w:after="120" w:line="240" w:lineRule="auto"/>
      <w:jc w:val="both"/>
    </w:pPr>
    <w:rPr>
      <w:rFonts w:ascii="Times New Roman" w:eastAsia="Calibri" w:hAnsi="Times New Roman" w:cs="Times New Roman"/>
      <w:sz w:val="24"/>
    </w:rPr>
  </w:style>
  <w:style w:type="paragraph" w:customStyle="1" w:styleId="Tiret3">
    <w:name w:val="Tiret 3"/>
    <w:basedOn w:val="Normal"/>
    <w:pPr>
      <w:numPr>
        <w:numId w:val="26"/>
      </w:numPr>
      <w:spacing w:before="120" w:after="120" w:line="240" w:lineRule="auto"/>
      <w:jc w:val="both"/>
    </w:pPr>
    <w:rPr>
      <w:rFonts w:ascii="Times New Roman" w:eastAsia="Calibri" w:hAnsi="Times New Roman" w:cs="Times New Roman"/>
      <w:sz w:val="24"/>
    </w:rPr>
  </w:style>
  <w:style w:type="character" w:styleId="EndnoteReference">
    <w:name w:val="endnote reference"/>
    <w:basedOn w:val="DefaultParagraphFont"/>
    <w:uiPriority w:val="99"/>
    <w:semiHidden/>
    <w:unhideWhenUsed/>
    <w:rPr>
      <w:vertAlign w:val="superscript"/>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rPr>
      <w:rFonts w:ascii="Times New Roman" w:hAnsi="Times New Roman" w:cs="Times New Roman"/>
      <w:sz w:val="24"/>
      <w:szCs w:val="24"/>
    </w:r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pPr>
  </w:style>
  <w:style w:type="paragraph" w:customStyle="1" w:styleId="Enclosures">
    <w:name w:val="Enclosures"/>
    <w:basedOn w:val="Normal"/>
    <w:pPr>
      <w:keepNext/>
      <w:keepLines/>
      <w:tabs>
        <w:tab w:val="left" w:pos="5642"/>
      </w:tabs>
      <w:spacing w:before="480" w:after="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numPr>
        <w:numId w:val="0"/>
      </w:numPr>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ind w:left="952" w:hanging="476"/>
    </w:pPr>
  </w:style>
  <w:style w:type="paragraph" w:customStyle="1" w:styleId="LegalNumPar3">
    <w:name w:val="LegalNumPar3"/>
    <w:basedOn w:val="Normal"/>
    <w:pPr>
      <w:numPr>
        <w:ilvl w:val="2"/>
        <w:numId w:val="19"/>
      </w:numPr>
      <w:spacing w:line="360" w:lineRule="auto"/>
    </w:pPr>
  </w:style>
  <w:style w:type="character" w:styleId="PageNumber">
    <w:name w:val="page number"/>
    <w:basedOn w:val="DefaultParagraphFont"/>
    <w:uiPriority w:val="99"/>
    <w:semiHidden/>
    <w:unhideWhenUsed/>
    <w:rPr>
      <w:rFonts w:ascii="Times New Roman" w:hAnsi="Times New Roman" w:cs="Times New Roman"/>
    </w:rPr>
  </w:style>
  <w:style w:type="character" w:customStyle="1" w:styleId="FooterChar">
    <w:name w:val="Footer Char"/>
    <w:basedOn w:val="DefaultParagraphFont"/>
    <w:link w:val="Footer"/>
    <w:uiPriority w:val="99"/>
    <w:locked/>
    <w:rPr>
      <w:sz w:val="16"/>
      <w:lang w:eastAsia="en-US"/>
    </w:rPr>
  </w:style>
  <w:style w:type="character" w:customStyle="1" w:styleId="HeaderChar">
    <w:name w:val="Header Char"/>
    <w:basedOn w:val="DefaultParagraphFont"/>
    <w:link w:val="Header"/>
    <w:uiPriority w:val="99"/>
    <w:locked/>
    <w:rPr>
      <w:sz w:val="24"/>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Considrant">
    <w:name w:val="Considérant"/>
    <w:basedOn w:val="Normal"/>
    <w:pPr>
      <w:numPr>
        <w:numId w:val="20"/>
      </w:numPr>
      <w:spacing w:before="120" w:after="120" w:line="240" w:lineRule="auto"/>
      <w:jc w:val="both"/>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eastAsiaTheme="minorHAnsi"/>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eastAsiaTheme="minorHAnsi"/>
      <w:b/>
      <w:sz w:val="32"/>
      <w:szCs w:val="22"/>
      <w:lang w:eastAsia="en-US"/>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Cs w:val="22"/>
      <w:lang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200" w:line="276" w:lineRule="auto"/>
    </w:pPr>
    <w:rPr>
      <w:rFonts w:eastAsia="Calibri"/>
      <w:sz w:val="24"/>
      <w:szCs w:val="22"/>
      <w:lang w:eastAsia="en-US"/>
    </w:rPr>
  </w:style>
  <w:style w:type="paragraph" w:customStyle="1" w:styleId="Tiret0">
    <w:name w:val="Tiret 0"/>
    <w:basedOn w:val="Normal"/>
    <w:pPr>
      <w:numPr>
        <w:numId w:val="25"/>
      </w:numPr>
      <w:spacing w:before="120" w:after="120" w:line="240" w:lineRule="auto"/>
      <w:jc w:val="both"/>
    </w:pPr>
    <w:rPr>
      <w:rFonts w:ascii="Times New Roman" w:eastAsia="Calibri" w:hAnsi="Times New Roman" w:cs="Times New Roman"/>
      <w:sz w:val="24"/>
    </w:rPr>
  </w:style>
  <w:style w:type="paragraph" w:customStyle="1" w:styleId="Tiret3">
    <w:name w:val="Tiret 3"/>
    <w:basedOn w:val="Normal"/>
    <w:pPr>
      <w:numPr>
        <w:numId w:val="26"/>
      </w:numPr>
      <w:spacing w:before="120" w:after="120" w:line="240" w:lineRule="auto"/>
      <w:jc w:val="both"/>
    </w:pPr>
    <w:rPr>
      <w:rFonts w:ascii="Times New Roman" w:eastAsia="Calibri" w:hAnsi="Times New Roman" w:cs="Times New Roman"/>
      <w:sz w:val="24"/>
    </w:rPr>
  </w:style>
  <w:style w:type="character" w:styleId="EndnoteReference">
    <w:name w:val="endnote reference"/>
    <w:basedOn w:val="DefaultParagraphFont"/>
    <w:uiPriority w:val="99"/>
    <w:semiHidden/>
    <w:unhideWhenUsed/>
    <w:rPr>
      <w:vertAlign w:val="superscript"/>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8318">
      <w:bodyDiv w:val="1"/>
      <w:marLeft w:val="0"/>
      <w:marRight w:val="0"/>
      <w:marTop w:val="0"/>
      <w:marBottom w:val="0"/>
      <w:divBdr>
        <w:top w:val="none" w:sz="0" w:space="0" w:color="auto"/>
        <w:left w:val="none" w:sz="0" w:space="0" w:color="auto"/>
        <w:bottom w:val="none" w:sz="0" w:space="0" w:color="auto"/>
        <w:right w:val="none" w:sz="0" w:space="0" w:color="auto"/>
      </w:divBdr>
    </w:div>
    <w:div w:id="616722059">
      <w:bodyDiv w:val="1"/>
      <w:marLeft w:val="0"/>
      <w:marRight w:val="0"/>
      <w:marTop w:val="0"/>
      <w:marBottom w:val="0"/>
      <w:divBdr>
        <w:top w:val="none" w:sz="0" w:space="0" w:color="auto"/>
        <w:left w:val="none" w:sz="0" w:space="0" w:color="auto"/>
        <w:bottom w:val="none" w:sz="0" w:space="0" w:color="auto"/>
        <w:right w:val="none" w:sz="0" w:space="0" w:color="auto"/>
      </w:divBdr>
    </w:div>
    <w:div w:id="1019237562">
      <w:bodyDiv w:val="1"/>
      <w:marLeft w:val="0"/>
      <w:marRight w:val="0"/>
      <w:marTop w:val="0"/>
      <w:marBottom w:val="0"/>
      <w:divBdr>
        <w:top w:val="none" w:sz="0" w:space="0" w:color="auto"/>
        <w:left w:val="none" w:sz="0" w:space="0" w:color="auto"/>
        <w:bottom w:val="none" w:sz="0" w:space="0" w:color="auto"/>
        <w:right w:val="none" w:sz="0" w:space="0" w:color="auto"/>
      </w:divBdr>
    </w:div>
    <w:div w:id="1134366517">
      <w:bodyDiv w:val="1"/>
      <w:marLeft w:val="0"/>
      <w:marRight w:val="0"/>
      <w:marTop w:val="0"/>
      <w:marBottom w:val="0"/>
      <w:divBdr>
        <w:top w:val="none" w:sz="0" w:space="0" w:color="auto"/>
        <w:left w:val="none" w:sz="0" w:space="0" w:color="auto"/>
        <w:bottom w:val="none" w:sz="0" w:space="0" w:color="auto"/>
        <w:right w:val="none" w:sz="0" w:space="0" w:color="auto"/>
      </w:divBdr>
    </w:div>
    <w:div w:id="1134568862">
      <w:bodyDiv w:val="1"/>
      <w:marLeft w:val="0"/>
      <w:marRight w:val="0"/>
      <w:marTop w:val="0"/>
      <w:marBottom w:val="0"/>
      <w:divBdr>
        <w:top w:val="none" w:sz="0" w:space="0" w:color="auto"/>
        <w:left w:val="none" w:sz="0" w:space="0" w:color="auto"/>
        <w:bottom w:val="none" w:sz="0" w:space="0" w:color="auto"/>
        <w:right w:val="none" w:sz="0" w:space="0" w:color="auto"/>
      </w:divBdr>
    </w:div>
    <w:div w:id="1399672968">
      <w:bodyDiv w:val="1"/>
      <w:marLeft w:val="0"/>
      <w:marRight w:val="0"/>
      <w:marTop w:val="0"/>
      <w:marBottom w:val="0"/>
      <w:divBdr>
        <w:top w:val="none" w:sz="0" w:space="0" w:color="auto"/>
        <w:left w:val="none" w:sz="0" w:space="0" w:color="auto"/>
        <w:bottom w:val="none" w:sz="0" w:space="0" w:color="auto"/>
        <w:right w:val="none" w:sz="0" w:space="0" w:color="auto"/>
      </w:divBdr>
    </w:div>
    <w:div w:id="1885754106">
      <w:bodyDiv w:val="1"/>
      <w:marLeft w:val="0"/>
      <w:marRight w:val="0"/>
      <w:marTop w:val="0"/>
      <w:marBottom w:val="0"/>
      <w:divBdr>
        <w:top w:val="none" w:sz="0" w:space="0" w:color="auto"/>
        <w:left w:val="none" w:sz="0" w:space="0" w:color="auto"/>
        <w:bottom w:val="none" w:sz="0" w:space="0" w:color="auto"/>
        <w:right w:val="none" w:sz="0" w:space="0" w:color="auto"/>
      </w:divBdr>
      <w:divsChild>
        <w:div w:id="867526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uriserv:OJ.L_.2018.114.01.0001.01.L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
  <Created>
    <Version>4.6</Version>
    <Date>2019-06-07T13:06:23</Date>
    <Language>EN</Language>
  </Created>
  <Edited>
    <Version>10.0.40183.0</Version>
    <Date>2019-11-15T09:21:06</Date>
  </Edited>
  <DocumentModel>
    <Id>6cbda13a-4db2-46c6-876a-ef72275827ef</Id>
    <Name>Report</Name>
  </DocumentModel>
  <DocumentDate/>
  <DocumentVersion/>
  <CompatibilityMode>Eurolook4X</CompatibilityMode>
  <Address/>
</EurolookProperties>
</file>

<file path=customXml/item3.xml><?xml version="1.0" encoding="utf-8"?>
<Author Role="Creator">
  <Id>751c4b5e-1cf5-4f61-b2e7-6cc821cbb6fe</Id>
  <Names>
    <Latin>
      <FirstName>Herald</FirstName>
      <LastName>RUIJTERS</LastName>
    </Latin>
    <Greek>
      <FirstName/>
      <LastName/>
    </Greek>
    <Cyrillic>
      <FirstName/>
      <LastName/>
    </Cyrillic>
    <DocumentScript>
      <FirstName>Herald</FirstName>
      <LastName>RUIJTERS</LastName>
      <FullName>Herald RUIJTERS</FullName>
    </DocumentScript>
  </Names>
  <Initials>HR</Initials>
  <Gender>m</Gender>
  <Email>Herald.RUIJTERS@ec.europa.eu</Email>
  <Service>MOVE.DDG1.B</Service>
  <Function ShowInSignature="false">Director</Function>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14d4d6da-d69c-4940-972d-a6e5b743c263</Id>
    <LogicalLevel>2</LogicalLevel>
    <Name>MOVE.DDG1.B</Name>
    <HeadLine1>Directorate B - Investment, Innovative &amp; Sustainable Transport</HeadLine1>
    <HeadLine2/>
    <PrimaryAddressId>f03b5801-04c9-4931-aa17-c6d6c70bc579</PrimaryAddressId>
    <SecondaryAddressId/>
    <WebAddress/>
    <InheritedWebAddress>WebAddress</InheritedWebAddress>
    <ShowInHeader>true</ShowInHeader>
  </OrgaEntity2>
  <OrgaEntity3>
    <Id>f6e386b3-212f-490a-a5ed-9eb35f3ff909</Id>
    <LogicalLevel>3</LogicalLevel>
    <Name>MOVE.DDG1.B</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+32 229 68372</Phone>
    <Office>DM28 06/109</Office>
  </MainWorkplace>
  <Workplaces>
    <Workplace IsMain="false">
      <AddressId>1264fb81-f6bb-475e-9f9d-a937d3be6ee2</AddressId>
      <Fax/>
      <Phone/>
      <Office/>
    </Workplace>
    <Workplace IsMain="true">
      <AddressId>f03b5801-04c9-4931-aa17-c6d6c70bc579</AddressId>
      <Fax/>
      <Phone>+32 229 68372</Phone>
      <Office>DM28 06/109</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48A5-D475-4A7B-B5B1-D79BC785FA0C}">
  <ds:schemaRefs/>
</ds:datastoreItem>
</file>

<file path=customXml/itemProps2.xml><?xml version="1.0" encoding="utf-8"?>
<ds:datastoreItem xmlns:ds="http://schemas.openxmlformats.org/officeDocument/2006/customXml" ds:itemID="{2761420F-9BCB-4B8D-8367-718BBE15CE73}">
  <ds:schemaRefs/>
</ds:datastoreItem>
</file>

<file path=customXml/itemProps3.xml><?xml version="1.0" encoding="utf-8"?>
<ds:datastoreItem xmlns:ds="http://schemas.openxmlformats.org/officeDocument/2006/customXml" ds:itemID="{AB0ECA16-6294-4FDC-AAFB-1966959CF558}">
  <ds:schemaRefs/>
</ds:datastoreItem>
</file>

<file path=customXml/itemProps4.xml><?xml version="1.0" encoding="utf-8"?>
<ds:datastoreItem xmlns:ds="http://schemas.openxmlformats.org/officeDocument/2006/customXml" ds:itemID="{DDE7A4F4-050A-4547-9F1C-D13A92A3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1689</Words>
  <Characters>12084</Characters>
  <Application>Microsoft Office Word</Application>
  <DocSecurity>0</DocSecurity>
  <PresentationFormat>Microsoft Word 14.0</PresentationFormat>
  <Lines>219</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19</cp:revision>
  <cp:lastPrinted>2019-09-30T13:19:00Z</cp:lastPrinted>
  <dcterms:created xsi:type="dcterms:W3CDTF">2019-11-14T12:15:00Z</dcterms:created>
  <dcterms:modified xsi:type="dcterms:W3CDTF">2019-11-19T09:47:00Z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_LW_INVALIDATED_TemplateVersion">
    <vt:lpwstr>4.6.5.1000</vt:lpwstr>
  </property>
  <property fmtid="{D5CDD505-2E9C-101B-9397-08002B2CF9AE}" pid="10" name="_LW_INVALIDATED_EurolookVersion">
    <vt:lpwstr>4.6</vt:lpwstr>
  </property>
  <property fmtid="{D5CDD505-2E9C-101B-9397-08002B2CF9AE}" pid="11" name="_LW_INVALIDATED_DocID_EU">
    <vt:lpwstr> </vt:lpwstr>
  </property>
  <property fmtid="{D5CDD505-2E9C-101B-9397-08002B2CF9AE}" pid="12" name="_LW_INVALIDATED_ELDocType">
    <vt:lpwstr>rep.dot</vt:lpwstr>
  </property>
  <property fmtid="{D5CDD505-2E9C-101B-9397-08002B2CF9AE}" pid="13" name="_LW_INVALIDATED_Formatting">
    <vt:lpwstr>4.1</vt:lpwstr>
  </property>
  <property fmtid="{D5CDD505-2E9C-101B-9397-08002B2CF9AE}" pid="14" name="_LW_INVALIDATED_EL_Author">
    <vt:lpwstr>Herald RUIJTERS</vt:lpwstr>
  </property>
  <property fmtid="{D5CDD505-2E9C-101B-9397-08002B2CF9AE}" pid="15" name="_LW_INVALIDATED_Type">
    <vt:lpwstr>Eurolook Report</vt:lpwstr>
  </property>
  <property fmtid="{D5CDD505-2E9C-101B-9397-08002B2CF9AE}" pid="16" name="_LW_INVALIDATED_EL_Language">
    <vt:lpwstr>EN</vt:lpwstr>
  </property>
  <property fmtid="{D5CDD505-2E9C-101B-9397-08002B2CF9AE}" pid="17" name="CPTemplateID">
    <vt:lpwstr>CP-006</vt:lpwstr>
  </property>
</Properties>
</file>