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0BA03CB9-D7A0-4E08-AF9F-EBB0DB16F4DE" style="width:450.75pt;height:293.25pt">
            <v:imagedata r:id="rId9" o:title=""/>
          </v:shape>
        </w:pict>
      </w:r>
    </w:p>
    <w:bookmarkEnd w:id="0"/>
    <w:p>
      <w:pPr>
        <w:rPr>
          <w:rFonts w:ascii="Times New Roman" w:hAnsi="Times New Roman"/>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bookmarkStart w:id="1" w:name="_GoBack" w:displacedByCustomXml="next"/>
    <w:bookmarkEnd w:id="1" w:displacedByCustomXml="next"/>
    <w:sdt>
      <w:sdtPr>
        <w:rPr>
          <w:rFonts w:ascii="Times New Roman" w:eastAsia="Calibri" w:hAnsi="Times New Roman"/>
          <w:b w:val="0"/>
          <w:bCs w:val="0"/>
          <w:noProof/>
          <w:color w:val="auto"/>
          <w:sz w:val="22"/>
          <w:szCs w:val="22"/>
          <w:lang w:eastAsia="en-US"/>
        </w:rPr>
        <w:id w:val="-1133089857"/>
        <w:docPartObj>
          <w:docPartGallery w:val="Table of Contents"/>
          <w:docPartUnique/>
        </w:docPartObj>
      </w:sdtPr>
      <w:sdtEndPr>
        <w:rPr>
          <w:highlight w:val="yellow"/>
        </w:rPr>
      </w:sdtEndPr>
      <w:sdtContent>
        <w:p>
          <w:pPr>
            <w:pStyle w:val="TOCHeading"/>
            <w:rPr>
              <w:rFonts w:ascii="Times New Roman" w:hAnsi="Times New Roman"/>
              <w:noProof/>
              <w:color w:val="auto"/>
              <w:sz w:val="24"/>
              <w:szCs w:val="24"/>
            </w:rPr>
          </w:pPr>
          <w:r>
            <w:rPr>
              <w:rFonts w:ascii="Times New Roman" w:hAnsi="Times New Roman"/>
              <w:noProof/>
              <w:color w:val="auto"/>
              <w:sz w:val="24"/>
              <w:szCs w:val="24"/>
            </w:rPr>
            <w:t>Satura rādītājs</w:t>
          </w:r>
        </w:p>
        <w:p>
          <w:pPr>
            <w:pStyle w:val="TOC1"/>
            <w:rPr>
              <w:rFonts w:ascii="Times New Roman" w:eastAsiaTheme="minorEastAsia" w:hAnsi="Times New Roman"/>
              <w:noProof/>
              <w:sz w:val="24"/>
              <w:szCs w:val="24"/>
              <w:lang w:eastAsia="lv-LV"/>
            </w:rPr>
          </w:pPr>
          <w:r>
            <w:rPr>
              <w:rFonts w:ascii="Times New Roman" w:hAnsi="Times New Roman"/>
              <w:b/>
              <w:bCs/>
              <w:noProof/>
              <w:sz w:val="24"/>
              <w:szCs w:val="24"/>
            </w:rPr>
            <w:fldChar w:fldCharType="begin"/>
          </w:r>
          <w:r>
            <w:rPr>
              <w:rFonts w:ascii="Times New Roman" w:hAnsi="Times New Roman"/>
              <w:b/>
              <w:bCs/>
              <w:noProof/>
              <w:sz w:val="24"/>
              <w:szCs w:val="24"/>
            </w:rPr>
            <w:instrText xml:space="preserve"> TOC \o "1-5" \h \z \u </w:instrText>
          </w:r>
          <w:r>
            <w:rPr>
              <w:rFonts w:ascii="Times New Roman" w:hAnsi="Times New Roman"/>
              <w:b/>
              <w:bCs/>
              <w:noProof/>
              <w:sz w:val="24"/>
              <w:szCs w:val="24"/>
            </w:rPr>
            <w:fldChar w:fldCharType="separate"/>
          </w:r>
          <w:hyperlink w:anchor="_Toc24103519" w:history="1">
            <w:r>
              <w:rPr>
                <w:rStyle w:val="Hyperlink"/>
                <w:rFonts w:ascii="Times New Roman" w:hAnsi="Times New Roman"/>
                <w:noProof/>
                <w:sz w:val="24"/>
                <w:szCs w:val="24"/>
              </w:rPr>
              <w:t>Akronīmu un saīsinājumu saraksts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_Toc24103519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2</w:t>
            </w:r>
            <w:r>
              <w:rPr>
                <w:rFonts w:ascii="Times New Roman" w:hAnsi="Times New Roman"/>
                <w:noProof/>
                <w:webHidden/>
                <w:sz w:val="24"/>
                <w:szCs w:val="24"/>
              </w:rPr>
              <w:fldChar w:fldCharType="end"/>
            </w:r>
          </w:hyperlink>
        </w:p>
        <w:p>
          <w:pPr>
            <w:pStyle w:val="TOC1"/>
            <w:rPr>
              <w:rFonts w:ascii="Times New Roman" w:eastAsiaTheme="minorEastAsia" w:hAnsi="Times New Roman"/>
              <w:noProof/>
              <w:sz w:val="24"/>
              <w:szCs w:val="24"/>
              <w:lang w:eastAsia="lv-LV"/>
            </w:rPr>
          </w:pPr>
          <w:hyperlink w:anchor="_Toc24103520" w:history="1">
            <w:r>
              <w:rPr>
                <w:rStyle w:val="Hyperlink"/>
                <w:rFonts w:ascii="Times New Roman" w:hAnsi="Times New Roman"/>
                <w:noProof/>
                <w:sz w:val="24"/>
                <w:szCs w:val="24"/>
              </w:rPr>
              <w:t>KOPSAVILKUMS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_Toc24103520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4</w:t>
            </w:r>
            <w:r>
              <w:rPr>
                <w:rFonts w:ascii="Times New Roman" w:hAnsi="Times New Roman"/>
                <w:noProof/>
                <w:webHidden/>
                <w:sz w:val="24"/>
                <w:szCs w:val="24"/>
              </w:rPr>
              <w:fldChar w:fldCharType="end"/>
            </w:r>
          </w:hyperlink>
        </w:p>
        <w:p>
          <w:pPr>
            <w:pStyle w:val="TOC1"/>
            <w:rPr>
              <w:rFonts w:ascii="Times New Roman" w:eastAsiaTheme="minorEastAsia" w:hAnsi="Times New Roman"/>
              <w:noProof/>
              <w:sz w:val="24"/>
              <w:szCs w:val="24"/>
              <w:lang w:eastAsia="lv-LV"/>
            </w:rPr>
          </w:pPr>
          <w:hyperlink w:anchor="_Toc24103521" w:history="1">
            <w:r>
              <w:rPr>
                <w:rStyle w:val="Hyperlink"/>
                <w:rFonts w:ascii="Times New Roman" w:hAnsi="Times New Roman"/>
                <w:noProof/>
                <w:sz w:val="24"/>
                <w:szCs w:val="24"/>
              </w:rPr>
              <w:t>1. IEVADS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_Toc24103521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5</w:t>
            </w:r>
            <w:r>
              <w:rPr>
                <w:rFonts w:ascii="Times New Roman" w:hAnsi="Times New Roman"/>
                <w:noProof/>
                <w:webHidden/>
                <w:sz w:val="24"/>
                <w:szCs w:val="24"/>
              </w:rPr>
              <w:fldChar w:fldCharType="end"/>
            </w:r>
          </w:hyperlink>
        </w:p>
        <w:p>
          <w:pPr>
            <w:pStyle w:val="TOC1"/>
            <w:rPr>
              <w:rFonts w:ascii="Times New Roman" w:eastAsiaTheme="minorEastAsia" w:hAnsi="Times New Roman"/>
              <w:noProof/>
              <w:sz w:val="24"/>
              <w:szCs w:val="24"/>
              <w:lang w:eastAsia="lv-LV"/>
            </w:rPr>
          </w:pPr>
          <w:hyperlink w:anchor="_Toc24103522" w:history="1">
            <w:r>
              <w:rPr>
                <w:rStyle w:val="Hyperlink"/>
                <w:rFonts w:ascii="Times New Roman" w:hAnsi="Times New Roman"/>
                <w:noProof/>
                <w:sz w:val="24"/>
                <w:szCs w:val="24"/>
              </w:rPr>
              <w:t>2.1. Darbību, iekārtu un gaisa kuģu operatoru iekļaušana</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_Toc24103522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7</w:t>
            </w:r>
            <w:r>
              <w:rPr>
                <w:rFonts w:ascii="Times New Roman" w:hAnsi="Times New Roman"/>
                <w:noProof/>
                <w:webHidden/>
                <w:sz w:val="24"/>
                <w:szCs w:val="24"/>
              </w:rPr>
              <w:fldChar w:fldCharType="end"/>
            </w:r>
          </w:hyperlink>
        </w:p>
        <w:p>
          <w:pPr>
            <w:pStyle w:val="TOC1"/>
            <w:rPr>
              <w:rFonts w:ascii="Times New Roman" w:eastAsiaTheme="minorEastAsia" w:hAnsi="Times New Roman"/>
              <w:noProof/>
              <w:sz w:val="24"/>
              <w:szCs w:val="24"/>
              <w:lang w:eastAsia="lv-LV"/>
            </w:rPr>
          </w:pPr>
          <w:hyperlink w:anchor="_Toc24103523" w:history="1">
            <w:r>
              <w:rPr>
                <w:rStyle w:val="Hyperlink"/>
                <w:rFonts w:ascii="Times New Roman" w:hAnsi="Times New Roman"/>
                <w:noProof/>
                <w:sz w:val="24"/>
                <w:szCs w:val="24"/>
              </w:rPr>
              <w:t>2.2. Savienības reģistrs un Eiropas Savienības darījumu žurnāls (</w:t>
            </w:r>
            <w:r>
              <w:rPr>
                <w:rStyle w:val="Hyperlink"/>
                <w:rFonts w:ascii="Times New Roman" w:hAnsi="Times New Roman"/>
                <w:i/>
                <w:noProof/>
                <w:sz w:val="24"/>
                <w:szCs w:val="24"/>
              </w:rPr>
              <w:t>EUTL</w:t>
            </w:r>
            <w:r>
              <w:rPr>
                <w:rStyle w:val="Hyperlink"/>
                <w:rFonts w:ascii="Times New Roman" w:hAnsi="Times New Roman"/>
                <w:noProof/>
                <w:sz w:val="24"/>
                <w:szCs w:val="24"/>
              </w:rPr>
              <w:t>)</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_Toc24103523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9</w:t>
            </w:r>
            <w:r>
              <w:rPr>
                <w:rFonts w:ascii="Times New Roman" w:hAnsi="Times New Roman"/>
                <w:noProof/>
                <w:webHidden/>
                <w:sz w:val="24"/>
                <w:szCs w:val="24"/>
              </w:rPr>
              <w:fldChar w:fldCharType="end"/>
            </w:r>
          </w:hyperlink>
        </w:p>
        <w:p>
          <w:pPr>
            <w:pStyle w:val="TOC1"/>
            <w:rPr>
              <w:rFonts w:ascii="Times New Roman" w:eastAsiaTheme="minorEastAsia" w:hAnsi="Times New Roman"/>
              <w:noProof/>
              <w:sz w:val="24"/>
              <w:szCs w:val="24"/>
              <w:lang w:eastAsia="lv-LV"/>
            </w:rPr>
          </w:pPr>
          <w:hyperlink w:anchor="_Toc24103524" w:history="1">
            <w:r>
              <w:rPr>
                <w:rStyle w:val="Hyperlink"/>
                <w:rFonts w:ascii="Times New Roman" w:hAnsi="Times New Roman"/>
                <w:noProof/>
                <w:sz w:val="24"/>
                <w:szCs w:val="24"/>
              </w:rPr>
              <w:t>3. OGLEKĻA TIRGUS DARBĪBA 2018. GADĀ</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_Toc24103524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10</w:t>
            </w:r>
            <w:r>
              <w:rPr>
                <w:rFonts w:ascii="Times New Roman" w:hAnsi="Times New Roman"/>
                <w:noProof/>
                <w:webHidden/>
                <w:sz w:val="24"/>
                <w:szCs w:val="24"/>
              </w:rPr>
              <w:fldChar w:fldCharType="end"/>
            </w:r>
          </w:hyperlink>
        </w:p>
        <w:p>
          <w:pPr>
            <w:pStyle w:val="TOC2"/>
            <w:tabs>
              <w:tab w:val="right" w:leader="dot" w:pos="9016"/>
            </w:tabs>
            <w:rPr>
              <w:rFonts w:ascii="Times New Roman" w:eastAsiaTheme="minorEastAsia" w:hAnsi="Times New Roman"/>
              <w:noProof/>
              <w:sz w:val="24"/>
              <w:szCs w:val="24"/>
              <w:lang w:eastAsia="lv-LV"/>
            </w:rPr>
          </w:pPr>
          <w:hyperlink w:anchor="_Toc24103525" w:history="1">
            <w:r>
              <w:rPr>
                <w:rStyle w:val="Hyperlink"/>
                <w:rFonts w:ascii="Times New Roman" w:hAnsi="Times New Roman"/>
                <w:noProof/>
                <w:sz w:val="24"/>
                <w:szCs w:val="24"/>
              </w:rPr>
              <w:t>3.1. Piedāvājums: apgrozībā laistās kvotas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_Toc24103525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11</w:t>
            </w:r>
            <w:r>
              <w:rPr>
                <w:rFonts w:ascii="Times New Roman" w:hAnsi="Times New Roman"/>
                <w:noProof/>
                <w:webHidden/>
                <w:sz w:val="24"/>
                <w:szCs w:val="24"/>
              </w:rPr>
              <w:fldChar w:fldCharType="end"/>
            </w:r>
          </w:hyperlink>
        </w:p>
        <w:p>
          <w:pPr>
            <w:pStyle w:val="TOC3"/>
            <w:tabs>
              <w:tab w:val="right" w:leader="dot" w:pos="9016"/>
            </w:tabs>
            <w:rPr>
              <w:rFonts w:ascii="Times New Roman" w:eastAsiaTheme="minorEastAsia" w:hAnsi="Times New Roman"/>
              <w:noProof/>
              <w:sz w:val="24"/>
              <w:szCs w:val="24"/>
              <w:lang w:eastAsia="lv-LV"/>
            </w:rPr>
          </w:pPr>
          <w:hyperlink w:anchor="_Toc24103526" w:history="1">
            <w:r>
              <w:rPr>
                <w:rStyle w:val="Hyperlink"/>
                <w:rFonts w:ascii="Times New Roman" w:hAnsi="Times New Roman"/>
                <w:noProof/>
                <w:sz w:val="24"/>
                <w:szCs w:val="24"/>
              </w:rPr>
              <w:t>3.1.1. Maksimālā robežvērtība</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_Toc24103526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11</w:t>
            </w:r>
            <w:r>
              <w:rPr>
                <w:rFonts w:ascii="Times New Roman" w:hAnsi="Times New Roman"/>
                <w:noProof/>
                <w:webHidden/>
                <w:sz w:val="24"/>
                <w:szCs w:val="24"/>
              </w:rPr>
              <w:fldChar w:fldCharType="end"/>
            </w:r>
          </w:hyperlink>
        </w:p>
        <w:p>
          <w:pPr>
            <w:pStyle w:val="TOC3"/>
            <w:tabs>
              <w:tab w:val="right" w:leader="dot" w:pos="9016"/>
            </w:tabs>
            <w:rPr>
              <w:rFonts w:ascii="Times New Roman" w:eastAsiaTheme="minorEastAsia" w:hAnsi="Times New Roman"/>
              <w:noProof/>
              <w:sz w:val="24"/>
              <w:szCs w:val="24"/>
              <w:lang w:eastAsia="lv-LV"/>
            </w:rPr>
          </w:pPr>
          <w:hyperlink w:anchor="_Toc24103527" w:history="1">
            <w:r>
              <w:rPr>
                <w:rStyle w:val="Hyperlink"/>
                <w:rFonts w:ascii="Times New Roman" w:hAnsi="Times New Roman"/>
                <w:noProof/>
                <w:sz w:val="24"/>
                <w:szCs w:val="24"/>
              </w:rPr>
              <w:t>3.1.2. Izdotās kvotas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_Toc24103527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13</w:t>
            </w:r>
            <w:r>
              <w:rPr>
                <w:rFonts w:ascii="Times New Roman" w:hAnsi="Times New Roman"/>
                <w:noProof/>
                <w:webHidden/>
                <w:sz w:val="24"/>
                <w:szCs w:val="24"/>
              </w:rPr>
              <w:fldChar w:fldCharType="end"/>
            </w:r>
          </w:hyperlink>
        </w:p>
        <w:p>
          <w:pPr>
            <w:pStyle w:val="TOC4"/>
            <w:tabs>
              <w:tab w:val="right" w:leader="dot" w:pos="9016"/>
            </w:tabs>
            <w:rPr>
              <w:rFonts w:ascii="Times New Roman" w:eastAsiaTheme="minorEastAsia" w:hAnsi="Times New Roman"/>
              <w:noProof/>
              <w:sz w:val="24"/>
              <w:szCs w:val="24"/>
              <w:lang w:eastAsia="lv-LV"/>
            </w:rPr>
          </w:pPr>
          <w:hyperlink w:anchor="_Toc24103528" w:history="1">
            <w:r>
              <w:rPr>
                <w:rStyle w:val="Hyperlink"/>
                <w:rFonts w:ascii="Times New Roman" w:hAnsi="Times New Roman"/>
                <w:noProof/>
                <w:sz w:val="24"/>
                <w:szCs w:val="24"/>
              </w:rPr>
              <w:t>3.1.2.1. Bezmaksas kvotu iedale</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_Toc24103528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13</w:t>
            </w:r>
            <w:r>
              <w:rPr>
                <w:rFonts w:ascii="Times New Roman" w:hAnsi="Times New Roman"/>
                <w:noProof/>
                <w:webHidden/>
                <w:sz w:val="24"/>
                <w:szCs w:val="24"/>
              </w:rPr>
              <w:fldChar w:fldCharType="end"/>
            </w:r>
          </w:hyperlink>
        </w:p>
        <w:p>
          <w:pPr>
            <w:pStyle w:val="TOC4"/>
            <w:tabs>
              <w:tab w:val="right" w:leader="dot" w:pos="9016"/>
            </w:tabs>
            <w:rPr>
              <w:rFonts w:ascii="Times New Roman" w:eastAsiaTheme="minorEastAsia" w:hAnsi="Times New Roman"/>
              <w:noProof/>
              <w:sz w:val="24"/>
              <w:szCs w:val="24"/>
              <w:lang w:eastAsia="lv-LV"/>
            </w:rPr>
          </w:pPr>
          <w:hyperlink w:anchor="_Toc24103529" w:history="1">
            <w:r>
              <w:rPr>
                <w:rStyle w:val="Hyperlink"/>
                <w:rFonts w:ascii="Times New Roman" w:hAnsi="Times New Roman"/>
                <w:noProof/>
                <w:sz w:val="24"/>
                <w:szCs w:val="24"/>
              </w:rPr>
              <w:t>3.1.2.2. Programma NER300 un Inovāciju fonds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_Toc24103529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16</w:t>
            </w:r>
            <w:r>
              <w:rPr>
                <w:rFonts w:ascii="Times New Roman" w:hAnsi="Times New Roman"/>
                <w:noProof/>
                <w:webHidden/>
                <w:sz w:val="24"/>
                <w:szCs w:val="24"/>
              </w:rPr>
              <w:fldChar w:fldCharType="end"/>
            </w:r>
          </w:hyperlink>
        </w:p>
        <w:p>
          <w:pPr>
            <w:pStyle w:val="TOC4"/>
            <w:tabs>
              <w:tab w:val="right" w:leader="dot" w:pos="9016"/>
            </w:tabs>
            <w:rPr>
              <w:rFonts w:ascii="Times New Roman" w:eastAsiaTheme="minorEastAsia" w:hAnsi="Times New Roman"/>
              <w:noProof/>
              <w:sz w:val="24"/>
              <w:szCs w:val="24"/>
              <w:lang w:eastAsia="lv-LV"/>
            </w:rPr>
          </w:pPr>
          <w:hyperlink w:anchor="_Toc24103530" w:history="1">
            <w:r>
              <w:rPr>
                <w:rStyle w:val="Hyperlink"/>
                <w:rFonts w:ascii="Times New Roman" w:hAnsi="Times New Roman"/>
                <w:noProof/>
                <w:sz w:val="24"/>
                <w:szCs w:val="24"/>
              </w:rPr>
              <w:t>3.1.2.3. Netiešo oglekļa izmaksu kompensācija</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_Toc24103530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18</w:t>
            </w:r>
            <w:r>
              <w:rPr>
                <w:rFonts w:ascii="Times New Roman" w:hAnsi="Times New Roman"/>
                <w:noProof/>
                <w:webHidden/>
                <w:sz w:val="24"/>
                <w:szCs w:val="24"/>
              </w:rPr>
              <w:fldChar w:fldCharType="end"/>
            </w:r>
          </w:hyperlink>
        </w:p>
        <w:p>
          <w:pPr>
            <w:pStyle w:val="TOC4"/>
            <w:tabs>
              <w:tab w:val="right" w:leader="dot" w:pos="9016"/>
            </w:tabs>
            <w:rPr>
              <w:rFonts w:ascii="Times New Roman" w:eastAsiaTheme="minorEastAsia" w:hAnsi="Times New Roman"/>
              <w:noProof/>
              <w:sz w:val="24"/>
              <w:szCs w:val="24"/>
              <w:lang w:eastAsia="lv-LV"/>
            </w:rPr>
          </w:pPr>
          <w:hyperlink w:anchor="_Toc24103531" w:history="1">
            <w:r>
              <w:rPr>
                <w:rStyle w:val="Hyperlink"/>
                <w:rFonts w:ascii="Times New Roman" w:hAnsi="Times New Roman"/>
                <w:bCs/>
                <w:i/>
                <w:noProof/>
                <w:sz w:val="24"/>
                <w:szCs w:val="24"/>
              </w:rPr>
              <w:t>3.1.2.4. Kvotu izsolīšana</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_Toc24103531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20</w:t>
            </w:r>
            <w:r>
              <w:rPr>
                <w:rFonts w:ascii="Times New Roman" w:hAnsi="Times New Roman"/>
                <w:noProof/>
                <w:webHidden/>
                <w:sz w:val="24"/>
                <w:szCs w:val="24"/>
              </w:rPr>
              <w:fldChar w:fldCharType="end"/>
            </w:r>
          </w:hyperlink>
        </w:p>
        <w:p>
          <w:pPr>
            <w:pStyle w:val="TOC4"/>
            <w:tabs>
              <w:tab w:val="right" w:leader="dot" w:pos="9016"/>
            </w:tabs>
            <w:rPr>
              <w:rFonts w:ascii="Times New Roman" w:eastAsiaTheme="minorEastAsia" w:hAnsi="Times New Roman"/>
              <w:noProof/>
              <w:sz w:val="24"/>
              <w:szCs w:val="24"/>
              <w:lang w:eastAsia="lv-LV"/>
            </w:rPr>
          </w:pPr>
          <w:hyperlink w:anchor="_Toc24103532" w:history="1">
            <w:r>
              <w:rPr>
                <w:rStyle w:val="Hyperlink"/>
                <w:rFonts w:ascii="Times New Roman" w:hAnsi="Times New Roman"/>
                <w:noProof/>
                <w:sz w:val="24"/>
                <w:szCs w:val="24"/>
              </w:rPr>
              <w:t>3.1.2.5. Atkāpe no prasības pilnīgi visas kvotas iegūt izsolēs attiecībā uz elektroenerģijas un siltuma ražošanu</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_Toc24103532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23</w:t>
            </w:r>
            <w:r>
              <w:rPr>
                <w:rFonts w:ascii="Times New Roman" w:hAnsi="Times New Roman"/>
                <w:noProof/>
                <w:webHidden/>
                <w:sz w:val="24"/>
                <w:szCs w:val="24"/>
              </w:rPr>
              <w:fldChar w:fldCharType="end"/>
            </w:r>
          </w:hyperlink>
        </w:p>
        <w:p>
          <w:pPr>
            <w:pStyle w:val="TOC3"/>
            <w:tabs>
              <w:tab w:val="right" w:leader="dot" w:pos="9016"/>
            </w:tabs>
            <w:rPr>
              <w:rFonts w:ascii="Times New Roman" w:eastAsiaTheme="minorEastAsia" w:hAnsi="Times New Roman"/>
              <w:noProof/>
              <w:sz w:val="24"/>
              <w:szCs w:val="24"/>
              <w:lang w:eastAsia="lv-LV"/>
            </w:rPr>
          </w:pPr>
          <w:hyperlink w:anchor="_Toc24103533" w:history="1">
            <w:r>
              <w:rPr>
                <w:rStyle w:val="Hyperlink"/>
                <w:rFonts w:ascii="Times New Roman" w:hAnsi="Times New Roman"/>
                <w:noProof/>
                <w:sz w:val="24"/>
                <w:szCs w:val="24"/>
              </w:rPr>
              <w:t>3.1.3. Starptautiskie kredīti</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_Toc24103533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26</w:t>
            </w:r>
            <w:r>
              <w:rPr>
                <w:rFonts w:ascii="Times New Roman" w:hAnsi="Times New Roman"/>
                <w:noProof/>
                <w:webHidden/>
                <w:sz w:val="24"/>
                <w:szCs w:val="24"/>
              </w:rPr>
              <w:fldChar w:fldCharType="end"/>
            </w:r>
          </w:hyperlink>
        </w:p>
        <w:p>
          <w:pPr>
            <w:pStyle w:val="TOC2"/>
            <w:tabs>
              <w:tab w:val="right" w:leader="dot" w:pos="9016"/>
            </w:tabs>
            <w:rPr>
              <w:rFonts w:ascii="Times New Roman" w:eastAsiaTheme="minorEastAsia" w:hAnsi="Times New Roman"/>
              <w:noProof/>
              <w:sz w:val="24"/>
              <w:szCs w:val="24"/>
              <w:lang w:eastAsia="lv-LV"/>
            </w:rPr>
          </w:pPr>
          <w:hyperlink w:anchor="_Toc24103534" w:history="1">
            <w:r>
              <w:rPr>
                <w:rStyle w:val="Hyperlink"/>
                <w:rFonts w:ascii="Times New Roman" w:hAnsi="Times New Roman"/>
                <w:noProof/>
                <w:sz w:val="24"/>
                <w:szCs w:val="24"/>
              </w:rPr>
              <w:t>3.2. Pieprasījums: no apgrozības izņemtās kvotas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_Toc24103534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27</w:t>
            </w:r>
            <w:r>
              <w:rPr>
                <w:rFonts w:ascii="Times New Roman" w:hAnsi="Times New Roman"/>
                <w:noProof/>
                <w:webHidden/>
                <w:sz w:val="24"/>
                <w:szCs w:val="24"/>
              </w:rPr>
              <w:fldChar w:fldCharType="end"/>
            </w:r>
          </w:hyperlink>
        </w:p>
        <w:p>
          <w:pPr>
            <w:pStyle w:val="TOC2"/>
            <w:tabs>
              <w:tab w:val="right" w:leader="dot" w:pos="9016"/>
            </w:tabs>
            <w:rPr>
              <w:rFonts w:ascii="Times New Roman" w:eastAsiaTheme="minorEastAsia" w:hAnsi="Times New Roman"/>
              <w:noProof/>
              <w:sz w:val="24"/>
              <w:szCs w:val="24"/>
              <w:lang w:eastAsia="lv-LV"/>
            </w:rPr>
          </w:pPr>
          <w:hyperlink w:anchor="_Toc24103535" w:history="1">
            <w:r>
              <w:rPr>
                <w:rStyle w:val="Hyperlink"/>
                <w:rFonts w:ascii="Times New Roman" w:hAnsi="Times New Roman"/>
                <w:noProof/>
                <w:sz w:val="24"/>
                <w:szCs w:val="24"/>
              </w:rPr>
              <w:t>3.3. Piedāvājuma un pieprasījuma līdzsvarošana</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_Toc24103535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28</w:t>
            </w:r>
            <w:r>
              <w:rPr>
                <w:rFonts w:ascii="Times New Roman" w:hAnsi="Times New Roman"/>
                <w:noProof/>
                <w:webHidden/>
                <w:sz w:val="24"/>
                <w:szCs w:val="24"/>
              </w:rPr>
              <w:fldChar w:fldCharType="end"/>
            </w:r>
          </w:hyperlink>
        </w:p>
        <w:p>
          <w:pPr>
            <w:pStyle w:val="TOC1"/>
            <w:rPr>
              <w:rFonts w:ascii="Times New Roman" w:eastAsiaTheme="minorEastAsia" w:hAnsi="Times New Roman"/>
              <w:noProof/>
              <w:sz w:val="24"/>
              <w:szCs w:val="24"/>
              <w:lang w:eastAsia="lv-LV"/>
            </w:rPr>
          </w:pPr>
          <w:hyperlink w:anchor="_Toc24103536" w:history="1">
            <w:r>
              <w:rPr>
                <w:rStyle w:val="Hyperlink"/>
                <w:rFonts w:ascii="Times New Roman" w:hAnsi="Times New Roman"/>
                <w:noProof/>
                <w:sz w:val="24"/>
                <w:szCs w:val="24"/>
              </w:rPr>
              <w:t>4. AVIĀCIJA</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_Toc24103536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31</w:t>
            </w:r>
            <w:r>
              <w:rPr>
                <w:rFonts w:ascii="Times New Roman" w:hAnsi="Times New Roman"/>
                <w:noProof/>
                <w:webHidden/>
                <w:sz w:val="24"/>
                <w:szCs w:val="24"/>
              </w:rPr>
              <w:fldChar w:fldCharType="end"/>
            </w:r>
          </w:hyperlink>
        </w:p>
        <w:p>
          <w:pPr>
            <w:pStyle w:val="TOC1"/>
            <w:rPr>
              <w:rFonts w:ascii="Times New Roman" w:eastAsiaTheme="minorEastAsia" w:hAnsi="Times New Roman"/>
              <w:noProof/>
              <w:sz w:val="24"/>
              <w:szCs w:val="24"/>
              <w:lang w:eastAsia="lv-LV"/>
            </w:rPr>
          </w:pPr>
          <w:hyperlink w:anchor="_Toc24103537" w:history="1">
            <w:r>
              <w:rPr>
                <w:rStyle w:val="Hyperlink"/>
                <w:rFonts w:ascii="Times New Roman" w:hAnsi="Times New Roman"/>
                <w:noProof/>
                <w:sz w:val="24"/>
                <w:szCs w:val="24"/>
              </w:rPr>
              <w:t>5. TIRGUS PĀRRAUDZĪBA</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_Toc24103537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34</w:t>
            </w:r>
            <w:r>
              <w:rPr>
                <w:rFonts w:ascii="Times New Roman" w:hAnsi="Times New Roman"/>
                <w:noProof/>
                <w:webHidden/>
                <w:sz w:val="24"/>
                <w:szCs w:val="24"/>
              </w:rPr>
              <w:fldChar w:fldCharType="end"/>
            </w:r>
          </w:hyperlink>
        </w:p>
        <w:p>
          <w:pPr>
            <w:pStyle w:val="TOC2"/>
            <w:tabs>
              <w:tab w:val="right" w:leader="dot" w:pos="9016"/>
            </w:tabs>
            <w:rPr>
              <w:rFonts w:ascii="Times New Roman" w:eastAsiaTheme="minorEastAsia" w:hAnsi="Times New Roman"/>
              <w:noProof/>
              <w:sz w:val="24"/>
              <w:szCs w:val="24"/>
              <w:lang w:eastAsia="lv-LV"/>
            </w:rPr>
          </w:pPr>
          <w:hyperlink w:anchor="_Toc24103538" w:history="1">
            <w:r>
              <w:rPr>
                <w:rStyle w:val="Hyperlink"/>
                <w:rFonts w:ascii="Times New Roman" w:hAnsi="Times New Roman"/>
                <w:noProof/>
                <w:sz w:val="24"/>
                <w:szCs w:val="24"/>
              </w:rPr>
              <w:t>5.1. Emisijas kvotu juridiskais statuss un fiskālais režīms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_Toc24103538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35</w:t>
            </w:r>
            <w:r>
              <w:rPr>
                <w:rFonts w:ascii="Times New Roman" w:hAnsi="Times New Roman"/>
                <w:noProof/>
                <w:webHidden/>
                <w:sz w:val="24"/>
                <w:szCs w:val="24"/>
              </w:rPr>
              <w:fldChar w:fldCharType="end"/>
            </w:r>
          </w:hyperlink>
        </w:p>
        <w:p>
          <w:pPr>
            <w:pStyle w:val="TOC1"/>
            <w:rPr>
              <w:rFonts w:ascii="Times New Roman" w:eastAsiaTheme="minorEastAsia" w:hAnsi="Times New Roman"/>
              <w:noProof/>
              <w:sz w:val="24"/>
              <w:szCs w:val="24"/>
              <w:lang w:eastAsia="lv-LV"/>
            </w:rPr>
          </w:pPr>
          <w:hyperlink w:anchor="_Toc24103539" w:history="1">
            <w:r>
              <w:rPr>
                <w:rStyle w:val="Hyperlink"/>
                <w:rFonts w:ascii="Times New Roman" w:hAnsi="Times New Roman"/>
                <w:noProof/>
                <w:sz w:val="24"/>
                <w:szCs w:val="24"/>
              </w:rPr>
              <w:t>6. EMISIJU MONITORINGS, ZIŅOŠANA UN VERIFIKĀCIJA</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_Toc24103539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37</w:t>
            </w:r>
            <w:r>
              <w:rPr>
                <w:rFonts w:ascii="Times New Roman" w:hAnsi="Times New Roman"/>
                <w:noProof/>
                <w:webHidden/>
                <w:sz w:val="24"/>
                <w:szCs w:val="24"/>
              </w:rPr>
              <w:fldChar w:fldCharType="end"/>
            </w:r>
          </w:hyperlink>
        </w:p>
        <w:p>
          <w:pPr>
            <w:pStyle w:val="TOC1"/>
            <w:rPr>
              <w:rFonts w:ascii="Times New Roman" w:eastAsiaTheme="minorEastAsia" w:hAnsi="Times New Roman"/>
              <w:noProof/>
              <w:sz w:val="24"/>
              <w:szCs w:val="24"/>
              <w:lang w:eastAsia="lv-LV"/>
            </w:rPr>
          </w:pPr>
          <w:hyperlink w:anchor="_Toc24103540" w:history="1">
            <w:r>
              <w:rPr>
                <w:rStyle w:val="Hyperlink"/>
                <w:rFonts w:ascii="Times New Roman" w:hAnsi="Times New Roman"/>
                <w:noProof/>
                <w:sz w:val="24"/>
                <w:szCs w:val="24"/>
              </w:rPr>
              <w:t>7. PĀRSKATS PAR ADMINISTRATĪVAJĀM PROCEDŪRĀM</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_Toc24103540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39</w:t>
            </w:r>
            <w:r>
              <w:rPr>
                <w:rFonts w:ascii="Times New Roman" w:hAnsi="Times New Roman"/>
                <w:noProof/>
                <w:webHidden/>
                <w:sz w:val="24"/>
                <w:szCs w:val="24"/>
              </w:rPr>
              <w:fldChar w:fldCharType="end"/>
            </w:r>
          </w:hyperlink>
        </w:p>
        <w:p>
          <w:pPr>
            <w:pStyle w:val="TOC1"/>
            <w:rPr>
              <w:rFonts w:ascii="Times New Roman" w:eastAsiaTheme="minorEastAsia" w:hAnsi="Times New Roman"/>
              <w:noProof/>
              <w:sz w:val="24"/>
              <w:szCs w:val="24"/>
              <w:lang w:eastAsia="lv-LV"/>
            </w:rPr>
          </w:pPr>
          <w:hyperlink w:anchor="_Toc24103541" w:history="1">
            <w:r>
              <w:rPr>
                <w:rStyle w:val="Hyperlink"/>
                <w:rFonts w:ascii="Times New Roman" w:hAnsi="Times New Roman"/>
                <w:noProof/>
                <w:sz w:val="24"/>
                <w:szCs w:val="24"/>
              </w:rPr>
              <w:t>8. ATBILSTĪBA UN IZPILDES NODROŠINĀŠANA</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_Toc24103541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40</w:t>
            </w:r>
            <w:r>
              <w:rPr>
                <w:rFonts w:ascii="Times New Roman" w:hAnsi="Times New Roman"/>
                <w:noProof/>
                <w:webHidden/>
                <w:sz w:val="24"/>
                <w:szCs w:val="24"/>
              </w:rPr>
              <w:fldChar w:fldCharType="end"/>
            </w:r>
          </w:hyperlink>
        </w:p>
        <w:p>
          <w:pPr>
            <w:pStyle w:val="TOC1"/>
            <w:rPr>
              <w:rFonts w:ascii="Times New Roman" w:eastAsiaTheme="minorEastAsia" w:hAnsi="Times New Roman"/>
              <w:noProof/>
              <w:sz w:val="24"/>
              <w:szCs w:val="24"/>
              <w:lang w:eastAsia="lv-LV"/>
            </w:rPr>
          </w:pPr>
          <w:hyperlink w:anchor="_Toc24103542" w:history="1">
            <w:r>
              <w:rPr>
                <w:rStyle w:val="Hyperlink"/>
                <w:rFonts w:ascii="Times New Roman" w:hAnsi="Times New Roman"/>
                <w:noProof/>
                <w:sz w:val="24"/>
                <w:szCs w:val="24"/>
              </w:rPr>
              <w:t>9. SECINĀJUMI UN NĀKOTNES PERSPEKTĪVAS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_Toc24103542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41</w:t>
            </w:r>
            <w:r>
              <w:rPr>
                <w:rFonts w:ascii="Times New Roman" w:hAnsi="Times New Roman"/>
                <w:noProof/>
                <w:webHidden/>
                <w:sz w:val="24"/>
                <w:szCs w:val="24"/>
              </w:rPr>
              <w:fldChar w:fldCharType="end"/>
            </w:r>
          </w:hyperlink>
        </w:p>
        <w:p>
          <w:pPr>
            <w:pStyle w:val="TOC1"/>
            <w:rPr>
              <w:rFonts w:ascii="Times New Roman" w:eastAsiaTheme="minorEastAsia" w:hAnsi="Times New Roman"/>
              <w:noProof/>
              <w:sz w:val="24"/>
              <w:szCs w:val="24"/>
              <w:lang w:eastAsia="lv-LV"/>
            </w:rPr>
          </w:pPr>
          <w:hyperlink w:anchor="_Toc24103543" w:history="1">
            <w:r>
              <w:rPr>
                <w:rStyle w:val="Hyperlink"/>
                <w:rFonts w:ascii="Times New Roman" w:hAnsi="Times New Roman"/>
                <w:noProof/>
                <w:sz w:val="24"/>
                <w:szCs w:val="24"/>
              </w:rPr>
              <w:t>PIELIKUMS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_Toc24103543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43</w:t>
            </w:r>
            <w:r>
              <w:rPr>
                <w:rFonts w:ascii="Times New Roman" w:hAnsi="Times New Roman"/>
                <w:noProof/>
                <w:webHidden/>
                <w:sz w:val="24"/>
                <w:szCs w:val="24"/>
              </w:rPr>
              <w:fldChar w:fldCharType="end"/>
            </w:r>
          </w:hyperlink>
        </w:p>
        <w:p>
          <w:pPr>
            <w:rPr>
              <w:rFonts w:ascii="Times New Roman" w:hAnsi="Times New Roman"/>
              <w:noProof/>
            </w:rPr>
          </w:pPr>
          <w:r>
            <w:rPr>
              <w:rFonts w:ascii="Times New Roman" w:hAnsi="Times New Roman"/>
              <w:b/>
              <w:bCs/>
              <w:noProof/>
              <w:sz w:val="24"/>
              <w:szCs w:val="24"/>
            </w:rPr>
            <w:fldChar w:fldCharType="end"/>
          </w:r>
        </w:p>
      </w:sdtContent>
    </w:sdt>
    <w:p>
      <w:pPr>
        <w:pStyle w:val="Heading1"/>
        <w:spacing w:before="0" w:after="120"/>
        <w:rPr>
          <w:noProof/>
          <w:szCs w:val="24"/>
        </w:rPr>
      </w:pPr>
      <w:bookmarkStart w:id="2" w:name="_Toc24103519"/>
      <w:r>
        <w:rPr>
          <w:noProof/>
        </w:rPr>
        <w:t>Akronīmu un saīsinājumu saraksts</w:t>
      </w:r>
      <w:bookmarkEnd w:id="2"/>
    </w:p>
    <w:p>
      <w:pPr>
        <w:spacing w:after="120"/>
        <w:rPr>
          <w:rFonts w:ascii="Times New Roman" w:hAnsi="Times New Roman"/>
          <w:noProof/>
          <w:sz w:val="24"/>
          <w:szCs w:val="24"/>
        </w:rPr>
      </w:pPr>
      <w:r>
        <w:rPr>
          <w:rFonts w:ascii="Times New Roman" w:hAnsi="Times New Roman"/>
          <w:noProof/>
          <w:sz w:val="24"/>
          <w:szCs w:val="24"/>
        </w:rPr>
        <w:t>AVR</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Akreditācijas un verifikācijas regula</w:t>
      </w:r>
    </w:p>
    <w:p>
      <w:pPr>
        <w:spacing w:after="120"/>
        <w:rPr>
          <w:rFonts w:ascii="Times New Roman" w:hAnsi="Times New Roman"/>
          <w:noProof/>
          <w:sz w:val="24"/>
          <w:szCs w:val="24"/>
        </w:rPr>
      </w:pPr>
      <w:r>
        <w:rPr>
          <w:rFonts w:ascii="Times New Roman" w:hAnsi="Times New Roman"/>
          <w:noProof/>
          <w:sz w:val="24"/>
          <w:szCs w:val="24"/>
        </w:rPr>
        <w:t>KI</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Kompetentā iestāde</w:t>
      </w:r>
    </w:p>
    <w:p>
      <w:pPr>
        <w:spacing w:after="120"/>
        <w:rPr>
          <w:rFonts w:ascii="Times New Roman" w:hAnsi="Times New Roman"/>
          <w:noProof/>
          <w:sz w:val="24"/>
          <w:szCs w:val="24"/>
        </w:rPr>
      </w:pPr>
      <w:r>
        <w:rPr>
          <w:rFonts w:ascii="Times New Roman" w:hAnsi="Times New Roman"/>
          <w:i/>
          <w:noProof/>
          <w:sz w:val="24"/>
          <w:szCs w:val="24"/>
        </w:rPr>
        <w:t>CCS</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Oglekļa dioksīda uztveršana un uzglabāšana</w:t>
      </w:r>
    </w:p>
    <w:p>
      <w:pPr>
        <w:spacing w:after="120"/>
        <w:rPr>
          <w:rFonts w:ascii="Times New Roman" w:hAnsi="Times New Roman"/>
          <w:noProof/>
          <w:sz w:val="24"/>
          <w:szCs w:val="24"/>
        </w:rPr>
      </w:pPr>
      <w:r>
        <w:rPr>
          <w:rFonts w:ascii="Times New Roman" w:hAnsi="Times New Roman"/>
          <w:i/>
          <w:noProof/>
          <w:sz w:val="24"/>
          <w:szCs w:val="24"/>
        </w:rPr>
        <w:t>CCU</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Oglekļa dioksīda uztveršana un izmantošana</w:t>
      </w:r>
    </w:p>
    <w:p>
      <w:pPr>
        <w:spacing w:after="120"/>
        <w:rPr>
          <w:rFonts w:ascii="Times New Roman" w:hAnsi="Times New Roman"/>
          <w:noProof/>
          <w:sz w:val="24"/>
          <w:szCs w:val="24"/>
        </w:rPr>
      </w:pPr>
      <w:r>
        <w:rPr>
          <w:rFonts w:ascii="Times New Roman" w:hAnsi="Times New Roman"/>
          <w:i/>
          <w:noProof/>
          <w:sz w:val="24"/>
          <w:szCs w:val="24"/>
        </w:rPr>
        <w:t>CDM</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Tīras attīstības mehānisms</w:t>
      </w:r>
    </w:p>
    <w:p>
      <w:pPr>
        <w:spacing w:after="120"/>
        <w:rPr>
          <w:rFonts w:ascii="Times New Roman" w:hAnsi="Times New Roman"/>
          <w:noProof/>
          <w:sz w:val="24"/>
          <w:szCs w:val="24"/>
        </w:rPr>
      </w:pPr>
      <w:r>
        <w:rPr>
          <w:rFonts w:ascii="Times New Roman" w:hAnsi="Times New Roman"/>
          <w:i/>
          <w:noProof/>
          <w:sz w:val="24"/>
          <w:szCs w:val="24"/>
        </w:rPr>
        <w:t>CER</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Sertificēta emisijas samazināšanas vienība</w:t>
      </w:r>
    </w:p>
    <w:p>
      <w:pPr>
        <w:spacing w:after="120"/>
        <w:ind w:left="2160" w:hanging="2160"/>
        <w:rPr>
          <w:rFonts w:ascii="Times New Roman" w:hAnsi="Times New Roman"/>
          <w:noProof/>
          <w:sz w:val="24"/>
          <w:szCs w:val="24"/>
        </w:rPr>
      </w:pPr>
      <w:r>
        <w:rPr>
          <w:rFonts w:ascii="Times New Roman" w:hAnsi="Times New Roman"/>
          <w:i/>
          <w:noProof/>
          <w:sz w:val="24"/>
          <w:szCs w:val="24"/>
        </w:rPr>
        <w:t>CORSIA</w:t>
      </w:r>
      <w:r>
        <w:rPr>
          <w:rFonts w:ascii="Times New Roman" w:hAnsi="Times New Roman"/>
          <w:noProof/>
          <w:sz w:val="24"/>
          <w:szCs w:val="24"/>
        </w:rPr>
        <w:tab/>
        <w:t>Starptautiskās aviācijas radīto CO</w:t>
      </w:r>
      <w:r>
        <w:rPr>
          <w:rFonts w:ascii="Times New Roman" w:hAnsi="Times New Roman"/>
          <w:noProof/>
          <w:sz w:val="24"/>
          <w:szCs w:val="24"/>
          <w:vertAlign w:val="subscript"/>
        </w:rPr>
        <w:t>2</w:t>
      </w:r>
      <w:r>
        <w:rPr>
          <w:rFonts w:ascii="Times New Roman" w:hAnsi="Times New Roman"/>
          <w:noProof/>
          <w:sz w:val="24"/>
          <w:szCs w:val="24"/>
        </w:rPr>
        <w:t xml:space="preserve"> emisiju izlīdzināšanas un samazināšanas shēma</w:t>
      </w:r>
    </w:p>
    <w:p>
      <w:pPr>
        <w:spacing w:after="120"/>
        <w:rPr>
          <w:rFonts w:ascii="Times New Roman" w:hAnsi="Times New Roman"/>
          <w:noProof/>
          <w:sz w:val="24"/>
          <w:szCs w:val="24"/>
        </w:rPr>
      </w:pPr>
      <w:r>
        <w:rPr>
          <w:rFonts w:ascii="Times New Roman" w:hAnsi="Times New Roman"/>
          <w:i/>
          <w:noProof/>
          <w:sz w:val="24"/>
          <w:szCs w:val="24"/>
        </w:rPr>
        <w:t>CSCF</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Starpnozaru korekcijas koeficients</w:t>
      </w:r>
    </w:p>
    <w:p>
      <w:pPr>
        <w:spacing w:after="120"/>
        <w:rPr>
          <w:rFonts w:ascii="Times New Roman" w:hAnsi="Times New Roman"/>
          <w:noProof/>
          <w:sz w:val="24"/>
          <w:szCs w:val="24"/>
        </w:rPr>
      </w:pPr>
      <w:r>
        <w:rPr>
          <w:rFonts w:ascii="Times New Roman" w:hAnsi="Times New Roman"/>
          <w:noProof/>
          <w:sz w:val="24"/>
          <w:szCs w:val="24"/>
        </w:rPr>
        <w:t>EA</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Eiropas Akreditācijas kooperācija</w:t>
      </w:r>
    </w:p>
    <w:p>
      <w:pPr>
        <w:spacing w:after="120"/>
        <w:rPr>
          <w:rFonts w:ascii="Times New Roman" w:hAnsi="Times New Roman"/>
          <w:noProof/>
          <w:sz w:val="24"/>
          <w:szCs w:val="24"/>
        </w:rPr>
      </w:pPr>
      <w:r>
        <w:rPr>
          <w:rFonts w:ascii="Times New Roman" w:hAnsi="Times New Roman"/>
          <w:noProof/>
          <w:sz w:val="24"/>
          <w:szCs w:val="24"/>
        </w:rPr>
        <w:t>EEZ</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Eiropas Ekonomikas zona</w:t>
      </w:r>
    </w:p>
    <w:p>
      <w:pPr>
        <w:spacing w:after="120"/>
        <w:rPr>
          <w:rFonts w:ascii="Times New Roman" w:hAnsi="Times New Roman"/>
          <w:noProof/>
          <w:sz w:val="24"/>
          <w:szCs w:val="24"/>
        </w:rPr>
      </w:pPr>
      <w:r>
        <w:rPr>
          <w:rFonts w:ascii="Times New Roman" w:hAnsi="Times New Roman"/>
          <w:noProof/>
          <w:sz w:val="24"/>
          <w:szCs w:val="24"/>
        </w:rPr>
        <w:t>EVA</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Eiropas Vides aģentūra</w:t>
      </w:r>
    </w:p>
    <w:p>
      <w:pPr>
        <w:spacing w:after="120"/>
        <w:rPr>
          <w:rFonts w:ascii="Times New Roman" w:hAnsi="Times New Roman"/>
          <w:noProof/>
          <w:sz w:val="24"/>
          <w:szCs w:val="24"/>
        </w:rPr>
      </w:pPr>
      <w:r>
        <w:rPr>
          <w:rFonts w:ascii="Times New Roman" w:hAnsi="Times New Roman"/>
          <w:i/>
          <w:noProof/>
          <w:sz w:val="24"/>
          <w:szCs w:val="24"/>
        </w:rPr>
        <w:t>EEX</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i/>
          <w:noProof/>
          <w:sz w:val="24"/>
          <w:szCs w:val="24"/>
        </w:rPr>
        <w:t>European Energy Exchange</w:t>
      </w:r>
    </w:p>
    <w:p>
      <w:pPr>
        <w:spacing w:after="120"/>
        <w:rPr>
          <w:rFonts w:ascii="Times New Roman" w:hAnsi="Times New Roman"/>
          <w:noProof/>
          <w:sz w:val="24"/>
          <w:szCs w:val="24"/>
        </w:rPr>
      </w:pPr>
      <w:r>
        <w:rPr>
          <w:rFonts w:ascii="Times New Roman" w:hAnsi="Times New Roman"/>
          <w:noProof/>
          <w:sz w:val="24"/>
          <w:szCs w:val="24"/>
        </w:rPr>
        <w:t>EIB</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Eiropas Investīciju banka</w:t>
      </w:r>
    </w:p>
    <w:p>
      <w:pPr>
        <w:spacing w:after="120"/>
        <w:rPr>
          <w:rFonts w:ascii="Times New Roman" w:hAnsi="Times New Roman"/>
          <w:noProof/>
          <w:sz w:val="24"/>
          <w:szCs w:val="24"/>
        </w:rPr>
      </w:pPr>
      <w:r>
        <w:rPr>
          <w:rFonts w:ascii="Times New Roman" w:hAnsi="Times New Roman"/>
          <w:i/>
          <w:noProof/>
          <w:sz w:val="24"/>
          <w:szCs w:val="24"/>
        </w:rPr>
        <w:t>ERU</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Emisijas samazināšanas vienība</w:t>
      </w:r>
    </w:p>
    <w:p>
      <w:pPr>
        <w:spacing w:after="120"/>
        <w:rPr>
          <w:rFonts w:ascii="Times New Roman" w:hAnsi="Times New Roman"/>
          <w:noProof/>
          <w:sz w:val="24"/>
          <w:szCs w:val="24"/>
        </w:rPr>
      </w:pPr>
      <w:r>
        <w:rPr>
          <w:rFonts w:ascii="Times New Roman" w:hAnsi="Times New Roman"/>
          <w:i/>
          <w:noProof/>
          <w:sz w:val="24"/>
          <w:szCs w:val="24"/>
        </w:rPr>
        <w:t>ESMA</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Eiropas Vērtspapīru un tirgu iestāde</w:t>
      </w:r>
    </w:p>
    <w:p>
      <w:pPr>
        <w:spacing w:after="120"/>
        <w:rPr>
          <w:rFonts w:ascii="Times New Roman" w:hAnsi="Times New Roman"/>
          <w:noProof/>
          <w:sz w:val="24"/>
          <w:szCs w:val="24"/>
        </w:rPr>
      </w:pPr>
      <w:r>
        <w:rPr>
          <w:rFonts w:ascii="Times New Roman" w:hAnsi="Times New Roman"/>
          <w:noProof/>
          <w:sz w:val="24"/>
          <w:szCs w:val="24"/>
        </w:rPr>
        <w:t>ES ETS</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Eiropas Savienības emisijas kvotu tirdzniecības sistēma</w:t>
      </w:r>
    </w:p>
    <w:p>
      <w:pPr>
        <w:spacing w:after="120"/>
        <w:rPr>
          <w:rFonts w:ascii="Times New Roman" w:hAnsi="Times New Roman"/>
          <w:noProof/>
          <w:sz w:val="24"/>
          <w:szCs w:val="24"/>
        </w:rPr>
      </w:pPr>
      <w:r>
        <w:rPr>
          <w:rFonts w:ascii="Times New Roman" w:hAnsi="Times New Roman"/>
          <w:i/>
          <w:noProof/>
          <w:sz w:val="24"/>
          <w:szCs w:val="24"/>
        </w:rPr>
        <w:t>EUTL</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Eiropas Savienības darījumu žurnāls</w:t>
      </w:r>
    </w:p>
    <w:p>
      <w:pPr>
        <w:spacing w:after="120"/>
        <w:rPr>
          <w:rFonts w:ascii="Times New Roman" w:hAnsi="Times New Roman"/>
          <w:noProof/>
          <w:sz w:val="24"/>
          <w:szCs w:val="24"/>
        </w:rPr>
      </w:pPr>
      <w:r>
        <w:rPr>
          <w:rFonts w:ascii="Times New Roman" w:hAnsi="Times New Roman"/>
          <w:noProof/>
          <w:sz w:val="24"/>
          <w:szCs w:val="24"/>
        </w:rPr>
        <w:t xml:space="preserve">SEG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Siltumnīcefekta gāze</w:t>
      </w:r>
    </w:p>
    <w:p>
      <w:pPr>
        <w:spacing w:after="120"/>
        <w:rPr>
          <w:rFonts w:ascii="Times New Roman" w:hAnsi="Times New Roman"/>
          <w:noProof/>
          <w:sz w:val="24"/>
          <w:szCs w:val="24"/>
        </w:rPr>
      </w:pPr>
      <w:r>
        <w:rPr>
          <w:rFonts w:ascii="Times New Roman" w:hAnsi="Times New Roman"/>
          <w:i/>
          <w:noProof/>
          <w:sz w:val="24"/>
          <w:szCs w:val="24"/>
        </w:rPr>
        <w:t>ICAO</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Starptautiskā Civilās aviācijas organizācija</w:t>
      </w:r>
    </w:p>
    <w:p>
      <w:pPr>
        <w:spacing w:after="120"/>
        <w:rPr>
          <w:rFonts w:ascii="Times New Roman" w:hAnsi="Times New Roman"/>
          <w:noProof/>
          <w:sz w:val="24"/>
          <w:szCs w:val="24"/>
        </w:rPr>
      </w:pPr>
      <w:r>
        <w:rPr>
          <w:rFonts w:ascii="Times New Roman" w:hAnsi="Times New Roman"/>
          <w:i/>
          <w:noProof/>
          <w:sz w:val="24"/>
          <w:szCs w:val="24"/>
        </w:rPr>
        <w:t>ICE</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i/>
          <w:noProof/>
          <w:sz w:val="24"/>
          <w:szCs w:val="24"/>
        </w:rPr>
        <w:t>InterContinental Exchange Futures Europe</w:t>
      </w:r>
      <w:r>
        <w:rPr>
          <w:rFonts w:ascii="Times New Roman" w:hAnsi="Times New Roman"/>
          <w:noProof/>
          <w:sz w:val="24"/>
          <w:szCs w:val="24"/>
        </w:rPr>
        <w:t xml:space="preserve"> </w:t>
      </w:r>
    </w:p>
    <w:p>
      <w:pPr>
        <w:spacing w:after="120"/>
        <w:rPr>
          <w:rFonts w:ascii="Times New Roman" w:hAnsi="Times New Roman"/>
          <w:noProof/>
          <w:sz w:val="24"/>
          <w:szCs w:val="24"/>
        </w:rPr>
      </w:pPr>
      <w:r>
        <w:rPr>
          <w:rFonts w:ascii="Times New Roman" w:hAnsi="Times New Roman"/>
          <w:i/>
          <w:noProof/>
          <w:sz w:val="24"/>
          <w:szCs w:val="24"/>
        </w:rPr>
        <w:t>InnovFin</w:t>
      </w:r>
      <w:r>
        <w:rPr>
          <w:rFonts w:ascii="Times New Roman" w:hAnsi="Times New Roman"/>
          <w:noProof/>
          <w:sz w:val="24"/>
          <w:szCs w:val="24"/>
        </w:rPr>
        <w:t xml:space="preserve"> EDP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i/>
          <w:noProof/>
          <w:sz w:val="24"/>
          <w:szCs w:val="24"/>
        </w:rPr>
        <w:t>InnovFin</w:t>
      </w:r>
      <w:r>
        <w:rPr>
          <w:rFonts w:ascii="Times New Roman" w:hAnsi="Times New Roman"/>
          <w:noProof/>
          <w:sz w:val="24"/>
          <w:szCs w:val="24"/>
        </w:rPr>
        <w:t xml:space="preserve"> Enerģijas demonstrējuma projekti </w:t>
      </w:r>
    </w:p>
    <w:p>
      <w:pPr>
        <w:spacing w:after="120"/>
        <w:rPr>
          <w:rFonts w:ascii="Times New Roman" w:hAnsi="Times New Roman"/>
          <w:noProof/>
          <w:sz w:val="24"/>
          <w:szCs w:val="24"/>
        </w:rPr>
      </w:pPr>
      <w:r>
        <w:rPr>
          <w:rFonts w:ascii="Times New Roman" w:hAnsi="Times New Roman"/>
          <w:i/>
          <w:noProof/>
          <w:sz w:val="24"/>
          <w:szCs w:val="24"/>
        </w:rPr>
        <w:t>JI</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Kopīga īstenošana</w:t>
      </w:r>
    </w:p>
    <w:p>
      <w:pPr>
        <w:spacing w:after="120"/>
        <w:rPr>
          <w:rFonts w:ascii="Times New Roman" w:hAnsi="Times New Roman"/>
          <w:noProof/>
          <w:sz w:val="24"/>
          <w:szCs w:val="24"/>
        </w:rPr>
      </w:pPr>
      <w:r>
        <w:rPr>
          <w:rFonts w:ascii="Times New Roman" w:hAnsi="Times New Roman"/>
          <w:i/>
          <w:noProof/>
          <w:sz w:val="24"/>
          <w:szCs w:val="24"/>
        </w:rPr>
        <w:t>MAR</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Tirgus ļaunprātīgas izmantošanas regula</w:t>
      </w:r>
    </w:p>
    <w:p>
      <w:pPr>
        <w:spacing w:after="120"/>
        <w:rPr>
          <w:rFonts w:ascii="Times New Roman" w:hAnsi="Times New Roman"/>
          <w:noProof/>
          <w:sz w:val="24"/>
          <w:szCs w:val="24"/>
        </w:rPr>
      </w:pPr>
      <w:r>
        <w:rPr>
          <w:rFonts w:ascii="Times New Roman" w:hAnsi="Times New Roman"/>
          <w:noProof/>
          <w:sz w:val="24"/>
          <w:szCs w:val="24"/>
        </w:rPr>
        <w:t>FITD 2</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Finanšu instrumentu tirgu direktīva</w:t>
      </w:r>
    </w:p>
    <w:p>
      <w:pPr>
        <w:spacing w:after="120"/>
        <w:rPr>
          <w:rFonts w:ascii="Times New Roman" w:hAnsi="Times New Roman"/>
          <w:noProof/>
          <w:sz w:val="24"/>
          <w:szCs w:val="24"/>
        </w:rPr>
      </w:pPr>
      <w:r>
        <w:rPr>
          <w:rFonts w:ascii="Times New Roman" w:hAnsi="Times New Roman"/>
          <w:noProof/>
          <w:sz w:val="24"/>
          <w:szCs w:val="24"/>
        </w:rPr>
        <w:t>FITR</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Finanšu instrumentu tirgu regula</w:t>
      </w:r>
    </w:p>
    <w:p>
      <w:pPr>
        <w:spacing w:after="120"/>
        <w:rPr>
          <w:rFonts w:ascii="Times New Roman" w:hAnsi="Times New Roman"/>
          <w:noProof/>
          <w:sz w:val="24"/>
          <w:szCs w:val="24"/>
        </w:rPr>
      </w:pPr>
      <w:r>
        <w:rPr>
          <w:rFonts w:ascii="Times New Roman" w:hAnsi="Times New Roman"/>
          <w:noProof/>
          <w:sz w:val="24"/>
          <w:szCs w:val="24"/>
        </w:rPr>
        <w:t>MZR</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Monitoringa un ziņošanas regula</w:t>
      </w:r>
    </w:p>
    <w:p>
      <w:pPr>
        <w:spacing w:after="120"/>
        <w:rPr>
          <w:rFonts w:ascii="Times New Roman" w:hAnsi="Times New Roman"/>
          <w:noProof/>
          <w:sz w:val="24"/>
          <w:szCs w:val="24"/>
        </w:rPr>
      </w:pPr>
      <w:r>
        <w:rPr>
          <w:rFonts w:ascii="Times New Roman" w:hAnsi="Times New Roman"/>
          <w:noProof/>
          <w:sz w:val="24"/>
          <w:szCs w:val="24"/>
        </w:rPr>
        <w:t>MZVA</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Monitorings, ziņošana, verifikācija un akreditācija</w:t>
      </w:r>
    </w:p>
    <w:p>
      <w:pPr>
        <w:spacing w:after="120"/>
        <w:rPr>
          <w:rFonts w:ascii="Times New Roman" w:hAnsi="Times New Roman"/>
          <w:noProof/>
          <w:sz w:val="24"/>
          <w:szCs w:val="24"/>
        </w:rPr>
      </w:pPr>
      <w:r>
        <w:rPr>
          <w:rFonts w:ascii="Times New Roman" w:hAnsi="Times New Roman"/>
          <w:noProof/>
          <w:sz w:val="24"/>
          <w:szCs w:val="24"/>
        </w:rPr>
        <w:t xml:space="preserve">TSR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Tirgus stabilitātes rezerve</w:t>
      </w:r>
    </w:p>
    <w:p>
      <w:pPr>
        <w:spacing w:after="120"/>
        <w:rPr>
          <w:rFonts w:ascii="Times New Roman" w:hAnsi="Times New Roman"/>
          <w:noProof/>
          <w:sz w:val="24"/>
          <w:szCs w:val="24"/>
        </w:rPr>
      </w:pPr>
      <w:r>
        <w:rPr>
          <w:rFonts w:ascii="Times New Roman" w:hAnsi="Times New Roman"/>
          <w:noProof/>
          <w:sz w:val="24"/>
          <w:szCs w:val="24"/>
        </w:rPr>
        <w:t>VAS</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Valsts akreditācijas struktūra</w:t>
      </w:r>
    </w:p>
    <w:p>
      <w:pPr>
        <w:spacing w:after="120"/>
        <w:rPr>
          <w:rFonts w:ascii="Times New Roman" w:hAnsi="Times New Roman"/>
          <w:noProof/>
          <w:sz w:val="24"/>
          <w:szCs w:val="24"/>
        </w:rPr>
      </w:pPr>
      <w:r>
        <w:rPr>
          <w:rFonts w:ascii="Times New Roman" w:hAnsi="Times New Roman"/>
          <w:i/>
          <w:noProof/>
          <w:sz w:val="24"/>
          <w:szCs w:val="24"/>
        </w:rPr>
        <w:t>NER</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Jaunu iekārtu rezerve</w:t>
      </w:r>
    </w:p>
    <w:p>
      <w:pPr>
        <w:spacing w:after="120"/>
        <w:rPr>
          <w:rFonts w:ascii="Times New Roman" w:hAnsi="Times New Roman"/>
          <w:noProof/>
          <w:sz w:val="24"/>
          <w:szCs w:val="24"/>
        </w:rPr>
      </w:pPr>
      <w:r>
        <w:rPr>
          <w:rFonts w:ascii="Times New Roman" w:hAnsi="Times New Roman"/>
          <w:i/>
          <w:noProof/>
          <w:sz w:val="24"/>
          <w:szCs w:val="24"/>
        </w:rPr>
        <w:t>OTC</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Ārpusbiržas</w:t>
      </w:r>
    </w:p>
    <w:p>
      <w:pPr>
        <w:spacing w:after="120"/>
        <w:rPr>
          <w:rFonts w:ascii="Times New Roman" w:hAnsi="Times New Roman"/>
          <w:noProof/>
          <w:sz w:val="24"/>
          <w:szCs w:val="24"/>
        </w:rPr>
      </w:pPr>
      <w:r>
        <w:rPr>
          <w:rFonts w:ascii="Times New Roman" w:hAnsi="Times New Roman"/>
          <w:i/>
          <w:noProof/>
          <w:sz w:val="24"/>
          <w:szCs w:val="24"/>
        </w:rPr>
        <w:t>PFC</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Perfluorogļūdeņraži</w:t>
      </w:r>
    </w:p>
    <w:p>
      <w:pPr>
        <w:spacing w:after="120"/>
        <w:rPr>
          <w:rFonts w:ascii="Times New Roman" w:hAnsi="Times New Roman"/>
          <w:noProof/>
          <w:sz w:val="24"/>
          <w:szCs w:val="24"/>
        </w:rPr>
      </w:pPr>
      <w:r>
        <w:rPr>
          <w:rFonts w:ascii="Times New Roman" w:hAnsi="Times New Roman"/>
          <w:noProof/>
          <w:sz w:val="24"/>
          <w:szCs w:val="24"/>
        </w:rPr>
        <w:t>AER</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Atjaunojamie energoresursi</w:t>
      </w:r>
    </w:p>
    <w:p>
      <w:pPr>
        <w:spacing w:after="120"/>
        <w:rPr>
          <w:rFonts w:ascii="Times New Roman" w:hAnsi="Times New Roman"/>
          <w:noProof/>
          <w:sz w:val="24"/>
          <w:szCs w:val="24"/>
        </w:rPr>
      </w:pPr>
      <w:r>
        <w:rPr>
          <w:rFonts w:ascii="Times New Roman" w:hAnsi="Times New Roman"/>
          <w:noProof/>
          <w:sz w:val="24"/>
          <w:szCs w:val="24"/>
        </w:rPr>
        <w:t>SARPs</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i/>
          <w:noProof/>
          <w:sz w:val="24"/>
          <w:szCs w:val="24"/>
        </w:rPr>
        <w:t>CORSIA</w:t>
      </w:r>
      <w:r>
        <w:rPr>
          <w:rFonts w:ascii="Times New Roman" w:hAnsi="Times New Roman"/>
          <w:noProof/>
          <w:sz w:val="24"/>
          <w:szCs w:val="24"/>
        </w:rPr>
        <w:t xml:space="preserve"> standarti un ieteicamā prakse</w:t>
      </w:r>
    </w:p>
    <w:p>
      <w:pPr>
        <w:rPr>
          <w:rFonts w:ascii="Times New Roman" w:hAnsi="Times New Roman"/>
          <w:noProof/>
          <w:sz w:val="24"/>
          <w:szCs w:val="24"/>
        </w:rPr>
      </w:pPr>
      <w:r>
        <w:rPr>
          <w:rFonts w:ascii="Times New Roman" w:hAnsi="Times New Roman"/>
          <w:i/>
          <w:noProof/>
          <w:sz w:val="24"/>
          <w:szCs w:val="24"/>
        </w:rPr>
        <w:t>TNAC</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Apgrozībā esošo kvotu kopskaits</w:t>
      </w:r>
    </w:p>
    <w:p>
      <w:pPr>
        <w:rPr>
          <w:rFonts w:ascii="Times New Roman" w:hAnsi="Times New Roman"/>
          <w:noProof/>
          <w:sz w:val="24"/>
          <w:szCs w:val="24"/>
        </w:rPr>
      </w:pPr>
    </w:p>
    <w:p>
      <w:pPr>
        <w:rPr>
          <w:rFonts w:ascii="Times New Roman" w:hAnsi="Times New Roman"/>
          <w:noProof/>
          <w:szCs w:val="24"/>
        </w:rPr>
      </w:pPr>
    </w:p>
    <w:p>
      <w:pPr>
        <w:rPr>
          <w:rFonts w:ascii="Times New Roman" w:hAnsi="Times New Roman"/>
          <w:noProof/>
          <w:szCs w:val="24"/>
        </w:rPr>
      </w:pPr>
    </w:p>
    <w:p>
      <w:pPr>
        <w:rPr>
          <w:rFonts w:ascii="Times New Roman" w:hAnsi="Times New Roman"/>
          <w:noProof/>
          <w:szCs w:val="24"/>
        </w:rPr>
      </w:pPr>
    </w:p>
    <w:p>
      <w:pPr>
        <w:rPr>
          <w:rFonts w:ascii="Times New Roman" w:hAnsi="Times New Roman"/>
          <w:noProof/>
          <w:szCs w:val="24"/>
        </w:rPr>
      </w:pPr>
    </w:p>
    <w:p>
      <w:pPr>
        <w:rPr>
          <w:rFonts w:ascii="Times New Roman" w:hAnsi="Times New Roman"/>
          <w:noProof/>
          <w:szCs w:val="24"/>
        </w:rPr>
      </w:pPr>
    </w:p>
    <w:p>
      <w:pPr>
        <w:rPr>
          <w:rFonts w:ascii="Times New Roman" w:hAnsi="Times New Roman"/>
          <w:noProof/>
          <w:szCs w:val="24"/>
        </w:rPr>
      </w:pPr>
    </w:p>
    <w:p>
      <w:pPr>
        <w:rPr>
          <w:rFonts w:ascii="Times New Roman" w:hAnsi="Times New Roman"/>
          <w:noProof/>
          <w:szCs w:val="24"/>
        </w:rPr>
      </w:pPr>
    </w:p>
    <w:p>
      <w:pPr>
        <w:rPr>
          <w:rFonts w:ascii="Times New Roman" w:hAnsi="Times New Roman"/>
          <w:noProof/>
          <w:szCs w:val="24"/>
        </w:rPr>
      </w:pPr>
    </w:p>
    <w:p>
      <w:pPr>
        <w:rPr>
          <w:rFonts w:ascii="Times New Roman" w:hAnsi="Times New Roman"/>
          <w:noProof/>
          <w:szCs w:val="24"/>
        </w:rPr>
      </w:pPr>
    </w:p>
    <w:p>
      <w:pPr>
        <w:pStyle w:val="Heading1"/>
        <w:rPr>
          <w:noProof/>
        </w:rPr>
      </w:pPr>
      <w:bookmarkStart w:id="3" w:name="_Toc24103520"/>
      <w:r>
        <w:rPr>
          <w:noProof/>
        </w:rPr>
        <w:t>KOPSAVILKUMS</w:t>
      </w:r>
      <w:bookmarkEnd w:id="3"/>
    </w:p>
    <w:p>
      <w:pPr>
        <w:rPr>
          <w:rFonts w:ascii="Times New Roman" w:hAnsi="Times New Roman"/>
          <w:noProof/>
          <w:sz w:val="24"/>
          <w:szCs w:val="24"/>
        </w:rPr>
      </w:pPr>
      <w:r>
        <w:rPr>
          <w:rFonts w:ascii="Times New Roman" w:hAnsi="Times New Roman"/>
          <w:noProof/>
          <w:lang w:val="en-GB" w:eastAsia="en-GB"/>
        </w:rPr>
        <mc:AlternateContent>
          <mc:Choice Requires="wps">
            <w:drawing>
              <wp:inline distT="0" distB="0" distL="0" distR="0">
                <wp:extent cx="5691226" cy="4657725"/>
                <wp:effectExtent l="0" t="0" r="24130" b="2857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26" cy="4657725"/>
                        </a:xfrm>
                        <a:prstGeom prst="rect">
                          <a:avLst/>
                        </a:prstGeom>
                        <a:solidFill>
                          <a:sysClr val="window" lastClr="FFFFFF">
                            <a:lumMod val="85000"/>
                          </a:sysClr>
                        </a:solidFill>
                        <a:ln w="12700">
                          <a:solidFill>
                            <a:srgbClr val="000000"/>
                          </a:solidFill>
                          <a:miter lim="800000"/>
                          <a:headEnd/>
                          <a:tailEnd/>
                        </a:ln>
                      </wps:spPr>
                      <wps:txbx>
                        <w:txbxContent>
                          <w:p>
                            <w:pPr>
                              <w:jc w:val="both"/>
                              <w:rPr>
                                <w:rFonts w:ascii="Times New Roman" w:hAnsi="Times New Roman"/>
                                <w:sz w:val="24"/>
                                <w:szCs w:val="24"/>
                              </w:rPr>
                            </w:pPr>
                            <w:r>
                              <w:rPr>
                                <w:rFonts w:ascii="Times New Roman" w:hAnsi="Times New Roman"/>
                                <w:sz w:val="24"/>
                                <w:szCs w:val="24"/>
                              </w:rPr>
                              <w:t>2018. gadā emisijas no iekārtām, uz kurām attiecas ES emisijas kvotu tirdzniecības sistēma (ES ETS), samazinājās par 4,1 %, salīdzinot ar 2017. gadu. Samazinājumu galvenokārt noteica elektroenerģijas un siltuma ražošana, turpretī rūpniecības radītās emisijas samazinājās tikai nedaudz (sk. 7. tabulu 3.2. iedaļā). Aviācijas nozares verificētās emisijas turpināja pieaugt, uzrādot pieaugumu par 3,9 %, salīdzinot ar 2017. gadu (sk. 8. tabulu 4. iedaļā).</w:t>
                            </w:r>
                          </w:p>
                          <w:p>
                            <w:pPr>
                              <w:jc w:val="both"/>
                              <w:rPr>
                                <w:rFonts w:ascii="Times New Roman" w:hAnsi="Times New Roman"/>
                                <w:sz w:val="24"/>
                                <w:szCs w:val="24"/>
                              </w:rPr>
                            </w:pPr>
                            <w:r>
                              <w:rPr>
                                <w:rFonts w:ascii="Times New Roman" w:hAnsi="Times New Roman"/>
                                <w:sz w:val="24"/>
                                <w:szCs w:val="24"/>
                              </w:rPr>
                              <w:t xml:space="preserve">Pēc pārskatītās ES ETS direktīvas pieņemšanas uzmanības centrā ir jauno noteikumu īstenošana pirms ceturtā posma sākuma. Īstenošanas darbs norit ar pilnu jaudu — iepriekšējā gadā ir pieņemti jauni īstenošanas tiesību akti par oglekļa emisiju pārvirzes sarakstu, bezmaksas kvotu iedales noteikumiem, Inovāciju fondu, izsolīšanu, MZVA un Savienības reģistru (sk. 2.2., 3.1.2. un 6.1. nodaļu). </w:t>
                            </w:r>
                          </w:p>
                          <w:p>
                            <w:pPr>
                              <w:jc w:val="both"/>
                              <w:rPr>
                                <w:rFonts w:ascii="Times New Roman" w:hAnsi="Times New Roman"/>
                                <w:sz w:val="24"/>
                                <w:szCs w:val="24"/>
                              </w:rPr>
                            </w:pPr>
                            <w:r>
                              <w:rPr>
                                <w:rFonts w:ascii="Times New Roman" w:hAnsi="Times New Roman"/>
                                <w:sz w:val="24"/>
                                <w:szCs w:val="24"/>
                              </w:rPr>
                              <w:t>Tika publicēts trešais tirgus stabilitātes rezerves pārpalikuma rādītājs, kurā norādītais skaits bija 1 654 909 824 kvotas. Pēc tā publicēšanas turpināsies kvotu iekļaušana rezervē, kas samazinās 2019. gadā izsolāmo apjomu gandrīz par 40 % vai nepilniem 397 miljoniem kvotu (sk. 3.3. nodaļu).</w:t>
                            </w:r>
                          </w:p>
                          <w:p>
                            <w:pPr>
                              <w:jc w:val="both"/>
                              <w:rPr>
                                <w:rFonts w:ascii="Times New Roman" w:hAnsi="Times New Roman"/>
                                <w:sz w:val="24"/>
                                <w:szCs w:val="24"/>
                              </w:rPr>
                            </w:pPr>
                            <w:r>
                              <w:rPr>
                                <w:rFonts w:ascii="Times New Roman" w:hAnsi="Times New Roman"/>
                                <w:sz w:val="24"/>
                                <w:szCs w:val="24"/>
                              </w:rPr>
                              <w:t xml:space="preserve">2018. gadā pastiprināts oglekļa cenas signāls Eiropas oglekļa tirgū noveda pie tā, ka dalībvalstu kvotu izsolīšanā tika gūti rekordaugsti ieņēmumi — aptuveni 14 miljardi EUR. Dalībvalstis gandrīz 70 % no šiem ieņēmumiem gadā iztērēja vai plānoja iztērēt konkrētiem ar klimatu un enerģiju saistītiem mērķiem (sk. 3.1.2.4. nodaļu). </w:t>
                            </w:r>
                          </w:p>
                          <w:p>
                            <w:pPr>
                              <w:jc w:val="both"/>
                            </w:pP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48.15pt;height:3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" fillcolor="#d9d9d9" strokeweight="1pt">
                <v:textbox>
                  <w:txbxContent>
                    <w:p>
                      <w:pPr>
                        <w:jc w:val="both"/>
                        <w:rPr>
                          <w:rFonts w:ascii="Times New Roman" w:hAnsi="Times New Roman"/>
                          <w:sz w:val="24"/>
                          <w:szCs w:val="24"/>
                        </w:rPr>
                      </w:pPr>
                      <w:r>
                        <w:rPr>
                          <w:rFonts w:ascii="Times New Roman" w:hAnsi="Times New Roman"/>
                          <w:sz w:val="24"/>
                          <w:szCs w:val="24"/>
                        </w:rPr>
                        <w:t>2018. gadā emisijas no iekārtām, uz kurām attiecas ES emisijas kvotu tirdzniecības sistēma (ES ETS), samazinājās par 4,1 %, salīdzinot ar 2017. gadu. Samazinājumu galvenokārt noteica elektroenerģijas un siltuma ražošana, turpretī rūpniecības radītās emisijas samazinājās tikai nedaudz (sk. 7. tabulu 3.2. iedaļā). Aviācijas nozares verificētās emisijas turpināja pieaugt, uzrādot pieaugumu par 3,9 %, salīdzinot ar 2017. gadu (sk. 8. tabulu 4. iedaļā).</w:t>
                      </w:r>
                    </w:p>
                    <w:p>
                      <w:pPr>
                        <w:jc w:val="both"/>
                        <w:rPr>
                          <w:rFonts w:ascii="Times New Roman" w:hAnsi="Times New Roman"/>
                          <w:sz w:val="24"/>
                          <w:szCs w:val="24"/>
                        </w:rPr>
                      </w:pPr>
                      <w:r>
                        <w:rPr>
                          <w:rFonts w:ascii="Times New Roman" w:hAnsi="Times New Roman"/>
                          <w:sz w:val="24"/>
                          <w:szCs w:val="24"/>
                        </w:rPr>
                        <w:t xml:space="preserve">Pēc pārskatītās ES ETS direktīvas pieņemšanas uzmanības centrā ir jauno noteikumu īstenošana pirms ceturtā posma sākuma. Īstenošanas darbs norit ar pilnu jaudu — iepriekšējā gadā ir pieņemti jauni īstenošanas tiesību akti par oglekļa emisiju pārvirzes sarakstu, bezmaksas kvotu iedales noteikumiem, Inovāciju fondu, izsolīšanu, MZVA un Savienības reģistru (sk. 2.2., 3.1.2. un 6.1. nodaļu). </w:t>
                      </w:r>
                    </w:p>
                    <w:p>
                      <w:pPr>
                        <w:jc w:val="both"/>
                        <w:rPr>
                          <w:rFonts w:ascii="Times New Roman" w:hAnsi="Times New Roman"/>
                          <w:sz w:val="24"/>
                          <w:szCs w:val="24"/>
                        </w:rPr>
                      </w:pPr>
                      <w:r>
                        <w:rPr>
                          <w:rFonts w:ascii="Times New Roman" w:hAnsi="Times New Roman"/>
                          <w:sz w:val="24"/>
                          <w:szCs w:val="24"/>
                        </w:rPr>
                        <w:t>Tika publicēts trešais tirgus stabilitātes rezerves pārpalikuma rādītājs, kurā norādītais skaits bija 1 654 909 824 kvotas. Pēc tā publicēšanas turpināsies kvotu iekļaušana rezervē, kas samazinās 2019. gadā izsolāmo apjomu gandrīz par 40 % vai nepilniem 397 miljoniem kvotu (sk. 3.3. nodaļu).</w:t>
                      </w:r>
                    </w:p>
                    <w:p>
                      <w:pPr>
                        <w:jc w:val="both"/>
                        <w:rPr>
                          <w:rFonts w:ascii="Times New Roman" w:hAnsi="Times New Roman"/>
                          <w:sz w:val="24"/>
                          <w:szCs w:val="24"/>
                        </w:rPr>
                      </w:pPr>
                      <w:r>
                        <w:rPr>
                          <w:rFonts w:ascii="Times New Roman" w:hAnsi="Times New Roman"/>
                          <w:sz w:val="24"/>
                          <w:szCs w:val="24"/>
                        </w:rPr>
                        <w:t xml:space="preserve">2018. gadā pastiprināts oglekļa cenas signāls Eiropas oglekļa tirgū noveda pie tā, ka dalībvalstu kvotu izsolīšanā tika gūti rekordaugsti ieņēmumi — aptuveni 14 miljardi EUR. Dalībvalstis gandrīz 70 % no šiem ieņēmumiem gadā iztērēja vai plānoja iztērēt konkrētiem ar klimatu un enerģiju saistītiem mērķiem (sk. 3.1.2.4. nodaļu). </w:t>
                      </w:r>
                    </w:p>
                    <w:p>
                      <w:pPr>
                        <w:jc w:val="both"/>
                      </w:pPr>
                    </w:p>
                  </w:txbxContent>
                </v:textbox>
                <w10:anchorlock/>
              </v:shape>
            </w:pict>
          </mc:Fallback>
        </mc:AlternateContent>
      </w:r>
    </w:p>
    <w:p>
      <w:pPr>
        <w:jc w:val="both"/>
        <w:rPr>
          <w:rFonts w:ascii="Times New Roman" w:hAnsi="Times New Roman"/>
          <w:noProof/>
          <w:sz w:val="24"/>
          <w:szCs w:val="24"/>
        </w:rPr>
      </w:pPr>
    </w:p>
    <w:p>
      <w:pPr>
        <w:jc w:val="both"/>
        <w:rPr>
          <w:rFonts w:ascii="Times New Roman" w:hAnsi="Times New Roman"/>
          <w:noProof/>
          <w:sz w:val="24"/>
          <w:szCs w:val="24"/>
        </w:rPr>
      </w:pPr>
    </w:p>
    <w:p>
      <w:pPr>
        <w:jc w:val="both"/>
        <w:rPr>
          <w:rFonts w:ascii="Times New Roman" w:hAnsi="Times New Roman"/>
          <w:noProof/>
          <w:sz w:val="24"/>
          <w:szCs w:val="24"/>
        </w:rPr>
      </w:pPr>
    </w:p>
    <w:p>
      <w:pPr>
        <w:jc w:val="both"/>
        <w:rPr>
          <w:rFonts w:ascii="Times New Roman" w:hAnsi="Times New Roman"/>
          <w:noProof/>
          <w:sz w:val="24"/>
          <w:szCs w:val="24"/>
        </w:rPr>
      </w:pPr>
    </w:p>
    <w:p>
      <w:pPr>
        <w:jc w:val="both"/>
        <w:rPr>
          <w:rFonts w:ascii="Times New Roman" w:hAnsi="Times New Roman"/>
          <w:noProof/>
          <w:sz w:val="24"/>
          <w:szCs w:val="24"/>
        </w:rPr>
      </w:pPr>
    </w:p>
    <w:p>
      <w:pPr>
        <w:jc w:val="both"/>
        <w:rPr>
          <w:rFonts w:ascii="Times New Roman" w:hAnsi="Times New Roman"/>
          <w:noProof/>
          <w:sz w:val="24"/>
          <w:szCs w:val="24"/>
        </w:rPr>
      </w:pPr>
    </w:p>
    <w:p>
      <w:pPr>
        <w:jc w:val="both"/>
        <w:rPr>
          <w:rFonts w:ascii="Times New Roman" w:hAnsi="Times New Roman"/>
          <w:noProof/>
          <w:sz w:val="24"/>
          <w:szCs w:val="24"/>
        </w:rPr>
      </w:pPr>
    </w:p>
    <w:p>
      <w:pPr>
        <w:jc w:val="both"/>
        <w:rPr>
          <w:rFonts w:ascii="Times New Roman" w:hAnsi="Times New Roman"/>
          <w:noProof/>
          <w:sz w:val="24"/>
          <w:szCs w:val="24"/>
        </w:rPr>
      </w:pPr>
    </w:p>
    <w:p>
      <w:pPr>
        <w:rPr>
          <w:rFonts w:ascii="Times New Roman" w:hAnsi="Times New Roman"/>
          <w:noProof/>
        </w:rPr>
      </w:pPr>
    </w:p>
    <w:p>
      <w:pPr>
        <w:rPr>
          <w:rFonts w:ascii="Times New Roman" w:hAnsi="Times New Roman"/>
          <w:noProof/>
        </w:rPr>
      </w:pPr>
    </w:p>
    <w:p>
      <w:pPr>
        <w:pStyle w:val="Heading1"/>
        <w:rPr>
          <w:noProof/>
        </w:rPr>
      </w:pPr>
      <w:bookmarkStart w:id="4" w:name="_Toc24103521"/>
      <w:r>
        <w:rPr>
          <w:noProof/>
        </w:rPr>
        <w:t>1. IEVADS</w:t>
      </w:r>
      <w:bookmarkEnd w:id="4"/>
    </w:p>
    <w:p>
      <w:pPr>
        <w:jc w:val="both"/>
        <w:rPr>
          <w:rFonts w:ascii="Times New Roman" w:hAnsi="Times New Roman"/>
          <w:b/>
          <w:noProof/>
          <w:sz w:val="24"/>
          <w:szCs w:val="24"/>
        </w:rPr>
      </w:pPr>
      <w:r>
        <w:rPr>
          <w:rFonts w:ascii="Times New Roman" w:hAnsi="Times New Roman"/>
          <w:noProof/>
          <w:sz w:val="24"/>
          <w:szCs w:val="24"/>
        </w:rPr>
        <w:t>ES emisijas kvotu tirdzniecības sistēma (ES ETS) ir pamatā ES stratēģijai, kuras mērķis kopš 2005. gada ir samazināt siltumnīcefekta gāzu (SEG) emisijas rūpniecības, kā arī elektroenerģijas un siltuma ražošanas nozarē. Minētā sistēma sniedz lielu ieguldījumu, lai tiktu sasniegts ES kopējais mērķis — līdz 2020. gadam samazināt SEG emisiju par 20 % salīdzinājumā ar 1990. gada līmeni. Lai gan ES ir ceļā uz šā mērķa pārsniegšanu, būs nepieciešams pastāvīgs progress, lai atbildīgi samazinātu SEG emisiju par vismaz 40 % (esošajā ES 2030. gada klimata un enerģētikas politikas satvarā) un vismaz par 50 %, tuvojoties 55 % (ņemot vērā jaunās Komisijas politikas pamatnostādnes</w:t>
      </w:r>
      <w:r>
        <w:rPr>
          <w:rStyle w:val="FootnoteReference"/>
          <w:rFonts w:ascii="Times New Roman" w:hAnsi="Times New Roman"/>
          <w:noProof/>
          <w:sz w:val="24"/>
          <w:szCs w:val="24"/>
        </w:rPr>
        <w:footnoteReference w:id="1"/>
      </w:r>
      <w:r>
        <w:rPr>
          <w:rFonts w:ascii="Times New Roman" w:hAnsi="Times New Roman"/>
          <w:noProof/>
          <w:sz w:val="24"/>
          <w:szCs w:val="24"/>
        </w:rPr>
        <w:t>).</w:t>
      </w:r>
    </w:p>
    <w:p>
      <w:pPr>
        <w:jc w:val="both"/>
        <w:rPr>
          <w:rFonts w:ascii="Times New Roman" w:hAnsi="Times New Roman"/>
          <w:noProof/>
          <w:sz w:val="24"/>
          <w:szCs w:val="24"/>
        </w:rPr>
      </w:pPr>
      <w:r>
        <w:rPr>
          <w:rFonts w:ascii="Times New Roman" w:hAnsi="Times New Roman"/>
          <w:noProof/>
          <w:sz w:val="24"/>
          <w:szCs w:val="24"/>
        </w:rPr>
        <w:t>Gatavojoties ES ETS ceturtajam posmam, to reglamentējošie tiesību akti tika pārskatīti</w:t>
      </w:r>
      <w:r>
        <w:rPr>
          <w:rStyle w:val="FootnoteReference"/>
          <w:rFonts w:ascii="Times New Roman" w:hAnsi="Times New Roman"/>
          <w:noProof/>
          <w:sz w:val="24"/>
          <w:szCs w:val="24"/>
        </w:rPr>
        <w:footnoteReference w:id="2"/>
      </w:r>
      <w:r>
        <w:rPr>
          <w:rFonts w:ascii="Times New Roman" w:hAnsi="Times New Roman"/>
          <w:noProof/>
          <w:sz w:val="24"/>
          <w:szCs w:val="24"/>
        </w:rPr>
        <w:t xml:space="preserve"> 2018. gada aprīlī, un kopš tā laika ļoti strauji notiek īstenošanas tiesību aktu pieņemšana ceturtajam tirdzniecības periodam. Iepriekšējā gadā tika pieņemti īstenošanas tiesību akti attiecībā uz jauno oglekļa emisiju pārvirzes sarakstu un bezmaksas kvotu iedales noteikumiem, kā arī tika pārskatīts Savienības reģistra sistēmas tiesiskais regulējums, lai ņemtu vērā ceturtajam posmam nepieciešamās izmaiņas. Turklāt ir izveidoti noteikumi Inovāciju fonda — galvenā ETS instrumenta, ar ko ceturtajā posmā finansē mazoglekļa novatoriskas tehnoloģijas un radikālu inovāciju — darbībai. Vienlaikus ir pārskatīta Izsoļu regula, lai 2020. gadā varētu izsolīt pirmos 50 miljonus kvotu Inovāciju fonda vajadzībām. Komisija 2019. gada augustā ETS tiesību aktus pārskatīja vēlreiz nolūkā izveidot tādu institucionālo satvaru, , kas ceturtajā posmā nodrošinātu kvotu izsolīšanu Inovāciju fonda un Modernizācijas fonda labā. Visbeidzot, bet ne mazāk svarīgi, — ir atjaunināts ES ETS monitoringa, ziņošanas, verifikācijas un akreditācijas (MZVA) satvars, lai uzlabotu un precizētu esošos noteikumus, balstoties uz trešajā posmā gūto īstenošanas pieredzi. Komisija rīkojas, lai ātri pabeigtu darbu pie atlikušajiem īstenošanas noteikumiem, kuri būtu jāpieņem pirms 2021. gada janvāra, kad sāksies jaunais tirdzniecības periods. </w:t>
      </w:r>
    </w:p>
    <w:p>
      <w:pPr>
        <w:jc w:val="both"/>
        <w:rPr>
          <w:rFonts w:ascii="Times New Roman" w:hAnsi="Times New Roman"/>
          <w:noProof/>
          <w:sz w:val="24"/>
          <w:szCs w:val="24"/>
        </w:rPr>
      </w:pPr>
      <w:r>
        <w:rPr>
          <w:rFonts w:ascii="Times New Roman" w:hAnsi="Times New Roman"/>
          <w:noProof/>
          <w:sz w:val="24"/>
          <w:szCs w:val="24"/>
        </w:rPr>
        <w:t xml:space="preserve">Pēdējos gados izdarītie tiesību aktu grozījumi, kuru mērķis bija risināt problēmu ar kvotu pārpalikumu oglekļa tirgū, ir sākušas dot rezultātus. Kopš pēdējā ziņojuma par oglekļa tirgus darbību publicēšanas trešo reizi ir publicēts tirgus stabilitātes rezerves pārpalikuma rādītājs. Balstoties uz šo rādītāju un pārskatītajiem ES ETS tiesību aktiem, izsolāmais kvotu apjoms 2019. gadā tiks samazināts gandrīz par 400 miljoniem kvotu, kas atbilst 24 % pārpalikuma. </w:t>
      </w:r>
    </w:p>
    <w:p>
      <w:pPr>
        <w:jc w:val="both"/>
        <w:rPr>
          <w:rFonts w:ascii="Times New Roman" w:hAnsi="Times New Roman"/>
          <w:noProof/>
          <w:sz w:val="24"/>
          <w:szCs w:val="24"/>
        </w:rPr>
      </w:pPr>
      <w:r>
        <w:rPr>
          <w:rFonts w:ascii="Times New Roman" w:hAnsi="Times New Roman"/>
          <w:noProof/>
          <w:sz w:val="24"/>
          <w:szCs w:val="24"/>
        </w:rPr>
        <w:t>Iepriekšējā gadā bija raksturīga arī lielāka tirgus dalībnieku pārliecība, un tas atbalsojās kā spēcīgāks oglekļa cenas signāls. Augstāku emisijas kvotu cenu rezultātā būtiski palielinājās dalībvalstu kopējie ieņēmumi no izsolēm — 2018. gadā kopējie gūtie ieņēmumi bija 14 miljardi EUR, kas vairāk nekā divas reizes pārsniedza 2017. gadā gūtos ieņēmumus. Dalībvalstu iesniegtie dati liecina, ka 2018. gadā gandrīz 70 % no šiem ieņēmumiem tika iztērēti (vai tos bija plānots iztērēt) konkrētiem ar klimatu un enerģiju saistītiem mērķiem.</w:t>
      </w:r>
    </w:p>
    <w:p>
      <w:pPr>
        <w:jc w:val="both"/>
        <w:rPr>
          <w:rFonts w:ascii="Times New Roman" w:hAnsi="Times New Roman"/>
          <w:noProof/>
          <w:sz w:val="24"/>
          <w:szCs w:val="24"/>
        </w:rPr>
      </w:pPr>
      <w:r>
        <w:rPr>
          <w:rFonts w:ascii="Times New Roman" w:hAnsi="Times New Roman"/>
          <w:noProof/>
          <w:sz w:val="24"/>
          <w:szCs w:val="24"/>
        </w:rPr>
        <w:t>Šis ziņojums par Eiropas oglekļa tirgus darbību ir iesniegts saskaņā ar Direktīvas 2003/87/EK</w:t>
      </w:r>
      <w:r>
        <w:rPr>
          <w:rStyle w:val="FootnoteReference"/>
          <w:rFonts w:ascii="Times New Roman" w:hAnsi="Times New Roman"/>
          <w:noProof/>
          <w:sz w:val="24"/>
          <w:szCs w:val="24"/>
        </w:rPr>
        <w:footnoteReference w:id="3"/>
      </w:r>
      <w:r>
        <w:rPr>
          <w:rFonts w:ascii="Times New Roman" w:hAnsi="Times New Roman"/>
          <w:noProof/>
          <w:sz w:val="24"/>
          <w:szCs w:val="24"/>
        </w:rPr>
        <w:t xml:space="preserve"> (ES ETS direktīva) 10. panta 5. punktā un 21. panta 2. punktā izklāstītajām prasībām. Kā norādīts minētajā direktīvā, ziņojuma mērķis ir regulāri — ik gadu — sniegt atskaiti par jaunākajām norisēm Eiropas oglekļa tirgū. </w:t>
      </w:r>
    </w:p>
    <w:p>
      <w:pPr>
        <w:jc w:val="both"/>
        <w:rPr>
          <w:rFonts w:ascii="Times New Roman" w:hAnsi="Times New Roman"/>
          <w:noProof/>
          <w:sz w:val="24"/>
          <w:szCs w:val="24"/>
        </w:rPr>
      </w:pPr>
      <w:r>
        <w:rPr>
          <w:rFonts w:ascii="Times New Roman" w:hAnsi="Times New Roman"/>
          <w:noProof/>
          <w:sz w:val="24"/>
          <w:szCs w:val="24"/>
        </w:rPr>
        <w:t xml:space="preserve">Šis ziņojums aptver 2018. gadu, taču tajā ir sniegta informācija arī par iniciatīvām, kas ierosinātas vai par kurām panākta vienošanās 2019. gada pirmajā pusgadā. </w:t>
      </w:r>
    </w:p>
    <w:p>
      <w:pPr>
        <w:jc w:val="both"/>
        <w:rPr>
          <w:rFonts w:ascii="Times New Roman" w:hAnsi="Times New Roman"/>
          <w:noProof/>
          <w:sz w:val="24"/>
          <w:szCs w:val="24"/>
        </w:rPr>
      </w:pPr>
      <w:r>
        <w:rPr>
          <w:rFonts w:ascii="Times New Roman" w:hAnsi="Times New Roman"/>
          <w:noProof/>
          <w:sz w:val="24"/>
          <w:szCs w:val="24"/>
        </w:rPr>
        <w:t>Ja nav norādīts citādi, šajā ziņojumā ir izmantoti dati, kas bija pieejami publiski un bija nonākuši Komisijas rīcībā līdz 2019. gada jūnija beigām</w:t>
      </w:r>
      <w:r>
        <w:rPr>
          <w:rFonts w:ascii="Times New Roman" w:hAnsi="Times New Roman"/>
          <w:noProof/>
          <w:sz w:val="24"/>
          <w:szCs w:val="24"/>
        </w:rPr>
        <w:footnoteReference w:id="4"/>
      </w:r>
      <w:r>
        <w:rPr>
          <w:rFonts w:ascii="Times New Roman" w:hAnsi="Times New Roman"/>
          <w:noProof/>
          <w:sz w:val="24"/>
          <w:szCs w:val="24"/>
        </w:rPr>
        <w:t>. Vispārīga un aprakstoša informācija par ES ETS ir iekļauta izcēlumos viscaur ziņojumā.</w:t>
      </w:r>
    </w:p>
    <w:p>
      <w:pPr>
        <w:rPr>
          <w:rFonts w:ascii="Times New Roman" w:hAnsi="Times New Roman"/>
          <w:noProof/>
        </w:rPr>
      </w:pPr>
      <w:r>
        <w:rPr>
          <w:rFonts w:ascii="Times New Roman" w:hAnsi="Times New Roman"/>
          <w:noProof/>
        </w:rPr>
        <w:br w:type="page"/>
      </w:r>
    </w:p>
    <w:p>
      <w:pPr>
        <w:jc w:val="both"/>
        <w:rPr>
          <w:rFonts w:ascii="Times New Roman" w:hAnsi="Times New Roman"/>
          <w:b/>
          <w:noProof/>
          <w:sz w:val="24"/>
          <w:szCs w:val="24"/>
        </w:rPr>
      </w:pPr>
      <w:r>
        <w:rPr>
          <w:rFonts w:ascii="Times New Roman" w:hAnsi="Times New Roman"/>
          <w:b/>
          <w:noProof/>
          <w:sz w:val="24"/>
          <w:szCs w:val="24"/>
        </w:rPr>
        <w:t>2. ES ETS INFRASTRUKTŪRA</w:t>
      </w:r>
    </w:p>
    <w:p>
      <w:pPr>
        <w:pStyle w:val="Heading1"/>
        <w:spacing w:before="0" w:after="200"/>
        <w:rPr>
          <w:noProof/>
        </w:rPr>
      </w:pPr>
      <w:bookmarkStart w:id="5" w:name="_Toc24103522"/>
      <w:r>
        <w:rPr>
          <w:noProof/>
        </w:rPr>
        <w:t>2.1. Darbību, iekārtu un gaisa kuģu operatoru iekļaušana</w:t>
      </w:r>
      <w:bookmarkEnd w:id="5"/>
      <w:r>
        <w:rPr>
          <w:noProof/>
        </w:rPr>
        <w:tab/>
      </w:r>
    </w:p>
    <w:p>
      <w:pPr>
        <w:rPr>
          <w:rFonts w:ascii="Times New Roman" w:hAnsi="Times New Roman"/>
          <w:noProof/>
        </w:rPr>
      </w:pPr>
      <w:r>
        <w:rPr>
          <w:rFonts w:ascii="Times New Roman" w:hAnsi="Times New Roman"/>
          <w:noProof/>
          <w:lang w:val="en-GB" w:eastAsia="en-GB"/>
        </w:rPr>
        <mc:AlternateContent>
          <mc:Choice Requires="wps">
            <w:drawing>
              <wp:inline distT="0" distB="0" distL="0" distR="0">
                <wp:extent cx="5691226" cy="7000875"/>
                <wp:effectExtent l="0" t="0" r="24130" b="2857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26" cy="7000875"/>
                        </a:xfrm>
                        <a:prstGeom prst="rect">
                          <a:avLst/>
                        </a:prstGeom>
                        <a:solidFill>
                          <a:sysClr val="window" lastClr="FFFFFF">
                            <a:lumMod val="85000"/>
                          </a:sysClr>
                        </a:solidFill>
                        <a:ln w="12700">
                          <a:solidFill>
                            <a:srgbClr val="000000"/>
                          </a:solidFill>
                          <a:miter lim="800000"/>
                          <a:headEnd/>
                          <a:tailEnd/>
                        </a:ln>
                      </wps:spPr>
                      <wps:txbx>
                        <w:txbxContent>
                          <w:p>
                            <w:pPr>
                              <w:suppressAutoHyphens/>
                              <w:jc w:val="both"/>
                              <w:rPr>
                                <w:rFonts w:ascii="Times New Roman" w:hAnsi="Times New Roman"/>
                                <w:sz w:val="24"/>
                                <w:szCs w:val="24"/>
                              </w:rPr>
                            </w:pPr>
                            <w:r>
                              <w:rPr>
                                <w:rFonts w:ascii="Times New Roman" w:hAnsi="Times New Roman"/>
                                <w:sz w:val="24"/>
                                <w:szCs w:val="24"/>
                              </w:rPr>
                              <w:t>ES ETS darbojas 31 Eiropas Ekonomikas zonas (EEZ) valstī. Tā ierobežo emisijas, ko rada gandrīz 11 000 elektrostaciju un rūpniecības iekārtu un vairāk nekā 500 gaisa kuģu operatoru, kuri veic lidojumus starp EEZ lidostām. Tā aptver aptuveni 39 % no ES SEG emisijas.</w:t>
                            </w:r>
                          </w:p>
                          <w:p>
                            <w:pPr>
                              <w:jc w:val="both"/>
                              <w:rPr>
                                <w:rFonts w:ascii="Times New Roman" w:hAnsi="Times New Roman"/>
                                <w:sz w:val="24"/>
                                <w:szCs w:val="24"/>
                              </w:rPr>
                            </w:pPr>
                            <w:r>
                              <w:rPr>
                                <w:rFonts w:ascii="Times New Roman" w:hAnsi="Times New Roman"/>
                                <w:sz w:val="24"/>
                                <w:szCs w:val="24"/>
                              </w:rPr>
                              <w:t>Trešajā posmā (2013–2020)* sektori ar stacionārām iekārtām, kuras reglamentē ES ETS, ir energoietilpīgās rūpniecības nozares, un te ietilpst elektrostacijas un citas sadedzināšanas iekārtas ar nominālo ievadīto siltumjaudu &gt;20 MW (izņemot bīstamo atkritumu vai sadzīves atkritumu iekārtas), naftas pārstrādes rūpnīcas, koksa krāsnis, dzelzs un tērauda, cementa klinkera, stikla, kaļķu, ķieģeļu, keramikas, celulozes, papīra un kartona, alumīnija, petroķīmisko produktu, amonjaka, slāpekļskābes, adipīnskābes, glioksāla un glioksālskābes ražošana, CO</w:t>
                            </w:r>
                            <w:r>
                              <w:rPr>
                                <w:rFonts w:ascii="Times New Roman" w:hAnsi="Times New Roman"/>
                                <w:sz w:val="24"/>
                                <w:szCs w:val="24"/>
                                <w:vertAlign w:val="subscript"/>
                              </w:rPr>
                              <w:t>2</w:t>
                            </w:r>
                            <w:r>
                              <w:rPr>
                                <w:rFonts w:ascii="Times New Roman" w:hAnsi="Times New Roman"/>
                                <w:sz w:val="24"/>
                                <w:szCs w:val="24"/>
                              </w:rPr>
                              <w:t xml:space="preserve"> uztveršana, transportēšana pa cauruļvadiem un CO</w:t>
                            </w:r>
                            <w:r>
                              <w:rPr>
                                <w:rFonts w:ascii="Times New Roman" w:hAnsi="Times New Roman"/>
                                <w:sz w:val="24"/>
                                <w:szCs w:val="24"/>
                                <w:vertAlign w:val="subscript"/>
                              </w:rPr>
                              <w:t>2</w:t>
                            </w:r>
                            <w:r>
                              <w:rPr>
                                <w:rFonts w:ascii="Times New Roman" w:hAnsi="Times New Roman"/>
                                <w:sz w:val="24"/>
                                <w:szCs w:val="24"/>
                              </w:rPr>
                              <w:t xml:space="preserve"> ģeoloģiska uzglabāšana. </w:t>
                            </w:r>
                          </w:p>
                          <w:p>
                            <w:pPr>
                              <w:jc w:val="both"/>
                              <w:rPr>
                                <w:rFonts w:ascii="Times New Roman" w:hAnsi="Times New Roman"/>
                                <w:sz w:val="24"/>
                                <w:szCs w:val="24"/>
                              </w:rPr>
                            </w:pPr>
                            <w:r>
                              <w:rPr>
                                <w:rFonts w:ascii="Times New Roman" w:hAnsi="Times New Roman"/>
                                <w:sz w:val="24"/>
                                <w:szCs w:val="24"/>
                              </w:rPr>
                              <w:t>Runājot par aviāciju, ES ETS darbības jomā no 2013. līdz 2016. gadam, kamēr Starptautiskā Civilās aviācijas organizācija (</w:t>
                            </w:r>
                            <w:r>
                              <w:rPr>
                                <w:rFonts w:ascii="Times New Roman" w:hAnsi="Times New Roman"/>
                                <w:i/>
                                <w:sz w:val="24"/>
                                <w:szCs w:val="24"/>
                              </w:rPr>
                              <w:t>ICAO</w:t>
                            </w:r>
                            <w:r>
                              <w:rPr>
                                <w:rFonts w:ascii="Times New Roman" w:hAnsi="Times New Roman"/>
                                <w:sz w:val="24"/>
                                <w:szCs w:val="24"/>
                              </w:rPr>
                              <w:t>) nebija pieņēmusi globālu pieeju, bija ietverti tikai lidojumi Eiropas Ekonomikas zonā. Lai atbalstītu Starptautiskās aviācijas radīto CO</w:t>
                            </w:r>
                            <w:r>
                              <w:rPr>
                                <w:rFonts w:ascii="Times New Roman" w:hAnsi="Times New Roman"/>
                                <w:sz w:val="24"/>
                                <w:szCs w:val="24"/>
                                <w:vertAlign w:val="subscript"/>
                              </w:rPr>
                              <w:t>2</w:t>
                            </w:r>
                            <w:r>
                              <w:rPr>
                                <w:rFonts w:ascii="Times New Roman" w:hAnsi="Times New Roman"/>
                                <w:sz w:val="24"/>
                                <w:szCs w:val="24"/>
                              </w:rPr>
                              <w:t xml:space="preserve"> emisiju izlīdzināšanas un samazināšanas shēmas (</w:t>
                            </w:r>
                            <w:r>
                              <w:rPr>
                                <w:rFonts w:ascii="Times New Roman" w:hAnsi="Times New Roman"/>
                                <w:i/>
                                <w:sz w:val="24"/>
                                <w:szCs w:val="24"/>
                              </w:rPr>
                              <w:t>CORSIA</w:t>
                            </w:r>
                            <w:r>
                              <w:rPr>
                                <w:rFonts w:ascii="Times New Roman" w:hAnsi="Times New Roman"/>
                                <w:sz w:val="24"/>
                                <w:szCs w:val="24"/>
                              </w:rPr>
                              <w:t xml:space="preserve">) izstrādi, 2017. gadā līdz 2023. gadam tika pagarināta darbības jomas attiecināšana tikai uz lidojumiem Eiropas Ekonomikas zonas iekšienē (sk. 4. nodaļu). </w:t>
                            </w:r>
                          </w:p>
                          <w:p>
                            <w:pPr>
                              <w:jc w:val="both"/>
                              <w:rPr>
                                <w:rFonts w:ascii="Times New Roman" w:hAnsi="Times New Roman"/>
                                <w:sz w:val="24"/>
                                <w:szCs w:val="24"/>
                              </w:rPr>
                            </w:pPr>
                            <w:r>
                              <w:rPr>
                                <w:rFonts w:ascii="Times New Roman" w:hAnsi="Times New Roman"/>
                                <w:sz w:val="24"/>
                                <w:szCs w:val="24"/>
                              </w:rPr>
                              <w:t>ES ETS aptver oglekļa dioksīda (CO</w:t>
                            </w:r>
                            <w:r>
                              <w:rPr>
                                <w:rFonts w:ascii="Times New Roman" w:hAnsi="Times New Roman"/>
                                <w:sz w:val="24"/>
                                <w:szCs w:val="24"/>
                                <w:vertAlign w:val="subscript"/>
                              </w:rPr>
                              <w:t>2</w:t>
                            </w:r>
                            <w:r>
                              <w:rPr>
                                <w:rFonts w:ascii="Times New Roman" w:hAnsi="Times New Roman"/>
                                <w:sz w:val="24"/>
                                <w:szCs w:val="24"/>
                              </w:rPr>
                              <w:t>) emisijas, kā arī slāpekļa oksīda (N</w:t>
                            </w:r>
                            <w:r>
                              <w:rPr>
                                <w:rFonts w:ascii="Times New Roman" w:hAnsi="Times New Roman"/>
                                <w:sz w:val="24"/>
                                <w:szCs w:val="24"/>
                                <w:vertAlign w:val="subscript"/>
                              </w:rPr>
                              <w:t>2</w:t>
                            </w:r>
                            <w:r>
                              <w:rPr>
                                <w:rFonts w:ascii="Times New Roman" w:hAnsi="Times New Roman"/>
                                <w:sz w:val="24"/>
                                <w:szCs w:val="24"/>
                              </w:rPr>
                              <w:t>O) emisijas, ko rada visu veidu slāpekļskābes, adipīnskābes, glioksālskābes un glioksāla ražošana, un perfluorogļūdeņražu (</w:t>
                            </w:r>
                            <w:r>
                              <w:rPr>
                                <w:rFonts w:ascii="Times New Roman" w:hAnsi="Times New Roman"/>
                                <w:i/>
                                <w:sz w:val="24"/>
                                <w:szCs w:val="24"/>
                              </w:rPr>
                              <w:t>PFC</w:t>
                            </w:r>
                            <w:r>
                              <w:rPr>
                                <w:rFonts w:ascii="Times New Roman" w:hAnsi="Times New Roman"/>
                                <w:sz w:val="24"/>
                                <w:szCs w:val="24"/>
                              </w:rPr>
                              <w:t>) emisijas, ko rada alumīnija ražošana. Lai gan dalība ES ETS ir obligāta, dažās nozarēs ES ETS ir iekļautas tikai iekārtas, kas ir lielākas par noteiktu robežvērtību. Turklāt iesaistītās valstis no sistēmas var izslēgt mazas iekārtas (kas emitē mazāk nekā 25 000 tonnu CO</w:t>
                            </w:r>
                            <w:r>
                              <w:rPr>
                                <w:rFonts w:ascii="Times New Roman" w:hAnsi="Times New Roman"/>
                                <w:sz w:val="24"/>
                                <w:szCs w:val="24"/>
                                <w:vertAlign w:val="subscript"/>
                              </w:rPr>
                              <w:t>2e</w:t>
                            </w:r>
                            <w:r>
                              <w:rPr>
                                <w:rFonts w:ascii="Times New Roman" w:hAnsi="Times New Roman"/>
                                <w:sz w:val="24"/>
                                <w:szCs w:val="24"/>
                              </w:rPr>
                              <w:t>), ja ir ieviesti alternatīvi un līdzvērtīgi pasākumi. Ceturtajā posmā no ES ETS var izslēgt ļoti mazus emitētājus (kuru paziņotās emisijas pēdējos trijos gados nesasniedz 2500 tonnas CO</w:t>
                            </w:r>
                            <w:r>
                              <w:rPr>
                                <w:rFonts w:ascii="Times New Roman" w:hAnsi="Times New Roman"/>
                                <w:sz w:val="24"/>
                                <w:szCs w:val="24"/>
                                <w:vertAlign w:val="subscript"/>
                              </w:rPr>
                              <w:t>2e</w:t>
                            </w:r>
                            <w:r>
                              <w:rPr>
                                <w:rFonts w:ascii="Times New Roman" w:hAnsi="Times New Roman"/>
                                <w:sz w:val="24"/>
                                <w:szCs w:val="24"/>
                              </w:rPr>
                              <w:t>), ja pastāv vienkāršota monitoringa kārtība, kā izvērtēt to radīto emisiju daudzumu. Iesaistītās valstis ES emisijas kvotu tirdzniecības sistēmā var iekļaut arī citas nozares un siltumnīcefekta gāzu emisijas (to sauc par brīvprātīgu iekļaušanu).</w:t>
                            </w:r>
                          </w:p>
                          <w:p>
                            <w:pPr>
                              <w:jc w:val="both"/>
                              <w:rPr>
                                <w:rFonts w:ascii="Times New Roman" w:hAnsi="Times New Roman"/>
                                <w:sz w:val="18"/>
                                <w:szCs w:val="18"/>
                              </w:rPr>
                            </w:pPr>
                            <w:r>
                              <w:rPr>
                                <w:rFonts w:ascii="Times New Roman" w:hAnsi="Times New Roman"/>
                                <w:sz w:val="18"/>
                                <w:szCs w:val="18"/>
                              </w:rPr>
                              <w:t>* Informācija par pirmo un otro ES ETS posmu ir pieejama saitē</w:t>
                            </w:r>
                            <w:r>
                              <w:rPr>
                                <w:rFonts w:ascii="Times New Roman" w:hAnsi="Times New Roman"/>
                              </w:rPr>
                              <w:t xml:space="preserve"> </w:t>
                            </w:r>
                            <w:r>
                              <w:rPr>
                                <w:rFonts w:ascii="Times New Roman" w:hAnsi="Times New Roman"/>
                                <w:sz w:val="18"/>
                                <w:szCs w:val="18"/>
                              </w:rPr>
                              <w:t>https://ec.europa.eu/clima/policies/ets/pre2013_en.</w:t>
                            </w:r>
                          </w:p>
                          <w:p>
                            <w:pPr>
                              <w:jc w:val="both"/>
                            </w:pPr>
                          </w:p>
                        </w:txbxContent>
                      </wps:txbx>
                      <wps:bodyPr rot="0" vert="horz" wrap="square" lIns="91440" tIns="45720" rIns="91440" bIns="45720" anchor="t" anchorCtr="0">
                        <a:noAutofit/>
                      </wps:bodyPr>
                    </wps:wsp>
                  </a:graphicData>
                </a:graphic>
              </wp:inline>
            </w:drawing>
          </mc:Choice>
          <mc:Fallback>
            <w:pict>
              <v:shape id="_x0000_s1027" type="#_x0000_t202" style="width:448.15pt;height:55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" fillcolor="#d9d9d9" strokeweight="1pt">
                <v:textbox>
                  <w:txbxContent>
                    <w:p>
                      <w:pPr>
                        <w:suppressAutoHyphens/>
                        <w:jc w:val="both"/>
                        <w:rPr>
                          <w:rFonts w:ascii="Times New Roman" w:hAnsi="Times New Roman"/>
                          <w:sz w:val="24"/>
                          <w:szCs w:val="24"/>
                        </w:rPr>
                      </w:pPr>
                      <w:r>
                        <w:rPr>
                          <w:rFonts w:ascii="Times New Roman" w:hAnsi="Times New Roman"/>
                          <w:sz w:val="24"/>
                          <w:szCs w:val="24"/>
                        </w:rPr>
                        <w:t>ES ETS darbojas 31 Eiropas Ekonomikas zonas (EEZ) valstī. Tā ierobežo emisijas, ko rada gandrīz 11 000 elektrostaciju un rūpniecības iekārtu un vairāk nekā 500 gaisa kuģu operatoru, kuri veic lidojumus starp EEZ lidostām. Tā aptver aptuveni 39 % no ES SEG emisijas.</w:t>
                      </w:r>
                    </w:p>
                    <w:p>
                      <w:pPr>
                        <w:jc w:val="both"/>
                        <w:rPr>
                          <w:rFonts w:ascii="Times New Roman" w:hAnsi="Times New Roman"/>
                          <w:sz w:val="24"/>
                          <w:szCs w:val="24"/>
                        </w:rPr>
                      </w:pPr>
                      <w:r>
                        <w:rPr>
                          <w:rFonts w:ascii="Times New Roman" w:hAnsi="Times New Roman"/>
                          <w:sz w:val="24"/>
                          <w:szCs w:val="24"/>
                        </w:rPr>
                        <w:t>Trešajā posmā (2013–2020)* sektori ar stacionārām iekārtām, kuras reglamentē ES ETS, ir energoietilpīgās rūpniecības nozares, un te ietilpst elektrostacijas un citas sadedzināšanas iekārtas ar nominālo ievadīto siltumjaudu &gt;20 MW (izņemot bīstamo atkritumu vai sadzīves atkritumu iekārtas), naftas pārstrādes rūpnīcas, koksa krāsnis, dzelzs un tērauda, cementa klinkera, stikla, kaļķu, ķieģeļu, keramikas, celulozes, papīra un kartona, alumīnija, petroķīmisko produktu, amonjaka, slāpekļskābes, adipīnskābes, glioksāla un glioksālskābes ražošana, CO</w:t>
                      </w:r>
                      <w:r>
                        <w:rPr>
                          <w:rFonts w:ascii="Times New Roman" w:hAnsi="Times New Roman"/>
                          <w:sz w:val="24"/>
                          <w:szCs w:val="24"/>
                          <w:vertAlign w:val="subscript"/>
                        </w:rPr>
                        <w:t>2</w:t>
                      </w:r>
                      <w:r>
                        <w:rPr>
                          <w:rFonts w:ascii="Times New Roman" w:hAnsi="Times New Roman"/>
                          <w:sz w:val="24"/>
                          <w:szCs w:val="24"/>
                        </w:rPr>
                        <w:t xml:space="preserve"> uztveršana, transportēšana pa cauruļvadiem un CO</w:t>
                      </w:r>
                      <w:r>
                        <w:rPr>
                          <w:rFonts w:ascii="Times New Roman" w:hAnsi="Times New Roman"/>
                          <w:sz w:val="24"/>
                          <w:szCs w:val="24"/>
                          <w:vertAlign w:val="subscript"/>
                        </w:rPr>
                        <w:t>2</w:t>
                      </w:r>
                      <w:r>
                        <w:rPr>
                          <w:rFonts w:ascii="Times New Roman" w:hAnsi="Times New Roman"/>
                          <w:sz w:val="24"/>
                          <w:szCs w:val="24"/>
                        </w:rPr>
                        <w:t xml:space="preserve"> ģeoloģiska uzglabāšana. </w:t>
                      </w:r>
                    </w:p>
                    <w:p>
                      <w:pPr>
                        <w:jc w:val="both"/>
                        <w:rPr>
                          <w:rFonts w:ascii="Times New Roman" w:hAnsi="Times New Roman"/>
                          <w:sz w:val="24"/>
                          <w:szCs w:val="24"/>
                        </w:rPr>
                      </w:pPr>
                      <w:r>
                        <w:rPr>
                          <w:rFonts w:ascii="Times New Roman" w:hAnsi="Times New Roman"/>
                          <w:sz w:val="24"/>
                          <w:szCs w:val="24"/>
                        </w:rPr>
                        <w:t>Runājot par aviāciju, ES ETS darbības jomā no 2013. līdz 2016. gadam, kamēr Starptautiskā Civilās aviācijas organizācija (</w:t>
                      </w:r>
                      <w:r>
                        <w:rPr>
                          <w:rFonts w:ascii="Times New Roman" w:hAnsi="Times New Roman"/>
                          <w:i/>
                          <w:sz w:val="24"/>
                          <w:szCs w:val="24"/>
                        </w:rPr>
                        <w:t>ICAO</w:t>
                      </w:r>
                      <w:r>
                        <w:rPr>
                          <w:rFonts w:ascii="Times New Roman" w:hAnsi="Times New Roman"/>
                          <w:sz w:val="24"/>
                          <w:szCs w:val="24"/>
                        </w:rPr>
                        <w:t>) nebija pieņēmusi globālu pieeju, bija ietverti tikai lidojumi Eiropas Ekonomikas zonā. Lai atbalstītu Starptautiskās aviācijas radīto CO</w:t>
                      </w:r>
                      <w:r>
                        <w:rPr>
                          <w:rFonts w:ascii="Times New Roman" w:hAnsi="Times New Roman"/>
                          <w:sz w:val="24"/>
                          <w:szCs w:val="24"/>
                          <w:vertAlign w:val="subscript"/>
                        </w:rPr>
                        <w:t>2</w:t>
                      </w:r>
                      <w:r>
                        <w:rPr>
                          <w:rFonts w:ascii="Times New Roman" w:hAnsi="Times New Roman"/>
                          <w:sz w:val="24"/>
                          <w:szCs w:val="24"/>
                        </w:rPr>
                        <w:t xml:space="preserve"> emisiju izlīdzināšanas un samazināšanas shēmas (</w:t>
                      </w:r>
                      <w:r>
                        <w:rPr>
                          <w:rFonts w:ascii="Times New Roman" w:hAnsi="Times New Roman"/>
                          <w:i/>
                          <w:sz w:val="24"/>
                          <w:szCs w:val="24"/>
                        </w:rPr>
                        <w:t>CORSIA</w:t>
                      </w:r>
                      <w:r>
                        <w:rPr>
                          <w:rFonts w:ascii="Times New Roman" w:hAnsi="Times New Roman"/>
                          <w:sz w:val="24"/>
                          <w:szCs w:val="24"/>
                        </w:rPr>
                        <w:t xml:space="preserve">) izstrādi, 2017. gadā līdz 2023. gadam tika pagarināta darbības jomas attiecināšana tikai uz lidojumiem Eiropas Ekonomikas zonas iekšienē (sk. 4. nodaļu). </w:t>
                      </w:r>
                    </w:p>
                    <w:p>
                      <w:pPr>
                        <w:jc w:val="both"/>
                        <w:rPr>
                          <w:rFonts w:ascii="Times New Roman" w:hAnsi="Times New Roman"/>
                          <w:sz w:val="24"/>
                          <w:szCs w:val="24"/>
                        </w:rPr>
                      </w:pPr>
                      <w:r>
                        <w:rPr>
                          <w:rFonts w:ascii="Times New Roman" w:hAnsi="Times New Roman"/>
                          <w:sz w:val="24"/>
                          <w:szCs w:val="24"/>
                        </w:rPr>
                        <w:t>ES ETS aptver oglekļa dioksīda (CO</w:t>
                      </w:r>
                      <w:r>
                        <w:rPr>
                          <w:rFonts w:ascii="Times New Roman" w:hAnsi="Times New Roman"/>
                          <w:sz w:val="24"/>
                          <w:szCs w:val="24"/>
                          <w:vertAlign w:val="subscript"/>
                        </w:rPr>
                        <w:t>2</w:t>
                      </w:r>
                      <w:r>
                        <w:rPr>
                          <w:rFonts w:ascii="Times New Roman" w:hAnsi="Times New Roman"/>
                          <w:sz w:val="24"/>
                          <w:szCs w:val="24"/>
                        </w:rPr>
                        <w:t>) emisijas, kā arī slāpekļa oksīda (N</w:t>
                      </w:r>
                      <w:r>
                        <w:rPr>
                          <w:rFonts w:ascii="Times New Roman" w:hAnsi="Times New Roman"/>
                          <w:sz w:val="24"/>
                          <w:szCs w:val="24"/>
                          <w:vertAlign w:val="subscript"/>
                        </w:rPr>
                        <w:t>2</w:t>
                      </w:r>
                      <w:r>
                        <w:rPr>
                          <w:rFonts w:ascii="Times New Roman" w:hAnsi="Times New Roman"/>
                          <w:sz w:val="24"/>
                          <w:szCs w:val="24"/>
                        </w:rPr>
                        <w:t>O) emisijas, ko rada visu veidu slāpekļskābes, adipīnskābes, glioksālskābes un glioksāla ražošana, un perfluorogļūdeņražu (</w:t>
                      </w:r>
                      <w:r>
                        <w:rPr>
                          <w:rFonts w:ascii="Times New Roman" w:hAnsi="Times New Roman"/>
                          <w:i/>
                          <w:sz w:val="24"/>
                          <w:szCs w:val="24"/>
                        </w:rPr>
                        <w:t>PFC</w:t>
                      </w:r>
                      <w:r>
                        <w:rPr>
                          <w:rFonts w:ascii="Times New Roman" w:hAnsi="Times New Roman"/>
                          <w:sz w:val="24"/>
                          <w:szCs w:val="24"/>
                        </w:rPr>
                        <w:t>) emisijas, ko rada alumīnija ražošana. Lai gan dalība ES ETS ir obligāta, dažās nozarēs ES ETS ir iekļautas tikai iekārtas, kas ir lielākas par noteiktu robežvērtību. Turklāt iesaistītās valstis no sistēmas var izslēgt mazas iekārtas (kas emitē mazāk nekā 25 000 tonnu CO</w:t>
                      </w:r>
                      <w:r>
                        <w:rPr>
                          <w:rFonts w:ascii="Times New Roman" w:hAnsi="Times New Roman"/>
                          <w:sz w:val="24"/>
                          <w:szCs w:val="24"/>
                          <w:vertAlign w:val="subscript"/>
                        </w:rPr>
                        <w:t>2e</w:t>
                      </w:r>
                      <w:r>
                        <w:rPr>
                          <w:rFonts w:ascii="Times New Roman" w:hAnsi="Times New Roman"/>
                          <w:sz w:val="24"/>
                          <w:szCs w:val="24"/>
                        </w:rPr>
                        <w:t>), ja ir ieviesti alternatīvi un līdzvērtīgi pasākumi. Ceturtajā posmā no ES ETS var izslēgt ļoti mazus emitētājus (kuru paziņotās emisijas pēdējos trijos gados nesasniedz 2500 tonnas CO</w:t>
                      </w:r>
                      <w:r>
                        <w:rPr>
                          <w:rFonts w:ascii="Times New Roman" w:hAnsi="Times New Roman"/>
                          <w:sz w:val="24"/>
                          <w:szCs w:val="24"/>
                          <w:vertAlign w:val="subscript"/>
                        </w:rPr>
                        <w:t>2e</w:t>
                      </w:r>
                      <w:r>
                        <w:rPr>
                          <w:rFonts w:ascii="Times New Roman" w:hAnsi="Times New Roman"/>
                          <w:sz w:val="24"/>
                          <w:szCs w:val="24"/>
                        </w:rPr>
                        <w:t>), ja pastāv vienkāršota monitoringa kārtība, kā izvērtēt to radīto emisiju daudzumu. Iesaistītās valstis ES emisijas kvotu tirdzniecības sistēmā var iekļaut arī citas nozares un siltumnīcefekta gāzu emisijas (to sauc par brīvprātīgu iekļaušanu).</w:t>
                      </w:r>
                    </w:p>
                    <w:p>
                      <w:pPr>
                        <w:jc w:val="both"/>
                        <w:rPr>
                          <w:rFonts w:ascii="Times New Roman" w:hAnsi="Times New Roman"/>
                          <w:sz w:val="18"/>
                          <w:szCs w:val="18"/>
                        </w:rPr>
                      </w:pPr>
                      <w:r>
                        <w:rPr>
                          <w:rFonts w:ascii="Times New Roman" w:hAnsi="Times New Roman"/>
                          <w:sz w:val="18"/>
                          <w:szCs w:val="18"/>
                        </w:rPr>
                        <w:t>* Informācija par pirmo un otro ES ETS posmu ir pieejama saitē</w:t>
                      </w:r>
                      <w:r>
                        <w:rPr>
                          <w:rFonts w:ascii="Times New Roman" w:hAnsi="Times New Roman"/>
                        </w:rPr>
                        <w:t xml:space="preserve"> </w:t>
                      </w:r>
                      <w:r>
                        <w:rPr>
                          <w:rFonts w:ascii="Times New Roman" w:hAnsi="Times New Roman"/>
                          <w:sz w:val="18"/>
                          <w:szCs w:val="18"/>
                        </w:rPr>
                        <w:t>https://ec.europa.eu/clima/policies/ets/pre2013_en.</w:t>
                      </w:r>
                    </w:p>
                    <w:p>
                      <w:pPr>
                        <w:jc w:val="both"/>
                      </w:pPr>
                    </w:p>
                  </w:txbxContent>
                </v:textbox>
                <w10:anchorlock/>
              </v:shape>
            </w:pict>
          </mc:Fallback>
        </mc:AlternateContent>
      </w:r>
    </w:p>
    <w:p>
      <w:pPr>
        <w:jc w:val="both"/>
        <w:rPr>
          <w:rFonts w:ascii="Times New Roman" w:hAnsi="Times New Roman"/>
          <w:noProof/>
          <w:sz w:val="24"/>
          <w:szCs w:val="24"/>
        </w:rPr>
      </w:pPr>
      <w:r>
        <w:rPr>
          <w:rFonts w:ascii="Times New Roman" w:hAnsi="Times New Roman"/>
          <w:noProof/>
          <w:sz w:val="24"/>
          <w:szCs w:val="24"/>
        </w:rPr>
        <w:t>Kā liecina ziņojumi, kurus iesaistītās valstis</w:t>
      </w:r>
      <w:r>
        <w:rPr>
          <w:rStyle w:val="FootnoteReference"/>
          <w:rFonts w:ascii="Times New Roman" w:hAnsi="Times New Roman"/>
          <w:noProof/>
          <w:sz w:val="24"/>
          <w:szCs w:val="24"/>
        </w:rPr>
        <w:footnoteReference w:id="5"/>
      </w:r>
      <w:r>
        <w:rPr>
          <w:rFonts w:ascii="Times New Roman" w:hAnsi="Times New Roman"/>
          <w:noProof/>
          <w:sz w:val="24"/>
          <w:szCs w:val="24"/>
        </w:rPr>
        <w:t xml:space="preserve"> iesniegušas 2019. gadā saskaņā ar 21. pantu, 2018. gadā kopā bija 10 744 iekārtas, kurām izsniegtas atļaujas.</w:t>
      </w:r>
    </w:p>
    <w:p>
      <w:pPr>
        <w:jc w:val="both"/>
        <w:rPr>
          <w:rFonts w:ascii="Times New Roman" w:hAnsi="Times New Roman"/>
          <w:noProof/>
          <w:sz w:val="24"/>
          <w:szCs w:val="24"/>
        </w:rPr>
      </w:pPr>
      <w:r>
        <w:rPr>
          <w:rFonts w:ascii="Times New Roman" w:hAnsi="Times New Roman"/>
          <w:noProof/>
          <w:sz w:val="24"/>
          <w:szCs w:val="24"/>
        </w:rPr>
        <w:t>Tāpat kā iepriekšējos gados, arī 2018. gadā ES ETS aptvertajās iekārtās galvenokārt tika sadedzināts fosilais kurināmais. Tomēr 29 valstis ziņoja arī par biomasas izmantošanu 2181 iekārtā (20,3 % no visām iekārtām). Divas valstis (LI un MT) netika ziņojušas par jebkādu biomasas izmantošanu. Biomasas radītās kopējās emisijas 2018. gadā bija aptuveni 151 miljons tonnu CO</w:t>
      </w:r>
      <w:r>
        <w:rPr>
          <w:rFonts w:ascii="Times New Roman" w:hAnsi="Times New Roman"/>
          <w:noProof/>
          <w:sz w:val="24"/>
          <w:szCs w:val="24"/>
          <w:vertAlign w:val="subscript"/>
        </w:rPr>
        <w:t>2</w:t>
      </w:r>
      <w:r>
        <w:rPr>
          <w:rFonts w:ascii="Times New Roman" w:hAnsi="Times New Roman"/>
          <w:noProof/>
          <w:sz w:val="24"/>
          <w:szCs w:val="24"/>
        </w:rPr>
        <w:t xml:space="preserve"> (9% no ES ETS ietvaros paziņotajām emisijām); tas ir nedaudz vairāk nekā 145 miljoni tonnu CO</w:t>
      </w:r>
      <w:r>
        <w:rPr>
          <w:rFonts w:ascii="Times New Roman" w:hAnsi="Times New Roman"/>
          <w:noProof/>
          <w:sz w:val="24"/>
          <w:szCs w:val="24"/>
          <w:vertAlign w:val="subscript"/>
        </w:rPr>
        <w:t>2</w:t>
      </w:r>
      <w:r>
        <w:rPr>
          <w:rFonts w:ascii="Times New Roman" w:hAnsi="Times New Roman"/>
          <w:noProof/>
          <w:sz w:val="24"/>
          <w:szCs w:val="24"/>
        </w:rPr>
        <w:t xml:space="preserve"> 2017. gadā (8 % no ES ETS ietvaros paziņotajām emisijām). Turklāt 99,2 % no tām emisijas faktors bija nulle</w:t>
      </w:r>
      <w:r>
        <w:rPr>
          <w:rStyle w:val="FootnoteReference"/>
          <w:rFonts w:ascii="Times New Roman" w:hAnsi="Times New Roman"/>
          <w:noProof/>
          <w:sz w:val="24"/>
          <w:szCs w:val="24"/>
        </w:rPr>
        <w:footnoteReference w:id="6"/>
      </w:r>
      <w:r>
        <w:rPr>
          <w:rFonts w:ascii="Times New Roman" w:hAnsi="Times New Roman"/>
          <w:noProof/>
          <w:sz w:val="24"/>
          <w:szCs w:val="24"/>
        </w:rPr>
        <w:t>. 2018. gadā neviena valsts netika ziņojusi, ka gaisa kuģu operatori izmanto biodegvielu, savukārt 2017. gadā vienīgi Zviedrija paziņoja, ka divi gaisa kuģu operatori izmanto biodegvielu.</w:t>
      </w:r>
    </w:p>
    <w:p>
      <w:pPr>
        <w:jc w:val="both"/>
        <w:rPr>
          <w:rFonts w:ascii="Times New Roman" w:hAnsi="Times New Roman"/>
          <w:noProof/>
          <w:sz w:val="24"/>
          <w:szCs w:val="24"/>
        </w:rPr>
      </w:pPr>
      <w:r>
        <w:rPr>
          <w:rFonts w:ascii="Times New Roman" w:hAnsi="Times New Roman"/>
          <w:noProof/>
          <w:sz w:val="24"/>
          <w:szCs w:val="24"/>
        </w:rPr>
        <w:t>Attiecībā uz iekārtu kategorijām, kas kuru pamatā ir emisiju daudzums gadā</w:t>
      </w:r>
      <w:r>
        <w:rPr>
          <w:rFonts w:ascii="Times New Roman" w:hAnsi="Times New Roman"/>
          <w:noProof/>
          <w:sz w:val="24"/>
          <w:szCs w:val="24"/>
          <w:vertAlign w:val="superscript"/>
        </w:rPr>
        <w:footnoteReference w:id="7"/>
      </w:r>
      <w:r>
        <w:rPr>
          <w:rFonts w:ascii="Times New Roman" w:hAnsi="Times New Roman"/>
          <w:noProof/>
          <w:sz w:val="24"/>
          <w:szCs w:val="24"/>
        </w:rPr>
        <w:t>, 2018. gada dati liecina, ka, tāpat kā iepriekšējos gados, 72 % iekārtu ietilpst A kategorijā, 21 % — B kategorijā un 7 % — C kategorijā. Par 6113 iekārtām tika ziņots, ka tās ir “iekārtas ar zemu emisiju līmeni”</w:t>
      </w:r>
      <w:r>
        <w:rPr>
          <w:rStyle w:val="FootnoteReference"/>
          <w:rFonts w:ascii="Times New Roman" w:hAnsi="Times New Roman"/>
          <w:noProof/>
          <w:sz w:val="24"/>
          <w:szCs w:val="24"/>
        </w:rPr>
        <w:footnoteReference w:id="8"/>
      </w:r>
      <w:r>
        <w:rPr>
          <w:rFonts w:ascii="Times New Roman" w:hAnsi="Times New Roman"/>
          <w:noProof/>
          <w:sz w:val="24"/>
          <w:szCs w:val="24"/>
        </w:rPr>
        <w:t xml:space="preserve"> (57 % no kopskaita). </w:t>
      </w:r>
    </w:p>
    <w:p>
      <w:pPr>
        <w:jc w:val="both"/>
        <w:rPr>
          <w:rFonts w:ascii="Times New Roman" w:hAnsi="Times New Roman"/>
          <w:noProof/>
          <w:sz w:val="24"/>
          <w:szCs w:val="24"/>
        </w:rPr>
      </w:pPr>
      <w:r>
        <w:rPr>
          <w:rFonts w:ascii="Times New Roman" w:hAnsi="Times New Roman"/>
          <w:noProof/>
          <w:sz w:val="24"/>
          <w:szCs w:val="24"/>
        </w:rPr>
        <w:t>Par ES ETS aptvertajām darbībām, kas papildus uzskaitītas kā darbības, kuru radītās emisijas nav CO</w:t>
      </w:r>
      <w:r>
        <w:rPr>
          <w:rFonts w:ascii="Times New Roman" w:hAnsi="Times New Roman"/>
          <w:noProof/>
          <w:sz w:val="24"/>
          <w:szCs w:val="24"/>
          <w:vertAlign w:val="subscript"/>
        </w:rPr>
        <w:t>2</w:t>
      </w:r>
      <w:r>
        <w:rPr>
          <w:rFonts w:ascii="Times New Roman" w:hAnsi="Times New Roman"/>
          <w:noProof/>
          <w:sz w:val="24"/>
          <w:szCs w:val="24"/>
        </w:rPr>
        <w:t xml:space="preserve"> emisijas, ir ziņots, ka 12 valstīs (DE, FR, EL, IS, IT, NL, NO, RO, SE, SI, SK un UK) ir izsniegtas atļaujas attiecībā uz primāro alumīniju un perfluorogļūdeņražiem (</w:t>
      </w:r>
      <w:r>
        <w:rPr>
          <w:rFonts w:ascii="Times New Roman" w:hAnsi="Times New Roman"/>
          <w:i/>
          <w:noProof/>
          <w:sz w:val="24"/>
          <w:szCs w:val="24"/>
        </w:rPr>
        <w:t>PFC</w:t>
      </w:r>
      <w:r>
        <w:rPr>
          <w:rFonts w:ascii="Times New Roman" w:hAnsi="Times New Roman"/>
          <w:noProof/>
          <w:sz w:val="24"/>
          <w:szCs w:val="24"/>
        </w:rPr>
        <w:t>), bet 20 valstīs (visās, izņemot CY, DK, EE, ES, IE, IS, LI, LU, LV, MT un SI) ir izsniegtas atļaujas attiecībā uz slāpekļskābes ražošanu un N</w:t>
      </w:r>
      <w:r>
        <w:rPr>
          <w:rFonts w:ascii="Times New Roman" w:hAnsi="Times New Roman"/>
          <w:noProof/>
          <w:sz w:val="24"/>
          <w:szCs w:val="24"/>
          <w:vertAlign w:val="subscript"/>
        </w:rPr>
        <w:t>2</w:t>
      </w:r>
      <w:r>
        <w:rPr>
          <w:rFonts w:ascii="Times New Roman" w:hAnsi="Times New Roman"/>
          <w:noProof/>
          <w:sz w:val="24"/>
          <w:szCs w:val="24"/>
        </w:rPr>
        <w:t>O. Par pārējiem N</w:t>
      </w:r>
      <w:r>
        <w:rPr>
          <w:rFonts w:ascii="Times New Roman" w:hAnsi="Times New Roman"/>
          <w:noProof/>
          <w:sz w:val="24"/>
          <w:szCs w:val="24"/>
          <w:vertAlign w:val="subscript"/>
        </w:rPr>
        <w:t>2</w:t>
      </w:r>
      <w:r>
        <w:rPr>
          <w:rFonts w:ascii="Times New Roman" w:hAnsi="Times New Roman"/>
          <w:noProof/>
          <w:sz w:val="24"/>
          <w:szCs w:val="24"/>
        </w:rPr>
        <w:t>O sektoriem — adipīnskābes ražošanu un glioksāla un glioksālskābes ražošanu — ir ziņots attiecīgi trijās (DE, FR, IT) un divās (DE, FR) valstīs. Tikai Norvēģija un Austrija paziņoja par CO</w:t>
      </w:r>
      <w:r>
        <w:rPr>
          <w:rFonts w:ascii="Times New Roman" w:hAnsi="Times New Roman"/>
          <w:noProof/>
          <w:sz w:val="24"/>
          <w:szCs w:val="24"/>
          <w:vertAlign w:val="subscript"/>
        </w:rPr>
        <w:t>2</w:t>
      </w:r>
      <w:r>
        <w:rPr>
          <w:rFonts w:ascii="Times New Roman" w:hAnsi="Times New Roman"/>
          <w:noProof/>
          <w:sz w:val="24"/>
          <w:szCs w:val="24"/>
        </w:rPr>
        <w:t xml:space="preserve"> uztveršanas un uzglabāšanas darbībām.</w:t>
      </w:r>
    </w:p>
    <w:p>
      <w:pPr>
        <w:jc w:val="both"/>
        <w:rPr>
          <w:rFonts w:ascii="Times New Roman" w:hAnsi="Times New Roman"/>
          <w:noProof/>
          <w:sz w:val="24"/>
          <w:szCs w:val="24"/>
        </w:rPr>
      </w:pPr>
      <w:r>
        <w:rPr>
          <w:rFonts w:ascii="Times New Roman" w:hAnsi="Times New Roman"/>
          <w:noProof/>
          <w:sz w:val="24"/>
          <w:szCs w:val="24"/>
        </w:rPr>
        <w:t>Tāpat kā iepriekšējā gadā, septiņas valstis (ES, FR, HR, IS, IT, SI, UK) ir izmantojušas iespēju ES ETS neiekļaut mazos emitētājus saskaņā ar ES ETS direktīvas 27. pantu. 2018. gadā ES ETS netika attiecināta aptuveni uz 2,92 miljoniem tonnu CO</w:t>
      </w:r>
      <w:r>
        <w:rPr>
          <w:rFonts w:ascii="Times New Roman" w:hAnsi="Times New Roman"/>
          <w:noProof/>
          <w:sz w:val="24"/>
          <w:szCs w:val="24"/>
          <w:vertAlign w:val="subscript"/>
        </w:rPr>
        <w:t>2</w:t>
      </w:r>
      <w:r>
        <w:rPr>
          <w:rFonts w:ascii="Times New Roman" w:hAnsi="Times New Roman"/>
          <w:noProof/>
          <w:sz w:val="24"/>
          <w:szCs w:val="24"/>
        </w:rPr>
        <w:t xml:space="preserve"> (aptuveni 0,17 % no kopējām verificētajām emisijām, salīdzinot ar 0,16 % gadu iepriekš).</w:t>
      </w:r>
    </w:p>
    <w:p>
      <w:pPr>
        <w:jc w:val="both"/>
        <w:rPr>
          <w:rFonts w:ascii="Times New Roman" w:hAnsi="Times New Roman"/>
          <w:noProof/>
          <w:sz w:val="24"/>
          <w:szCs w:val="24"/>
        </w:rPr>
      </w:pPr>
      <w:r>
        <w:rPr>
          <w:rFonts w:ascii="Times New Roman" w:hAnsi="Times New Roman"/>
          <w:noProof/>
          <w:sz w:val="24"/>
          <w:szCs w:val="24"/>
        </w:rPr>
        <w:t>Kā liecina saskaņā ar 21. pantu 2019. gadā iesniegtie ziņojumi, līdz šim astoņas valstis (BE, DK, FR, HR, HU, LI, LT, NL) ir izmantojušas Monitoringa un ziņošanas regulas (MZR)</w:t>
      </w:r>
      <w:r>
        <w:rPr>
          <w:rStyle w:val="FootnoteReference"/>
          <w:rFonts w:ascii="Times New Roman" w:hAnsi="Times New Roman"/>
          <w:noProof/>
          <w:sz w:val="24"/>
          <w:szCs w:val="24"/>
        </w:rPr>
        <w:footnoteReference w:id="9"/>
      </w:r>
      <w:r>
        <w:rPr>
          <w:rFonts w:ascii="Times New Roman" w:hAnsi="Times New Roman"/>
          <w:noProof/>
          <w:sz w:val="24"/>
          <w:szCs w:val="24"/>
        </w:rPr>
        <w:t xml:space="preserve"> 13. pantā paredzēto iespēju atļaut stacionārām iekārtām izmantot vienkāršotus monitoringa plānus gadījumos, kad risks ir zems. Attiecībā uz gaisa kuģu operatoriem, kuru radīto emisiju līmenis ir zems, par šā noteikuma izmantošanu 2018. gadā ziņoja trīs valstis (BE, IS un PL).</w:t>
      </w:r>
    </w:p>
    <w:p>
      <w:pPr>
        <w:jc w:val="both"/>
        <w:rPr>
          <w:rFonts w:ascii="Times New Roman" w:hAnsi="Times New Roman"/>
          <w:noProof/>
          <w:sz w:val="24"/>
          <w:szCs w:val="24"/>
        </w:rPr>
      </w:pPr>
      <w:r>
        <w:rPr>
          <w:rFonts w:ascii="Times New Roman" w:hAnsi="Times New Roman"/>
          <w:noProof/>
          <w:sz w:val="24"/>
          <w:szCs w:val="24"/>
        </w:rPr>
        <w:t>2018. gadā tika paziņots, ka 655 gaisa kuģu operatoriem ir monitoringa plāns (2017. gadā bija 541 šāds operators, bet 2016. gadā — 503). Jāatzīmē, ka 50 % (328) no ziņojumos iekļautajiem operatoriem bija komerciāli, bet atlikušie 50 % (327) — nekomerciāli</w:t>
      </w:r>
      <w:r>
        <w:rPr>
          <w:rStyle w:val="FootnoteReference"/>
          <w:rFonts w:ascii="Times New Roman" w:hAnsi="Times New Roman"/>
          <w:noProof/>
          <w:sz w:val="24"/>
          <w:szCs w:val="24"/>
        </w:rPr>
        <w:footnoteReference w:id="10"/>
      </w:r>
      <w:r>
        <w:rPr>
          <w:rFonts w:ascii="Times New Roman" w:hAnsi="Times New Roman"/>
          <w:noProof/>
          <w:sz w:val="24"/>
          <w:szCs w:val="24"/>
        </w:rPr>
        <w:t xml:space="preserve">. Par maziem emitentiem kvalificējās kopā 287 operatori (44 %) (2017. gadā tādi bija 280 (52 %), bet 2016. gadā — 249 (50 %)). </w:t>
      </w:r>
    </w:p>
    <w:p>
      <w:pPr>
        <w:pStyle w:val="Heading1"/>
        <w:spacing w:before="0" w:after="200"/>
        <w:rPr>
          <w:noProof/>
        </w:rPr>
      </w:pPr>
      <w:bookmarkStart w:id="6" w:name="_Toc24103523"/>
      <w:r>
        <w:rPr>
          <w:noProof/>
        </w:rPr>
        <w:t>2.2. Savienības reģistrs un Eiropas Savienības darījumu žurnāls (</w:t>
      </w:r>
      <w:r>
        <w:rPr>
          <w:i/>
          <w:noProof/>
        </w:rPr>
        <w:t>EUTL</w:t>
      </w:r>
      <w:r>
        <w:rPr>
          <w:noProof/>
        </w:rPr>
        <w:t>)</w:t>
      </w:r>
      <w:bookmarkEnd w:id="6"/>
    </w:p>
    <w:p>
      <w:pPr>
        <w:jc w:val="both"/>
        <w:rPr>
          <w:rFonts w:ascii="Times New Roman" w:hAnsi="Times New Roman"/>
          <w:noProof/>
          <w:sz w:val="24"/>
          <w:szCs w:val="24"/>
        </w:rPr>
      </w:pPr>
      <w:r>
        <w:rPr>
          <w:rFonts w:ascii="Times New Roman" w:hAnsi="Times New Roman"/>
          <w:noProof/>
          <w:lang w:val="en-GB" w:eastAsia="en-GB"/>
        </w:rPr>
        <mc:AlternateContent>
          <mc:Choice Requires="wps">
            <w:drawing>
              <wp:inline distT="0" distB="0" distL="0" distR="0">
                <wp:extent cx="5727802" cy="3771900"/>
                <wp:effectExtent l="0" t="0" r="2540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802" cy="3771900"/>
                        </a:xfrm>
                        <a:prstGeom prst="rect">
                          <a:avLst/>
                        </a:prstGeom>
                        <a:solidFill>
                          <a:schemeClr val="bg1">
                            <a:lumMod val="85000"/>
                          </a:schemeClr>
                        </a:solidFill>
                        <a:ln w="12700" cmpd="sng">
                          <a:solidFill>
                            <a:srgbClr val="000000">
                              <a:alpha val="70000"/>
                            </a:srgbClr>
                          </a:solidFill>
                          <a:miter lim="800000"/>
                          <a:headEnd/>
                          <a:tailEnd/>
                        </a:ln>
                      </wps:spPr>
                      <wps:txbx>
                        <w:txbxContent>
                          <w:p>
                            <w:pPr>
                              <w:jc w:val="both"/>
                              <w:rPr>
                                <w:rFonts w:ascii="Times New Roman" w:hAnsi="Times New Roman"/>
                                <w:sz w:val="24"/>
                                <w:szCs w:val="24"/>
                              </w:rPr>
                            </w:pPr>
                            <w:r>
                              <w:rPr>
                                <w:rFonts w:ascii="Times New Roman" w:hAnsi="Times New Roman"/>
                                <w:sz w:val="24"/>
                                <w:szCs w:val="24"/>
                              </w:rPr>
                              <w:t>Savienības reģistrā un Eiropas Savienības darījumu žurnālā (</w:t>
                            </w:r>
                            <w:r>
                              <w:rPr>
                                <w:rFonts w:ascii="Times New Roman" w:hAnsi="Times New Roman"/>
                                <w:i/>
                                <w:sz w:val="24"/>
                                <w:szCs w:val="24"/>
                              </w:rPr>
                              <w:t>EUTL</w:t>
                            </w:r>
                            <w:r>
                              <w:rPr>
                                <w:rFonts w:ascii="Times New Roman" w:hAnsi="Times New Roman"/>
                                <w:sz w:val="24"/>
                                <w:szCs w:val="24"/>
                              </w:rPr>
                              <w:t xml:space="preserve">) tiek izsekotas vispārīgo un aviācijas kvotu īpašumtiesības, reģistrējot kontos īpašumā esošos daudzumus un darījumus starp kontiem. Tos pārvalda un uztur Komisija, savukārt nacionālo reģistru administratori ES ETS iesaistītajās valstīs joprojām darbojas kā kontaktpunkts kontu pārstāvjiem (uzņēmumiem vai fiziskām personām). Stacionāro iekārtu un gaisa kuģu operatoru konti atrodas Savienības reģistrā, savukārt </w:t>
                            </w:r>
                            <w:r>
                              <w:rPr>
                                <w:rFonts w:ascii="Times New Roman" w:hAnsi="Times New Roman"/>
                                <w:i/>
                                <w:sz w:val="24"/>
                                <w:szCs w:val="24"/>
                              </w:rPr>
                              <w:t>EUTL</w:t>
                            </w:r>
                            <w:r>
                              <w:rPr>
                                <w:rFonts w:ascii="Times New Roman" w:hAnsi="Times New Roman"/>
                                <w:sz w:val="24"/>
                                <w:szCs w:val="24"/>
                              </w:rPr>
                              <w:t xml:space="preserve"> automātiski pārbauda, reģistrē un atļauj visus darījumus starp kontiem, tādējādi nodrošinot, ka visi pārskaitījumi atbilst ES ETS noteikumiem. </w:t>
                            </w:r>
                          </w:p>
                          <w:p>
                            <w:pPr>
                              <w:shd w:val="clear" w:color="auto" w:fill="D9D9D9" w:themeFill="background1" w:themeFillShade="D9"/>
                              <w:jc w:val="both"/>
                              <w:rPr>
                                <w:rFonts w:ascii="Times New Roman" w:hAnsi="Times New Roman"/>
                                <w:sz w:val="24"/>
                                <w:szCs w:val="24"/>
                              </w:rPr>
                            </w:pPr>
                            <w:r>
                              <w:rPr>
                                <w:rFonts w:ascii="Times New Roman" w:hAnsi="Times New Roman"/>
                                <w:sz w:val="24"/>
                                <w:szCs w:val="24"/>
                              </w:rPr>
                              <w:t xml:space="preserve">Savienības reģistrā un </w:t>
                            </w:r>
                            <w:r>
                              <w:rPr>
                                <w:rFonts w:ascii="Times New Roman" w:hAnsi="Times New Roman"/>
                                <w:i/>
                                <w:sz w:val="24"/>
                                <w:szCs w:val="24"/>
                              </w:rPr>
                              <w:t>EUTL</w:t>
                            </w:r>
                            <w:r>
                              <w:rPr>
                                <w:rFonts w:ascii="Times New Roman" w:hAnsi="Times New Roman"/>
                                <w:sz w:val="24"/>
                                <w:szCs w:val="24"/>
                              </w:rPr>
                              <w:t xml:space="preserve"> reģistrētie dati ir svarīgs informācijas avots dažāda veida ETS ziņojumiem, piemēram, tirgus stabilitātes rezerves pārpalikuma rādītāja aprēķināšanai (sk. 3.3. nodaļu), un Eiropas Vides aģentūras (EVA) ziņojumiem. </w:t>
                            </w:r>
                            <w:r>
                              <w:rPr>
                                <w:rFonts w:ascii="Times New Roman" w:hAnsi="Times New Roman"/>
                                <w:i/>
                                <w:sz w:val="24"/>
                                <w:szCs w:val="24"/>
                              </w:rPr>
                              <w:t>EUTL</w:t>
                            </w:r>
                            <w:r>
                              <w:rPr>
                                <w:rFonts w:ascii="Times New Roman" w:hAnsi="Times New Roman"/>
                                <w:sz w:val="24"/>
                                <w:szCs w:val="24"/>
                              </w:rPr>
                              <w:t xml:space="preserve"> arī nodrošina ES ETS pārredzamību, publicējot* informāciju par stacionāro iekārtu un gaisa kuģu operatoru atbilstību ETS noteikumiem.</w:t>
                            </w:r>
                          </w:p>
                          <w:p>
                            <w:pPr>
                              <w:shd w:val="clear" w:color="auto" w:fill="D9D9D9" w:themeFill="background1" w:themeFillShade="D9"/>
                              <w:jc w:val="both"/>
                              <w:rPr>
                                <w:rFonts w:ascii="Times New Roman" w:hAnsi="Times New Roman"/>
                                <w:sz w:val="18"/>
                                <w:szCs w:val="18"/>
                              </w:rPr>
                            </w:pPr>
                            <w:r>
                              <w:rPr>
                                <w:rFonts w:ascii="Times New Roman" w:hAnsi="Times New Roman"/>
                                <w:sz w:val="18"/>
                                <w:szCs w:val="18"/>
                              </w:rPr>
                              <w:t xml:space="preserve">* </w:t>
                            </w:r>
                            <w:r>
                              <w:rPr>
                                <w:rFonts w:ascii="Times New Roman" w:hAnsi="Times New Roman"/>
                                <w:i/>
                                <w:sz w:val="18"/>
                                <w:szCs w:val="18"/>
                              </w:rPr>
                              <w:t>EUTL</w:t>
                            </w:r>
                            <w:r>
                              <w:rPr>
                                <w:rFonts w:ascii="Times New Roman" w:hAnsi="Times New Roman"/>
                                <w:sz w:val="18"/>
                                <w:szCs w:val="18"/>
                              </w:rPr>
                              <w:t xml:space="preserve"> publicētā informācija ir sniegta vietnē https://ec.europa.eu/clima/ets/.</w:t>
                            </w:r>
                          </w:p>
                          <w:p>
                            <w:pPr>
                              <w:shd w:val="clear" w:color="auto" w:fill="D9D9D9" w:themeFill="background1" w:themeFillShade="D9"/>
                              <w:jc w:val="both"/>
                              <w:rPr>
                                <w:rFonts w:ascii="Times New Roman" w:hAnsi="Times New Roman"/>
                                <w:sz w:val="24"/>
                                <w:szCs w:val="24"/>
                              </w:rPr>
                            </w:pPr>
                          </w:p>
                          <w:p/>
                        </w:txbxContent>
                      </wps:txbx>
                      <wps:bodyPr rot="0" vert="horz" wrap="square" lIns="91440" tIns="45720" rIns="91440" bIns="45720" anchor="t" anchorCtr="0">
                        <a:noAutofit/>
                      </wps:bodyPr>
                    </wps:wsp>
                  </a:graphicData>
                </a:graphic>
              </wp:inline>
            </w:drawing>
          </mc:Choice>
          <mc:Fallback>
            <w:pict>
              <v:shape id="_x0000_s1028" type="#_x0000_t202" style="width:451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" fillcolor="#d8d8d8 [2732]" strokeweight="1pt">
                <v:stroke opacity="46003f"/>
                <v:textbox>
                  <w:txbxContent>
                    <w:p>
                      <w:pPr>
                        <w:jc w:val="both"/>
                        <w:rPr>
                          <w:rFonts w:ascii="Times New Roman" w:hAnsi="Times New Roman"/>
                          <w:sz w:val="24"/>
                          <w:szCs w:val="24"/>
                        </w:rPr>
                      </w:pPr>
                      <w:r>
                        <w:rPr>
                          <w:rFonts w:ascii="Times New Roman" w:hAnsi="Times New Roman"/>
                          <w:sz w:val="24"/>
                          <w:szCs w:val="24"/>
                        </w:rPr>
                        <w:t>Savienības reģistrā un Eiropas Savienības darījumu žurnālā (</w:t>
                      </w:r>
                      <w:r>
                        <w:rPr>
                          <w:rFonts w:ascii="Times New Roman" w:hAnsi="Times New Roman"/>
                          <w:i/>
                          <w:sz w:val="24"/>
                          <w:szCs w:val="24"/>
                        </w:rPr>
                        <w:t>EUTL</w:t>
                      </w:r>
                      <w:r>
                        <w:rPr>
                          <w:rFonts w:ascii="Times New Roman" w:hAnsi="Times New Roman"/>
                          <w:sz w:val="24"/>
                          <w:szCs w:val="24"/>
                        </w:rPr>
                        <w:t xml:space="preserve">) tiek izsekotas vispārīgo un aviācijas kvotu īpašumtiesības, reģistrējot kontos īpašumā esošos daudzumus un darījumus starp kontiem. Tos pārvalda un uztur Komisija, savukārt nacionālo reģistru administratori ES ETS iesaistītajās valstīs joprojām darbojas kā kontaktpunkts kontu pārstāvjiem (uzņēmumiem vai fiziskām personām). Stacionāro iekārtu un gaisa kuģu operatoru konti atrodas Savienības reģistrā, savukārt </w:t>
                      </w:r>
                      <w:r>
                        <w:rPr>
                          <w:rFonts w:ascii="Times New Roman" w:hAnsi="Times New Roman"/>
                          <w:i/>
                          <w:sz w:val="24"/>
                          <w:szCs w:val="24"/>
                        </w:rPr>
                        <w:t>EUTL</w:t>
                      </w:r>
                      <w:r>
                        <w:rPr>
                          <w:rFonts w:ascii="Times New Roman" w:hAnsi="Times New Roman"/>
                          <w:sz w:val="24"/>
                          <w:szCs w:val="24"/>
                        </w:rPr>
                        <w:t xml:space="preserve"> automātiski pārbauda, reģistrē un atļauj visus darījumus starp kontiem, tādējādi nodrošinot, ka visi pārskaitījumi atbilst ES ETS noteikumiem. </w:t>
                      </w:r>
                    </w:p>
                    <w:p>
                      <w:pPr>
                        <w:shd w:val="clear" w:color="auto" w:fill="D9D9D9" w:themeFill="background1" w:themeFillShade="D9"/>
                        <w:jc w:val="both"/>
                        <w:rPr>
                          <w:rFonts w:ascii="Times New Roman" w:hAnsi="Times New Roman"/>
                          <w:sz w:val="24"/>
                          <w:szCs w:val="24"/>
                        </w:rPr>
                      </w:pPr>
                      <w:r>
                        <w:rPr>
                          <w:rFonts w:ascii="Times New Roman" w:hAnsi="Times New Roman"/>
                          <w:sz w:val="24"/>
                          <w:szCs w:val="24"/>
                        </w:rPr>
                        <w:t xml:space="preserve">Savienības reģistrā un </w:t>
                      </w:r>
                      <w:r>
                        <w:rPr>
                          <w:rFonts w:ascii="Times New Roman" w:hAnsi="Times New Roman"/>
                          <w:i/>
                          <w:sz w:val="24"/>
                          <w:szCs w:val="24"/>
                        </w:rPr>
                        <w:t>EUTL</w:t>
                      </w:r>
                      <w:r>
                        <w:rPr>
                          <w:rFonts w:ascii="Times New Roman" w:hAnsi="Times New Roman"/>
                          <w:sz w:val="24"/>
                          <w:szCs w:val="24"/>
                        </w:rPr>
                        <w:t xml:space="preserve"> reģistrētie dati ir svarīgs informācijas avots dažāda veida ETS ziņojumiem, piemēram, tirgus stabilitātes rezerves pārpalikuma rādītāja aprēķināšanai (sk. 3.3. nodaļu), un Eiropas Vides aģentūras (EVA) ziņojumiem. </w:t>
                      </w:r>
                      <w:r>
                        <w:rPr>
                          <w:rFonts w:ascii="Times New Roman" w:hAnsi="Times New Roman"/>
                          <w:i/>
                          <w:sz w:val="24"/>
                          <w:szCs w:val="24"/>
                        </w:rPr>
                        <w:t>EUTL</w:t>
                      </w:r>
                      <w:r>
                        <w:rPr>
                          <w:rFonts w:ascii="Times New Roman" w:hAnsi="Times New Roman"/>
                          <w:sz w:val="24"/>
                          <w:szCs w:val="24"/>
                        </w:rPr>
                        <w:t xml:space="preserve"> arī nodrošina ES ETS pārredzamību, publicējot* informāciju par stacionāro iekārtu un gaisa kuģu operatoru atbilstību ETS noteikumiem.</w:t>
                      </w:r>
                    </w:p>
                    <w:p>
                      <w:pPr>
                        <w:shd w:val="clear" w:color="auto" w:fill="D9D9D9" w:themeFill="background1" w:themeFillShade="D9"/>
                        <w:jc w:val="both"/>
                        <w:rPr>
                          <w:rFonts w:ascii="Times New Roman" w:hAnsi="Times New Roman"/>
                          <w:sz w:val="18"/>
                          <w:szCs w:val="18"/>
                        </w:rPr>
                      </w:pPr>
                      <w:r>
                        <w:rPr>
                          <w:rFonts w:ascii="Times New Roman" w:hAnsi="Times New Roman"/>
                          <w:sz w:val="18"/>
                          <w:szCs w:val="18"/>
                        </w:rPr>
                        <w:t xml:space="preserve">* </w:t>
                      </w:r>
                      <w:r>
                        <w:rPr>
                          <w:rFonts w:ascii="Times New Roman" w:hAnsi="Times New Roman"/>
                          <w:i/>
                          <w:sz w:val="18"/>
                          <w:szCs w:val="18"/>
                        </w:rPr>
                        <w:t>EUTL</w:t>
                      </w:r>
                      <w:r>
                        <w:rPr>
                          <w:rFonts w:ascii="Times New Roman" w:hAnsi="Times New Roman"/>
                          <w:sz w:val="18"/>
                          <w:szCs w:val="18"/>
                        </w:rPr>
                        <w:t xml:space="preserve"> publicētā informācija ir sniegta vietnē https://ec.europa.eu/clima/ets/.</w:t>
                      </w:r>
                    </w:p>
                    <w:p>
                      <w:pPr>
                        <w:shd w:val="clear" w:color="auto" w:fill="D9D9D9" w:themeFill="background1" w:themeFillShade="D9"/>
                        <w:jc w:val="both"/>
                        <w:rPr>
                          <w:rFonts w:ascii="Times New Roman" w:hAnsi="Times New Roman"/>
                          <w:sz w:val="24"/>
                          <w:szCs w:val="24"/>
                        </w:rPr>
                      </w:pPr>
                    </w:p>
                    <w:p/>
                  </w:txbxContent>
                </v:textbox>
                <w10:anchorlock/>
              </v:shape>
            </w:pict>
          </mc:Fallback>
        </mc:AlternateContent>
      </w:r>
    </w:p>
    <w:p>
      <w:pPr>
        <w:jc w:val="both"/>
        <w:rPr>
          <w:rFonts w:ascii="Times New Roman" w:hAnsi="Times New Roman"/>
          <w:noProof/>
          <w:sz w:val="24"/>
          <w:szCs w:val="24"/>
        </w:rPr>
      </w:pPr>
      <w:r>
        <w:rPr>
          <w:rFonts w:ascii="Times New Roman" w:hAnsi="Times New Roman"/>
          <w:noProof/>
          <w:sz w:val="24"/>
          <w:szCs w:val="24"/>
        </w:rPr>
        <w:t xml:space="preserve">Savienības reģistrs un </w:t>
      </w:r>
      <w:r>
        <w:rPr>
          <w:rFonts w:ascii="Times New Roman" w:hAnsi="Times New Roman"/>
          <w:i/>
          <w:noProof/>
          <w:sz w:val="24"/>
          <w:szCs w:val="24"/>
        </w:rPr>
        <w:t>EUTL</w:t>
      </w:r>
      <w:r>
        <w:rPr>
          <w:rFonts w:ascii="Times New Roman" w:hAnsi="Times New Roman"/>
          <w:noProof/>
          <w:sz w:val="24"/>
          <w:szCs w:val="24"/>
        </w:rPr>
        <w:t xml:space="preserve"> 2018. gadā pilnībā funkcionēja 365 dienas gadā visu diennakti, un tikai īslaicīgi — kopā aptuveni uz 26 stundām — tā darbība bija pārtraukta tehnisku uzlabojumu veikšanai.</w:t>
      </w:r>
    </w:p>
    <w:p>
      <w:pPr>
        <w:jc w:val="both"/>
        <w:rPr>
          <w:rFonts w:ascii="Times New Roman" w:hAnsi="Times New Roman"/>
          <w:noProof/>
          <w:sz w:val="24"/>
          <w:szCs w:val="24"/>
        </w:rPr>
      </w:pPr>
      <w:r>
        <w:rPr>
          <w:rFonts w:ascii="Times New Roman" w:hAnsi="Times New Roman"/>
          <w:noProof/>
          <w:sz w:val="24"/>
          <w:szCs w:val="24"/>
        </w:rPr>
        <w:t>No 2019. gada 1. janvāra Komisija apturēja</w:t>
      </w:r>
      <w:r>
        <w:rPr>
          <w:rFonts w:ascii="Times New Roman" w:hAnsi="Times New Roman"/>
          <w:noProof/>
          <w:sz w:val="24"/>
          <w:szCs w:val="24"/>
          <w:vertAlign w:val="superscript"/>
        </w:rPr>
        <w:footnoteReference w:id="11"/>
      </w:r>
      <w:r>
        <w:rPr>
          <w:rFonts w:ascii="Times New Roman" w:hAnsi="Times New Roman"/>
          <w:noProof/>
          <w:sz w:val="24"/>
          <w:szCs w:val="24"/>
          <w:vertAlign w:val="superscript"/>
        </w:rPr>
        <w:t xml:space="preserve"> </w:t>
      </w:r>
      <w:r>
        <w:rPr>
          <w:rFonts w:ascii="Times New Roman" w:hAnsi="Times New Roman"/>
          <w:noProof/>
          <w:sz w:val="24"/>
          <w:szCs w:val="24"/>
        </w:rPr>
        <w:t>visus procesus saistībā ar kvotu iedalīšanu bez maksas, izsolīšanu un apmainīšanu pret starptautiskajiem kredītiem attiecībā uz Apvienoto Karalisti saskaņā ar aizsardzības pasākumiem</w:t>
      </w:r>
      <w:r>
        <w:rPr>
          <w:rFonts w:ascii="Times New Roman" w:hAnsi="Times New Roman"/>
          <w:noProof/>
          <w:sz w:val="24"/>
          <w:szCs w:val="24"/>
          <w:vertAlign w:val="superscript"/>
        </w:rPr>
        <w:footnoteReference w:id="12"/>
      </w:r>
      <w:r>
        <w:rPr>
          <w:rFonts w:ascii="Times New Roman" w:hAnsi="Times New Roman"/>
          <w:noProof/>
          <w:sz w:val="24"/>
          <w:szCs w:val="24"/>
        </w:rPr>
        <w:t xml:space="preserve"> ES ETS vidiskās integritātes aizsardzībai gadījumos, kad ES tiesību aktus pārtrauc piemērot attiecībā uz dalībvalsti, kas izstājas no ES. </w:t>
      </w:r>
    </w:p>
    <w:p>
      <w:pPr>
        <w:jc w:val="both"/>
        <w:rPr>
          <w:rFonts w:ascii="Times New Roman" w:hAnsi="Times New Roman"/>
          <w:noProof/>
          <w:sz w:val="24"/>
          <w:szCs w:val="24"/>
        </w:rPr>
      </w:pPr>
      <w:r>
        <w:rPr>
          <w:rFonts w:ascii="Times New Roman" w:hAnsi="Times New Roman"/>
          <w:noProof/>
          <w:sz w:val="24"/>
          <w:szCs w:val="24"/>
        </w:rPr>
        <w:t>2019. gada martā tika pieņemta Komisijas Deleģētā regula (ES) 2019/1122</w:t>
      </w:r>
      <w:r>
        <w:rPr>
          <w:rStyle w:val="FootnoteReference"/>
          <w:rFonts w:ascii="Times New Roman" w:hAnsi="Times New Roman"/>
          <w:noProof/>
          <w:sz w:val="24"/>
          <w:szCs w:val="24"/>
        </w:rPr>
        <w:footnoteReference w:id="13"/>
      </w:r>
      <w:r>
        <w:rPr>
          <w:rFonts w:ascii="Times New Roman" w:hAnsi="Times New Roman"/>
          <w:noProof/>
          <w:sz w:val="24"/>
          <w:szCs w:val="24"/>
        </w:rPr>
        <w:t>, ar ko tika paredzēti noteikumi par Savienības reģistra darbību nākamajā ES ETS tirdzniecības periodā (2021–2030). Ar minēto regulu tiek nodrošināta Savienības reģistra atbilstība ceturtā posma prasībām, kas noteiktas ar pārskatīto ES ETS direktīvu, piemēram, ir koriģēta funkcionalitāte tā, lai kvotas būtu derīgas uz neierobežotu termiņu un tās varētu izmantot vienīgi tam, lai segtu emisijas, sākot no pirmā gada tajā desmit gadu periodā, kurā tās tika piešķirtas, un nodrošināts, ka starptautiskos kredītus no 2021. gada nevar izmantot emisiju segšanai. Turklāt ar jauno regulu noteikumi, ar ko regulē Savienības reģistra darbību, tiek pieskaņoti prasībām, kas noteiktas finanšu tirgus tiesību aktos, jo no 2018. gada 3. janvāra emisijas kvotas tika klasificētas kā “finanšu instrumenti” saskaņā ar Direktīvu 2014/65/ES</w:t>
      </w:r>
      <w:r>
        <w:rPr>
          <w:rStyle w:val="FootnoteReference"/>
          <w:rFonts w:ascii="Times New Roman" w:hAnsi="Times New Roman"/>
          <w:noProof/>
          <w:sz w:val="24"/>
          <w:szCs w:val="24"/>
        </w:rPr>
        <w:footnoteReference w:id="14"/>
      </w:r>
      <w:r>
        <w:rPr>
          <w:rFonts w:ascii="Times New Roman" w:hAnsi="Times New Roman"/>
          <w:noProof/>
          <w:sz w:val="24"/>
          <w:szCs w:val="24"/>
        </w:rPr>
        <w:t xml:space="preserve">, un pārskatītajos datu aizsardzības noteikumos. </w:t>
      </w:r>
    </w:p>
    <w:p>
      <w:pPr>
        <w:pStyle w:val="Heading1"/>
        <w:spacing w:before="0" w:after="200"/>
        <w:rPr>
          <w:noProof/>
        </w:rPr>
      </w:pPr>
      <w:bookmarkStart w:id="7" w:name="_Toc24103524"/>
      <w:r>
        <w:rPr>
          <w:noProof/>
        </w:rPr>
        <w:t>3. OGLEKĻA TIRGUS DARBĪBA 2018. GADĀ</w:t>
      </w:r>
      <w:bookmarkEnd w:id="7"/>
      <w:r>
        <w:rPr>
          <w:noProof/>
        </w:rPr>
        <w:t xml:space="preserve"> </w:t>
      </w:r>
    </w:p>
    <w:p>
      <w:pPr>
        <w:jc w:val="both"/>
        <w:rPr>
          <w:rFonts w:ascii="Times New Roman" w:hAnsi="Times New Roman"/>
          <w:noProof/>
          <w:sz w:val="24"/>
          <w:szCs w:val="24"/>
        </w:rPr>
      </w:pPr>
      <w:r>
        <w:rPr>
          <w:rFonts w:ascii="Times New Roman" w:hAnsi="Times New Roman"/>
          <w:noProof/>
          <w:sz w:val="24"/>
          <w:szCs w:val="24"/>
        </w:rPr>
        <w:t xml:space="preserve">Šajā nodaļā ir sniegta informācija par aspektiem saistībā ar ES ETS kvotu piedāvājumu un pieprasījumu. Iedaļā par piedāvājumu ir sniegta informācija par maksimālo robežvērtību, bezmaksas kvotu iedali, programmu </w:t>
      </w:r>
      <w:r>
        <w:rPr>
          <w:rFonts w:ascii="Times New Roman" w:hAnsi="Times New Roman"/>
          <w:i/>
          <w:noProof/>
          <w:sz w:val="24"/>
          <w:szCs w:val="24"/>
        </w:rPr>
        <w:t>NER300</w:t>
      </w:r>
      <w:r>
        <w:rPr>
          <w:rFonts w:ascii="Times New Roman" w:hAnsi="Times New Roman"/>
          <w:noProof/>
          <w:sz w:val="24"/>
          <w:szCs w:val="24"/>
        </w:rPr>
        <w:t xml:space="preserve"> (tostarp gatavošanos gaidāmā Inovāciju fonda darbībai), izsolēm, elektroenerģijas un siltuma ražošanas nozarei piešķirto atkāpi no prasības pilnīgi visas kvotas iegūt izsoļu ceļā (10.c pants), starptautisko kredītu izmantošanu, kā arī nodaļa par netiešo oglekļa izmaksu kompensācijas shēmām.</w:t>
      </w:r>
    </w:p>
    <w:p>
      <w:pPr>
        <w:jc w:val="both"/>
        <w:rPr>
          <w:rFonts w:ascii="Times New Roman" w:hAnsi="Times New Roman"/>
          <w:noProof/>
          <w:sz w:val="24"/>
          <w:szCs w:val="24"/>
        </w:rPr>
      </w:pPr>
      <w:r>
        <w:rPr>
          <w:rFonts w:ascii="Times New Roman" w:hAnsi="Times New Roman"/>
          <w:noProof/>
          <w:sz w:val="24"/>
          <w:szCs w:val="24"/>
        </w:rPr>
        <w:t>Attiecībā uz pieprasījumu ir sniegta informācija par verificēto emisiju skaitu un kvotu piedāvājuma un pieprasījuma līdzsvarošanas metodēm oglekļa tirgū, izmantojot tirgus stabilitātes rezervi (TSR).</w:t>
      </w:r>
    </w:p>
    <w:p>
      <w:pPr>
        <w:pStyle w:val="Heading2"/>
        <w:spacing w:before="0" w:after="200"/>
        <w:rPr>
          <w:i w:val="0"/>
          <w:noProof/>
        </w:rPr>
      </w:pPr>
      <w:bookmarkStart w:id="8" w:name="_Toc24103525"/>
      <w:r>
        <w:rPr>
          <w:i w:val="0"/>
          <w:noProof/>
        </w:rPr>
        <w:t>3.1. Piedāvājums: apgrozībā laistās kvotas</w:t>
      </w:r>
      <w:bookmarkEnd w:id="8"/>
      <w:r>
        <w:rPr>
          <w:i w:val="0"/>
          <w:noProof/>
        </w:rPr>
        <w:t xml:space="preserve"> </w:t>
      </w:r>
    </w:p>
    <w:p>
      <w:pPr>
        <w:pStyle w:val="Heading3"/>
        <w:spacing w:before="0" w:after="200"/>
        <w:ind w:left="720"/>
        <w:rPr>
          <w:noProof/>
        </w:rPr>
      </w:pPr>
      <w:bookmarkStart w:id="9" w:name="_Toc24103526"/>
      <w:r>
        <w:rPr>
          <w:noProof/>
        </w:rPr>
        <w:t>3.1.1. Maksimālā robežvērtība</w:t>
      </w:r>
      <w:bookmarkEnd w:id="9"/>
    </w:p>
    <w:p>
      <w:pPr>
        <w:jc w:val="both"/>
        <w:rPr>
          <w:rFonts w:ascii="Times New Roman" w:hAnsi="Times New Roman"/>
          <w:noProof/>
          <w:sz w:val="24"/>
          <w:szCs w:val="24"/>
        </w:rPr>
      </w:pPr>
      <w:r>
        <w:rPr>
          <w:rFonts w:ascii="Times New Roman" w:hAnsi="Times New Roman"/>
          <w:noProof/>
          <w:lang w:val="en-GB" w:eastAsia="en-GB"/>
        </w:rPr>
        <mc:AlternateContent>
          <mc:Choice Requires="wps">
            <w:drawing>
              <wp:inline distT="0" distB="0" distL="0" distR="0">
                <wp:extent cx="5771693" cy="4994564"/>
                <wp:effectExtent l="0" t="0" r="19685" b="158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93" cy="4994564"/>
                        </a:xfrm>
                        <a:prstGeom prst="rect">
                          <a:avLst/>
                        </a:prstGeom>
                        <a:solidFill>
                          <a:schemeClr val="bg1">
                            <a:lumMod val="85000"/>
                          </a:schemeClr>
                        </a:solidFill>
                        <a:ln w="12700">
                          <a:solidFill>
                            <a:srgbClr val="000000"/>
                          </a:solidFill>
                          <a:miter lim="800000"/>
                          <a:headEnd/>
                          <a:tailEnd/>
                        </a:ln>
                      </wps:spPr>
                      <wps:txbx>
                        <w:txbxContent>
                          <w:p>
                            <w:pPr>
                              <w:jc w:val="both"/>
                              <w:rPr>
                                <w:rFonts w:ascii="Times New Roman" w:hAnsi="Times New Roman"/>
                                <w:szCs w:val="24"/>
                              </w:rPr>
                            </w:pPr>
                            <w:r>
                              <w:rPr>
                                <w:rFonts w:ascii="Times New Roman" w:hAnsi="Times New Roman"/>
                              </w:rPr>
                              <w:t>Maksimālā robežvērtība ir absolūtais SEG daudzums, ko ETS aptvertās struktūras var emitēt, un tā noteikta, lai nodrošinātu, ka tiek sasniegts emisiju samazinājuma mērķrādītājs un ka tas atbilst tirdzniecības periodā apgrozībā laisto kvotu skaitam. Trešajā posmā piemēro kopīgu maksimālo robežvērtību ES mērogā, ar ko aizstāj iepriekšējo — nacionālo maksimālo robežvērtību — sistēmu.</w:t>
                            </w:r>
                          </w:p>
                          <w:p>
                            <w:pPr>
                              <w:jc w:val="both"/>
                              <w:rPr>
                                <w:rFonts w:ascii="Times New Roman" w:hAnsi="Times New Roman"/>
                                <w:sz w:val="24"/>
                                <w:szCs w:val="24"/>
                              </w:rPr>
                            </w:pPr>
                            <w:r>
                              <w:rPr>
                                <w:rFonts w:ascii="Times New Roman" w:hAnsi="Times New Roman"/>
                              </w:rPr>
                              <w:t>2013. gadā noteiktā stacionāro iekārtu emisiju maksimālā robežvērtība bija 2 084 301 856 kvotas. Šī maksimālā robežvērtība ik gadu samazinās atbilstoši lineārajam samazinājuma koeficientam, kas ir 1,74 % no vidējā kopējā to kvotu daudzuma, kas ik gadu izdotas 2008.–2012. gadā, tādējādi nodrošinot, ka to kvotu skaits, kuras stacionārās iekārtas var izmantot, 2020. gadā būs par 21 % mazāks nekā 2005. gadā.</w:t>
                            </w:r>
                          </w:p>
                          <w:p>
                            <w:pPr>
                              <w:jc w:val="both"/>
                              <w:rPr>
                                <w:rFonts w:ascii="Times New Roman" w:hAnsi="Times New Roman"/>
                                <w:sz w:val="24"/>
                                <w:szCs w:val="24"/>
                              </w:rPr>
                            </w:pPr>
                            <w:r>
                              <w:rPr>
                                <w:rFonts w:ascii="Times New Roman" w:hAnsi="Times New Roman"/>
                              </w:rPr>
                              <w:t xml:space="preserve">Aviācijas nozarei sākotnēji noteiktā maksimālā robežvērtība bija 210 349 264 aviācijas kvotu gadā, un tas ir par 5 % mazāk par vidējo aviācijas emisiju gada līmeni 2004.–2006. gadā. 2014. gada 1. janvārī līdz ar Horvātijas pievienošanos ES ETS minētā maksimālā robežvērtība palielinājās par 116 524 aviācijas kvotām. Bija iecerēts, ka šī maksimālā robežvērtība atspoguļos 2008. gada tiesību aktu*, ar kuru tika noteikts, ka ES ETS ir jāattiecina uz visiem lidojumiem uz EEZ, no tās un tās robežās. Tomēr uz laiku — no 2013. gada līdz 2016. gadam — ES ETS aptvēra tikai lidojumus Eiropas Ekonomikas zonā, lai atbalstītu </w:t>
                            </w:r>
                            <w:r>
                              <w:rPr>
                                <w:rFonts w:ascii="Times New Roman" w:hAnsi="Times New Roman"/>
                                <w:i/>
                              </w:rPr>
                              <w:t>ICAO</w:t>
                            </w:r>
                            <w:r>
                              <w:rPr>
                                <w:rFonts w:ascii="Times New Roman" w:hAnsi="Times New Roman"/>
                              </w:rPr>
                              <w:t xml:space="preserve"> tāda globāla pasākuma izstrādē, kura nolūks ir stabilizēt starptautiskās aviācijas radītās emisijas, noturot tās 2020. gada līmenī. Tādēļ 2013.–2016. gadā apgrozībā laisto aviācijas nozares kvotu skaits bija ievērojami mazāks par sākotnējo maksimālo robežvērtību. 2017. gadā, lai atbalstītu </w:t>
                            </w:r>
                            <w:r>
                              <w:rPr>
                                <w:rFonts w:ascii="Times New Roman" w:hAnsi="Times New Roman"/>
                                <w:i/>
                              </w:rPr>
                              <w:t>ICAO</w:t>
                            </w:r>
                            <w:r>
                              <w:rPr>
                                <w:rFonts w:ascii="Times New Roman" w:hAnsi="Times New Roman"/>
                              </w:rPr>
                              <w:t xml:space="preserve"> globālā pasākuma izstrādi, šīs ierobežojums (tikai EEZ iekšējo lidojumu iekļaušana ES ETS) tika pagarināts līdz 2023. gadam (sk. 4. nodaļu).</w:t>
                            </w:r>
                          </w:p>
                          <w:p>
                            <w:pPr>
                              <w:jc w:val="both"/>
                              <w:rPr>
                                <w:rFonts w:ascii="Times New Roman" w:hAnsi="Times New Roman"/>
                                <w:sz w:val="18"/>
                                <w:szCs w:val="18"/>
                              </w:rPr>
                            </w:pPr>
                            <w:r>
                              <w:rPr>
                                <w:rFonts w:ascii="Times New Roman" w:hAnsi="Times New Roman"/>
                                <w:sz w:val="18"/>
                                <w:szCs w:val="18"/>
                              </w:rPr>
                              <w:t>*</w:t>
                            </w:r>
                            <w:r>
                              <w:rPr>
                                <w:sz w:val="18"/>
                                <w:szCs w:val="18"/>
                              </w:rPr>
                              <w:t xml:space="preserve"> </w:t>
                            </w:r>
                            <w:r>
                              <w:rPr>
                                <w:rFonts w:ascii="Times New Roman" w:hAnsi="Times New Roman"/>
                                <w:sz w:val="18"/>
                                <w:szCs w:val="18"/>
                              </w:rPr>
                              <w:t>Eiropas Parlamenta un Padomes Direktīva 2008/101/EK (2008. gada 19. novembris), ar ko groza Direktīvu 2003/87/EK, lai aviācijas darbības iekļautu Kopienas siltumnīcas efektu izraisošo gāzu emisijas kvotu tirdzniecības sistēmā.</w:t>
                            </w:r>
                          </w:p>
                          <w:p>
                            <w:pPr>
                              <w:jc w:val="both"/>
                              <w:rPr>
                                <w:rFonts w:ascii="Times New Roman" w:hAnsi="Times New Roman"/>
                                <w:sz w:val="24"/>
                                <w:szCs w:val="24"/>
                              </w:rPr>
                            </w:pPr>
                          </w:p>
                          <w:p>
                            <w:pPr>
                              <w:jc w:val="both"/>
                              <w:rPr>
                                <w:rFonts w:ascii="Times New Roman" w:hAnsi="Times New Roman"/>
                                <w:sz w:val="24"/>
                                <w:szCs w:val="24"/>
                              </w:rPr>
                            </w:pPr>
                          </w:p>
                          <w:p>
                            <w:pPr>
                              <w:jc w:val="both"/>
                              <w:rPr>
                                <w:rFonts w:ascii="Times New Roman" w:hAnsi="Times New Roman"/>
                                <w:sz w:val="24"/>
                                <w:szCs w:val="24"/>
                              </w:rPr>
                            </w:pPr>
                          </w:p>
                          <w:p>
                            <w:pPr>
                              <w:jc w:val="both"/>
                            </w:pPr>
                          </w:p>
                          <w:p>
                            <w:pPr>
                              <w:jc w:val="both"/>
                              <w:rPr>
                                <w:rFonts w:ascii="Times New Roman" w:hAnsi="Times New Roman"/>
                                <w:sz w:val="24"/>
                                <w:szCs w:val="24"/>
                              </w:rPr>
                            </w:pPr>
                          </w:p>
                          <w:p/>
                        </w:txbxContent>
                      </wps:txbx>
                      <wps:bodyPr rot="0" vert="horz" wrap="square" lIns="91440" tIns="45720" rIns="91440" bIns="45720" anchor="t" anchorCtr="0">
                        <a:noAutofit/>
                      </wps:bodyPr>
                    </wps:wsp>
                  </a:graphicData>
                </a:graphic>
              </wp:inline>
            </w:drawing>
          </mc:Choice>
          <mc:Fallback>
            <w:pict>
              <v:shape id="_x0000_s1029" type="#_x0000_t202" style="width:454.45pt;height:39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" fillcolor="#d8d8d8 [2732]" strokeweight="1pt">
                <v:textbox>
                  <w:txbxContent>
                    <w:p>
                      <w:pPr>
                        <w:jc w:val="both"/>
                        <w:rPr>
                          <w:rFonts w:ascii="Times New Roman" w:hAnsi="Times New Roman"/>
                          <w:szCs w:val="24"/>
                        </w:rPr>
                      </w:pPr>
                      <w:r>
                        <w:rPr>
                          <w:rFonts w:ascii="Times New Roman" w:hAnsi="Times New Roman"/>
                        </w:rPr>
                        <w:t>Maksimālā robežvērtība ir absolūtais SEG daudzums, ko ETS aptvertās struktūras var emitēt, un tā noteikta, lai nodrošinātu, ka tiek sasniegts emisiju samazinājuma mērķrādītājs un ka tas atbilst tirdzniecības periodā apgrozībā laisto kvotu skaitam. Trešajā posmā piemēro kopīgu maksimālo robežvērtību ES mērogā, ar ko aizstāj iepriekšējo — nacionālo maksimālo robežvērtību — sistēmu.</w:t>
                      </w:r>
                    </w:p>
                    <w:p>
                      <w:pPr>
                        <w:jc w:val="both"/>
                        <w:rPr>
                          <w:rFonts w:ascii="Times New Roman" w:hAnsi="Times New Roman"/>
                          <w:sz w:val="24"/>
                          <w:szCs w:val="24"/>
                        </w:rPr>
                      </w:pPr>
                      <w:r>
                        <w:rPr>
                          <w:rFonts w:ascii="Times New Roman" w:hAnsi="Times New Roman"/>
                        </w:rPr>
                        <w:t>2013. gadā noteiktā stacionāro iekārtu emisiju maksimālā robežvērtība bija 2 084 301 856 kvotas. Šī maksimālā robežvērtība ik gadu samazinās atbilstoši lineārajam samazinājuma koeficientam, kas ir 1,74 % no vidējā kopējā to kvotu daudzuma, kas ik gadu izdotas 2008.–2012. gadā, tādējādi nodrošinot, ka to kvotu skaits, kuras stacionārās iekārtas var izmantot, 2020. gadā būs par 21 % mazāks nekā 2005. gadā.</w:t>
                      </w:r>
                    </w:p>
                    <w:p>
                      <w:pPr>
                        <w:jc w:val="both"/>
                        <w:rPr>
                          <w:rFonts w:ascii="Times New Roman" w:hAnsi="Times New Roman"/>
                          <w:sz w:val="24"/>
                          <w:szCs w:val="24"/>
                        </w:rPr>
                      </w:pPr>
                      <w:r>
                        <w:rPr>
                          <w:rFonts w:ascii="Times New Roman" w:hAnsi="Times New Roman"/>
                        </w:rPr>
                        <w:t xml:space="preserve">Aviācijas nozarei sākotnēji noteiktā maksimālā robežvērtība bija 210 349 264 aviācijas kvotu gadā, un tas ir par 5 % mazāk par vidējo aviācijas emisiju gada līmeni 2004.–2006. gadā. 2014. gada 1. janvārī līdz ar Horvātijas pievienošanos ES ETS minētā maksimālā robežvērtība palielinājās par 116 524 aviācijas kvotām. Bija iecerēts, ka šī maksimālā robežvērtība atspoguļos 2008. gada tiesību aktu*, ar kuru tika noteikts, ka ES ETS ir jāattiecina uz visiem lidojumiem uz EEZ, no tās un tās robežās. Tomēr uz laiku — no 2013. gada līdz 2016. gadam — ES ETS aptvēra tikai lidojumus Eiropas Ekonomikas zonā, lai atbalstītu </w:t>
                      </w:r>
                      <w:r>
                        <w:rPr>
                          <w:rFonts w:ascii="Times New Roman" w:hAnsi="Times New Roman"/>
                          <w:i/>
                        </w:rPr>
                        <w:t>ICAO</w:t>
                      </w:r>
                      <w:r>
                        <w:rPr>
                          <w:rFonts w:ascii="Times New Roman" w:hAnsi="Times New Roman"/>
                        </w:rPr>
                        <w:t xml:space="preserve"> tāda globāla pasākuma izstrādē, kura nolūks ir stabilizēt starptautiskās aviācijas radītās emisijas, noturot tās 2020. gada līmenī. Tādēļ 2013.–2016. gadā apgrozībā laisto aviācijas nozares kvotu skaits bija ievērojami mazāks par sākotnējo maksimālo robežvērtību. 2017. gadā, lai atbalstītu </w:t>
                      </w:r>
                      <w:r>
                        <w:rPr>
                          <w:rFonts w:ascii="Times New Roman" w:hAnsi="Times New Roman"/>
                          <w:i/>
                        </w:rPr>
                        <w:t>ICAO</w:t>
                      </w:r>
                      <w:r>
                        <w:rPr>
                          <w:rFonts w:ascii="Times New Roman" w:hAnsi="Times New Roman"/>
                        </w:rPr>
                        <w:t xml:space="preserve"> globālā pasākuma izstrādi, šīs ierobežojums (tikai EEZ iekšējo lidojumu iekļaušana ES ETS) tika pagarināts līdz 2023. gadam (sk. 4. nodaļu).</w:t>
                      </w:r>
                    </w:p>
                    <w:p>
                      <w:pPr>
                        <w:jc w:val="both"/>
                        <w:rPr>
                          <w:rFonts w:ascii="Times New Roman" w:hAnsi="Times New Roman"/>
                          <w:sz w:val="18"/>
                          <w:szCs w:val="18"/>
                        </w:rPr>
                      </w:pPr>
                      <w:r>
                        <w:rPr>
                          <w:rFonts w:ascii="Times New Roman" w:hAnsi="Times New Roman"/>
                          <w:sz w:val="18"/>
                          <w:szCs w:val="18"/>
                        </w:rPr>
                        <w:t>*</w:t>
                      </w:r>
                      <w:r>
                        <w:rPr>
                          <w:sz w:val="18"/>
                          <w:szCs w:val="18"/>
                        </w:rPr>
                        <w:t xml:space="preserve"> </w:t>
                      </w:r>
                      <w:r>
                        <w:rPr>
                          <w:rFonts w:ascii="Times New Roman" w:hAnsi="Times New Roman"/>
                          <w:sz w:val="18"/>
                          <w:szCs w:val="18"/>
                        </w:rPr>
                        <w:t>Eiropas Parlamenta un Padomes Direktīva 2008/101/EK (2008. gada 19. novembris), ar ko groza Direktīvu 2003/87/EK, lai aviācijas darbības iekļautu Kopienas siltumnīcas efektu izraisošo gāzu emisijas kvotu tirdzniecības sistēmā.</w:t>
                      </w:r>
                    </w:p>
                    <w:p>
                      <w:pPr>
                        <w:jc w:val="both"/>
                        <w:rPr>
                          <w:rFonts w:ascii="Times New Roman" w:hAnsi="Times New Roman"/>
                          <w:sz w:val="24"/>
                          <w:szCs w:val="24"/>
                        </w:rPr>
                      </w:pPr>
                    </w:p>
                    <w:p>
                      <w:pPr>
                        <w:jc w:val="both"/>
                        <w:rPr>
                          <w:rFonts w:ascii="Times New Roman" w:hAnsi="Times New Roman"/>
                          <w:sz w:val="24"/>
                          <w:szCs w:val="24"/>
                        </w:rPr>
                      </w:pPr>
                    </w:p>
                    <w:p>
                      <w:pPr>
                        <w:jc w:val="both"/>
                        <w:rPr>
                          <w:rFonts w:ascii="Times New Roman" w:hAnsi="Times New Roman"/>
                          <w:sz w:val="24"/>
                          <w:szCs w:val="24"/>
                        </w:rPr>
                      </w:pPr>
                    </w:p>
                    <w:p>
                      <w:pPr>
                        <w:jc w:val="both"/>
                      </w:pPr>
                    </w:p>
                    <w:p>
                      <w:pPr>
                        <w:jc w:val="both"/>
                        <w:rPr>
                          <w:rFonts w:ascii="Times New Roman" w:hAnsi="Times New Roman"/>
                          <w:sz w:val="24"/>
                          <w:szCs w:val="24"/>
                        </w:rPr>
                      </w:pPr>
                    </w:p>
                    <w:p/>
                  </w:txbxContent>
                </v:textbox>
                <w10:anchorlock/>
              </v:shape>
            </w:pict>
          </mc:Fallback>
        </mc:AlternateContent>
      </w:r>
    </w:p>
    <w:p>
      <w:pPr>
        <w:spacing w:after="0"/>
        <w:jc w:val="both"/>
        <w:rPr>
          <w:rFonts w:ascii="Times New Roman" w:hAnsi="Times New Roman"/>
          <w:noProof/>
          <w:sz w:val="24"/>
          <w:szCs w:val="24"/>
        </w:rPr>
      </w:pPr>
      <w:r>
        <w:rPr>
          <w:rFonts w:ascii="Times New Roman" w:hAnsi="Times New Roman"/>
          <w:noProof/>
          <w:sz w:val="24"/>
          <w:szCs w:val="24"/>
        </w:rPr>
        <w:t>Tālāk dotajā 1. tabulā ir norādītas stacionāro iekārtu maksimālās robežvērtības un aviācijas kvotu daudzums, kas laists apgrozībā</w:t>
      </w:r>
      <w:r>
        <w:rPr>
          <w:rStyle w:val="FootnoteReference"/>
          <w:rFonts w:ascii="Times New Roman" w:hAnsi="Times New Roman"/>
          <w:noProof/>
          <w:sz w:val="24"/>
          <w:szCs w:val="24"/>
        </w:rPr>
        <w:footnoteReference w:id="15"/>
      </w:r>
      <w:r>
        <w:rPr>
          <w:rFonts w:ascii="Times New Roman" w:hAnsi="Times New Roman"/>
          <w:noProof/>
          <w:sz w:val="24"/>
          <w:szCs w:val="24"/>
        </w:rPr>
        <w:t xml:space="preserve"> katrā ES ETS trešā posma gadā.</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b/>
          <w:noProof/>
        </w:rPr>
      </w:pPr>
    </w:p>
    <w:p>
      <w:pPr>
        <w:spacing w:after="0"/>
        <w:jc w:val="both"/>
        <w:rPr>
          <w:rFonts w:ascii="Times New Roman" w:hAnsi="Times New Roman"/>
          <w:b/>
          <w:noProof/>
        </w:rPr>
      </w:pPr>
    </w:p>
    <w:p>
      <w:pPr>
        <w:jc w:val="both"/>
        <w:rPr>
          <w:rFonts w:ascii="Times New Roman" w:hAnsi="Times New Roman"/>
          <w:b/>
          <w:noProof/>
        </w:rPr>
      </w:pPr>
    </w:p>
    <w:p>
      <w:pPr>
        <w:jc w:val="both"/>
        <w:rPr>
          <w:rFonts w:ascii="Times New Roman" w:hAnsi="Times New Roman"/>
          <w:b/>
          <w:bCs/>
          <w:noProof/>
          <w:sz w:val="24"/>
          <w:szCs w:val="24"/>
        </w:rPr>
      </w:pPr>
      <w:r>
        <w:rPr>
          <w:rFonts w:ascii="Times New Roman" w:hAnsi="Times New Roman"/>
          <w:b/>
          <w:noProof/>
          <w:sz w:val="24"/>
          <w:szCs w:val="24"/>
        </w:rPr>
        <w:t>1. tabula. ES ETS maksimālā robežvērtība 2013.–2020. gadā</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94"/>
        <w:gridCol w:w="3207"/>
        <w:gridCol w:w="3810"/>
      </w:tblGrid>
      <w:tr>
        <w:trPr>
          <w:trHeight w:val="615"/>
          <w:jc w:val="center"/>
        </w:trPr>
        <w:tc>
          <w:tcPr>
            <w:tcW w:w="1994" w:type="dxa"/>
          </w:tcPr>
          <w:p>
            <w:pPr>
              <w:jc w:val="center"/>
              <w:rPr>
                <w:rFonts w:ascii="Times New Roman" w:hAnsi="Times New Roman"/>
                <w:b/>
                <w:noProof/>
              </w:rPr>
            </w:pPr>
            <w:r>
              <w:rPr>
                <w:rFonts w:ascii="Times New Roman" w:hAnsi="Times New Roman"/>
                <w:b/>
                <w:noProof/>
              </w:rPr>
              <w:br/>
              <w:t>Gads</w:t>
            </w:r>
          </w:p>
          <w:p>
            <w:pPr>
              <w:jc w:val="center"/>
              <w:rPr>
                <w:rFonts w:ascii="Times New Roman" w:hAnsi="Times New Roman"/>
                <w:b/>
                <w:noProof/>
              </w:rPr>
            </w:pPr>
          </w:p>
        </w:tc>
        <w:tc>
          <w:tcPr>
            <w:tcW w:w="3207" w:type="dxa"/>
          </w:tcPr>
          <w:p>
            <w:pPr>
              <w:jc w:val="center"/>
              <w:rPr>
                <w:rFonts w:ascii="Times New Roman" w:hAnsi="Times New Roman"/>
                <w:b/>
                <w:noProof/>
              </w:rPr>
            </w:pPr>
            <w:r>
              <w:rPr>
                <w:rFonts w:ascii="Times New Roman" w:hAnsi="Times New Roman"/>
                <w:b/>
                <w:noProof/>
              </w:rPr>
              <w:br/>
              <w:t>Gada maksimālā robežvērtība (iekārtām)</w:t>
            </w:r>
          </w:p>
        </w:tc>
        <w:tc>
          <w:tcPr>
            <w:tcW w:w="3810" w:type="dxa"/>
          </w:tcPr>
          <w:p>
            <w:pPr>
              <w:jc w:val="center"/>
              <w:rPr>
                <w:rFonts w:ascii="Times New Roman" w:hAnsi="Times New Roman"/>
                <w:b/>
                <w:noProof/>
              </w:rPr>
            </w:pPr>
          </w:p>
          <w:p>
            <w:pPr>
              <w:jc w:val="center"/>
              <w:rPr>
                <w:rFonts w:ascii="Times New Roman" w:hAnsi="Times New Roman"/>
                <w:b/>
                <w:noProof/>
              </w:rPr>
            </w:pPr>
            <w:r>
              <w:rPr>
                <w:rFonts w:ascii="Times New Roman" w:hAnsi="Times New Roman"/>
                <w:b/>
                <w:noProof/>
              </w:rPr>
              <w:t>Gadā apgrozībā laistās aviācijas kvotas</w:t>
            </w:r>
            <w:r>
              <w:rPr>
                <w:rStyle w:val="FootnoteReference"/>
                <w:rFonts w:ascii="Times New Roman" w:hAnsi="Times New Roman"/>
                <w:b/>
                <w:noProof/>
              </w:rPr>
              <w:footnoteReference w:id="16"/>
            </w:r>
          </w:p>
        </w:tc>
      </w:tr>
      <w:tr>
        <w:trPr>
          <w:trHeight w:val="546"/>
          <w:jc w:val="center"/>
        </w:trPr>
        <w:tc>
          <w:tcPr>
            <w:tcW w:w="1994" w:type="dxa"/>
          </w:tcPr>
          <w:p>
            <w:pPr>
              <w:jc w:val="center"/>
              <w:rPr>
                <w:rFonts w:ascii="Times New Roman" w:hAnsi="Times New Roman"/>
                <w:noProof/>
              </w:rPr>
            </w:pPr>
            <w:r>
              <w:rPr>
                <w:rFonts w:ascii="Times New Roman" w:hAnsi="Times New Roman"/>
                <w:noProof/>
              </w:rPr>
              <w:br/>
              <w:t>2013</w:t>
            </w:r>
          </w:p>
          <w:p>
            <w:pPr>
              <w:jc w:val="center"/>
              <w:rPr>
                <w:rFonts w:ascii="Times New Roman" w:hAnsi="Times New Roman"/>
                <w:noProof/>
              </w:rPr>
            </w:pPr>
          </w:p>
        </w:tc>
        <w:tc>
          <w:tcPr>
            <w:tcW w:w="3207" w:type="dxa"/>
          </w:tcPr>
          <w:p>
            <w:pPr>
              <w:jc w:val="center"/>
              <w:rPr>
                <w:rFonts w:ascii="Times New Roman" w:hAnsi="Times New Roman"/>
                <w:noProof/>
              </w:rPr>
            </w:pPr>
            <w:r>
              <w:rPr>
                <w:rFonts w:ascii="Times New Roman" w:hAnsi="Times New Roman"/>
                <w:noProof/>
              </w:rPr>
              <w:br/>
              <w:t>2 084 301 856</w:t>
            </w:r>
          </w:p>
        </w:tc>
        <w:tc>
          <w:tcPr>
            <w:tcW w:w="3810" w:type="dxa"/>
          </w:tcPr>
          <w:p>
            <w:pPr>
              <w:jc w:val="center"/>
              <w:rPr>
                <w:rFonts w:ascii="Times New Roman" w:hAnsi="Times New Roman"/>
                <w:noProof/>
              </w:rPr>
            </w:pPr>
          </w:p>
          <w:p>
            <w:pPr>
              <w:jc w:val="center"/>
              <w:rPr>
                <w:rFonts w:ascii="Times New Roman" w:hAnsi="Times New Roman"/>
                <w:noProof/>
              </w:rPr>
            </w:pPr>
            <w:r>
              <w:rPr>
                <w:rFonts w:ascii="Times New Roman" w:hAnsi="Times New Roman"/>
                <w:noProof/>
              </w:rPr>
              <w:t>32 455 296</w:t>
            </w:r>
          </w:p>
        </w:tc>
      </w:tr>
      <w:tr>
        <w:trPr>
          <w:trHeight w:val="534"/>
          <w:jc w:val="center"/>
        </w:trPr>
        <w:tc>
          <w:tcPr>
            <w:tcW w:w="1994" w:type="dxa"/>
          </w:tcPr>
          <w:p>
            <w:pPr>
              <w:jc w:val="center"/>
              <w:rPr>
                <w:rFonts w:ascii="Times New Roman" w:hAnsi="Times New Roman"/>
                <w:noProof/>
              </w:rPr>
            </w:pPr>
            <w:r>
              <w:rPr>
                <w:rFonts w:ascii="Times New Roman" w:hAnsi="Times New Roman"/>
                <w:noProof/>
              </w:rPr>
              <w:br/>
              <w:t>2014</w:t>
            </w:r>
          </w:p>
          <w:p>
            <w:pPr>
              <w:jc w:val="center"/>
              <w:rPr>
                <w:rFonts w:ascii="Times New Roman" w:hAnsi="Times New Roman"/>
                <w:noProof/>
              </w:rPr>
            </w:pPr>
          </w:p>
        </w:tc>
        <w:tc>
          <w:tcPr>
            <w:tcW w:w="3207" w:type="dxa"/>
          </w:tcPr>
          <w:p>
            <w:pPr>
              <w:jc w:val="center"/>
              <w:rPr>
                <w:rFonts w:ascii="Times New Roman" w:hAnsi="Times New Roman"/>
                <w:noProof/>
              </w:rPr>
            </w:pPr>
            <w:r>
              <w:rPr>
                <w:rFonts w:ascii="Times New Roman" w:hAnsi="Times New Roman"/>
                <w:noProof/>
              </w:rPr>
              <w:br/>
              <w:t>2 046 037 610</w:t>
            </w:r>
          </w:p>
        </w:tc>
        <w:tc>
          <w:tcPr>
            <w:tcW w:w="3810" w:type="dxa"/>
          </w:tcPr>
          <w:p>
            <w:pPr>
              <w:jc w:val="center"/>
              <w:rPr>
                <w:rFonts w:ascii="Times New Roman" w:hAnsi="Times New Roman"/>
                <w:noProof/>
              </w:rPr>
            </w:pPr>
          </w:p>
          <w:p>
            <w:pPr>
              <w:jc w:val="center"/>
              <w:rPr>
                <w:rFonts w:ascii="Times New Roman" w:hAnsi="Times New Roman"/>
                <w:noProof/>
              </w:rPr>
            </w:pPr>
            <w:r>
              <w:rPr>
                <w:rFonts w:ascii="Times New Roman" w:hAnsi="Times New Roman"/>
                <w:noProof/>
              </w:rPr>
              <w:t>41 866 834</w:t>
            </w:r>
          </w:p>
        </w:tc>
      </w:tr>
      <w:tr>
        <w:trPr>
          <w:trHeight w:val="522"/>
          <w:jc w:val="center"/>
        </w:trPr>
        <w:tc>
          <w:tcPr>
            <w:tcW w:w="1994" w:type="dxa"/>
          </w:tcPr>
          <w:p>
            <w:pPr>
              <w:jc w:val="center"/>
              <w:rPr>
                <w:rFonts w:ascii="Times New Roman" w:hAnsi="Times New Roman"/>
                <w:noProof/>
              </w:rPr>
            </w:pPr>
            <w:r>
              <w:rPr>
                <w:rFonts w:ascii="Times New Roman" w:hAnsi="Times New Roman"/>
                <w:noProof/>
              </w:rPr>
              <w:br/>
              <w:t>2015</w:t>
            </w:r>
          </w:p>
          <w:p>
            <w:pPr>
              <w:jc w:val="center"/>
              <w:rPr>
                <w:rFonts w:ascii="Times New Roman" w:hAnsi="Times New Roman"/>
                <w:noProof/>
              </w:rPr>
            </w:pPr>
          </w:p>
        </w:tc>
        <w:tc>
          <w:tcPr>
            <w:tcW w:w="3207" w:type="dxa"/>
          </w:tcPr>
          <w:p>
            <w:pPr>
              <w:jc w:val="center"/>
              <w:rPr>
                <w:rFonts w:ascii="Times New Roman" w:hAnsi="Times New Roman"/>
                <w:noProof/>
              </w:rPr>
            </w:pPr>
            <w:r>
              <w:rPr>
                <w:rFonts w:ascii="Times New Roman" w:hAnsi="Times New Roman"/>
                <w:noProof/>
              </w:rPr>
              <w:br/>
              <w:t>2 007 773 364</w:t>
            </w:r>
          </w:p>
        </w:tc>
        <w:tc>
          <w:tcPr>
            <w:tcW w:w="3810" w:type="dxa"/>
          </w:tcPr>
          <w:p>
            <w:pPr>
              <w:jc w:val="center"/>
              <w:rPr>
                <w:rFonts w:ascii="Times New Roman" w:hAnsi="Times New Roman"/>
                <w:noProof/>
              </w:rPr>
            </w:pPr>
          </w:p>
          <w:p>
            <w:pPr>
              <w:jc w:val="center"/>
              <w:rPr>
                <w:rFonts w:ascii="Times New Roman" w:hAnsi="Times New Roman"/>
                <w:noProof/>
              </w:rPr>
            </w:pPr>
            <w:r>
              <w:rPr>
                <w:rFonts w:ascii="Times New Roman" w:hAnsi="Times New Roman"/>
                <w:noProof/>
              </w:rPr>
              <w:t>50 669 024</w:t>
            </w:r>
          </w:p>
        </w:tc>
      </w:tr>
      <w:tr>
        <w:trPr>
          <w:trHeight w:val="510"/>
          <w:jc w:val="center"/>
        </w:trPr>
        <w:tc>
          <w:tcPr>
            <w:tcW w:w="1994" w:type="dxa"/>
          </w:tcPr>
          <w:p>
            <w:pPr>
              <w:jc w:val="center"/>
              <w:rPr>
                <w:rFonts w:ascii="Times New Roman" w:hAnsi="Times New Roman"/>
                <w:noProof/>
              </w:rPr>
            </w:pPr>
            <w:r>
              <w:rPr>
                <w:rFonts w:ascii="Times New Roman" w:hAnsi="Times New Roman"/>
                <w:noProof/>
              </w:rPr>
              <w:br/>
              <w:t>2016</w:t>
            </w:r>
          </w:p>
          <w:p>
            <w:pPr>
              <w:jc w:val="center"/>
              <w:rPr>
                <w:rFonts w:ascii="Times New Roman" w:hAnsi="Times New Roman"/>
                <w:noProof/>
              </w:rPr>
            </w:pPr>
          </w:p>
        </w:tc>
        <w:tc>
          <w:tcPr>
            <w:tcW w:w="3207" w:type="dxa"/>
          </w:tcPr>
          <w:p>
            <w:pPr>
              <w:jc w:val="center"/>
              <w:rPr>
                <w:rFonts w:ascii="Times New Roman" w:hAnsi="Times New Roman"/>
                <w:noProof/>
              </w:rPr>
            </w:pPr>
            <w:r>
              <w:rPr>
                <w:rFonts w:ascii="Times New Roman" w:hAnsi="Times New Roman"/>
                <w:noProof/>
              </w:rPr>
              <w:br/>
              <w:t>1 969 509 118</w:t>
            </w:r>
          </w:p>
        </w:tc>
        <w:tc>
          <w:tcPr>
            <w:tcW w:w="3810" w:type="dxa"/>
          </w:tcPr>
          <w:p>
            <w:pPr>
              <w:jc w:val="center"/>
              <w:rPr>
                <w:rFonts w:ascii="Times New Roman" w:hAnsi="Times New Roman"/>
                <w:noProof/>
              </w:rPr>
            </w:pPr>
          </w:p>
          <w:p>
            <w:pPr>
              <w:jc w:val="center"/>
              <w:rPr>
                <w:rFonts w:ascii="Times New Roman" w:hAnsi="Times New Roman"/>
                <w:noProof/>
              </w:rPr>
            </w:pPr>
            <w:r>
              <w:rPr>
                <w:rFonts w:ascii="Times New Roman" w:hAnsi="Times New Roman"/>
                <w:noProof/>
              </w:rPr>
              <w:t>38 879 316</w:t>
            </w:r>
          </w:p>
        </w:tc>
      </w:tr>
      <w:tr>
        <w:trPr>
          <w:trHeight w:val="603"/>
          <w:jc w:val="center"/>
        </w:trPr>
        <w:tc>
          <w:tcPr>
            <w:tcW w:w="1994" w:type="dxa"/>
          </w:tcPr>
          <w:p>
            <w:pPr>
              <w:jc w:val="center"/>
              <w:rPr>
                <w:rFonts w:ascii="Times New Roman" w:hAnsi="Times New Roman"/>
                <w:noProof/>
              </w:rPr>
            </w:pPr>
            <w:r>
              <w:rPr>
                <w:rFonts w:ascii="Times New Roman" w:hAnsi="Times New Roman"/>
                <w:noProof/>
              </w:rPr>
              <w:br/>
              <w:t>2017</w:t>
            </w:r>
          </w:p>
          <w:p>
            <w:pPr>
              <w:jc w:val="center"/>
              <w:rPr>
                <w:rFonts w:ascii="Times New Roman" w:hAnsi="Times New Roman"/>
                <w:noProof/>
              </w:rPr>
            </w:pPr>
          </w:p>
        </w:tc>
        <w:tc>
          <w:tcPr>
            <w:tcW w:w="3207" w:type="dxa"/>
          </w:tcPr>
          <w:p>
            <w:pPr>
              <w:jc w:val="center"/>
              <w:rPr>
                <w:rFonts w:ascii="Times New Roman" w:hAnsi="Times New Roman"/>
                <w:noProof/>
              </w:rPr>
            </w:pPr>
            <w:r>
              <w:rPr>
                <w:rFonts w:ascii="Times New Roman" w:hAnsi="Times New Roman"/>
                <w:noProof/>
              </w:rPr>
              <w:br/>
              <w:t>1 931 244 873</w:t>
            </w:r>
          </w:p>
        </w:tc>
        <w:tc>
          <w:tcPr>
            <w:tcW w:w="3810" w:type="dxa"/>
          </w:tcPr>
          <w:p>
            <w:pPr>
              <w:jc w:val="center"/>
              <w:rPr>
                <w:rFonts w:ascii="Times New Roman" w:hAnsi="Times New Roman"/>
                <w:noProof/>
              </w:rPr>
            </w:pPr>
          </w:p>
          <w:p>
            <w:pPr>
              <w:jc w:val="center"/>
              <w:rPr>
                <w:rFonts w:ascii="Times New Roman" w:hAnsi="Times New Roman"/>
                <w:noProof/>
              </w:rPr>
            </w:pPr>
            <w:r>
              <w:rPr>
                <w:rFonts w:ascii="Times New Roman" w:hAnsi="Times New Roman"/>
                <w:noProof/>
              </w:rPr>
              <w:t>38 711 651</w:t>
            </w:r>
          </w:p>
        </w:tc>
      </w:tr>
      <w:tr>
        <w:trPr>
          <w:trHeight w:val="603"/>
          <w:jc w:val="center"/>
        </w:trPr>
        <w:tc>
          <w:tcPr>
            <w:tcW w:w="1994" w:type="dxa"/>
          </w:tcPr>
          <w:p>
            <w:pPr>
              <w:jc w:val="center"/>
              <w:rPr>
                <w:rFonts w:ascii="Times New Roman" w:hAnsi="Times New Roman"/>
                <w:noProof/>
              </w:rPr>
            </w:pPr>
            <w:r>
              <w:rPr>
                <w:rFonts w:ascii="Times New Roman" w:hAnsi="Times New Roman"/>
                <w:noProof/>
              </w:rPr>
              <w:br/>
              <w:t>2018</w:t>
            </w:r>
          </w:p>
          <w:p>
            <w:pPr>
              <w:jc w:val="center"/>
              <w:rPr>
                <w:rFonts w:ascii="Times New Roman" w:hAnsi="Times New Roman"/>
                <w:noProof/>
              </w:rPr>
            </w:pPr>
          </w:p>
        </w:tc>
        <w:tc>
          <w:tcPr>
            <w:tcW w:w="3207" w:type="dxa"/>
          </w:tcPr>
          <w:p>
            <w:pPr>
              <w:jc w:val="center"/>
              <w:rPr>
                <w:rFonts w:ascii="Times New Roman" w:hAnsi="Times New Roman"/>
                <w:noProof/>
              </w:rPr>
            </w:pPr>
            <w:r>
              <w:rPr>
                <w:rFonts w:ascii="Times New Roman" w:hAnsi="Times New Roman"/>
                <w:noProof/>
              </w:rPr>
              <w:br/>
              <w:t>1 892 980 627</w:t>
            </w:r>
          </w:p>
        </w:tc>
        <w:tc>
          <w:tcPr>
            <w:tcW w:w="3810" w:type="dxa"/>
          </w:tcPr>
          <w:p>
            <w:pPr>
              <w:jc w:val="center"/>
              <w:rPr>
                <w:rFonts w:ascii="Times New Roman" w:hAnsi="Times New Roman"/>
                <w:noProof/>
              </w:rPr>
            </w:pPr>
          </w:p>
          <w:p>
            <w:pPr>
              <w:jc w:val="center"/>
              <w:rPr>
                <w:rFonts w:ascii="Times New Roman" w:hAnsi="Times New Roman"/>
                <w:noProof/>
              </w:rPr>
            </w:pPr>
            <w:r>
              <w:rPr>
                <w:rFonts w:ascii="Times New Roman" w:hAnsi="Times New Roman"/>
                <w:noProof/>
              </w:rPr>
              <w:t>38 909 625</w:t>
            </w:r>
          </w:p>
        </w:tc>
      </w:tr>
      <w:tr>
        <w:trPr>
          <w:trHeight w:val="603"/>
          <w:jc w:val="center"/>
        </w:trPr>
        <w:tc>
          <w:tcPr>
            <w:tcW w:w="1994" w:type="dxa"/>
          </w:tcPr>
          <w:p>
            <w:pPr>
              <w:jc w:val="center"/>
              <w:rPr>
                <w:rFonts w:ascii="Times New Roman" w:hAnsi="Times New Roman"/>
                <w:noProof/>
              </w:rPr>
            </w:pPr>
            <w:r>
              <w:rPr>
                <w:rFonts w:ascii="Times New Roman" w:hAnsi="Times New Roman"/>
                <w:noProof/>
              </w:rPr>
              <w:br/>
              <w:t>2019</w:t>
            </w:r>
          </w:p>
          <w:p>
            <w:pPr>
              <w:jc w:val="center"/>
              <w:rPr>
                <w:rFonts w:ascii="Times New Roman" w:hAnsi="Times New Roman"/>
                <w:noProof/>
              </w:rPr>
            </w:pPr>
          </w:p>
        </w:tc>
        <w:tc>
          <w:tcPr>
            <w:tcW w:w="3207" w:type="dxa"/>
          </w:tcPr>
          <w:p>
            <w:pPr>
              <w:jc w:val="center"/>
              <w:rPr>
                <w:rFonts w:ascii="Times New Roman" w:hAnsi="Times New Roman"/>
                <w:noProof/>
              </w:rPr>
            </w:pPr>
            <w:r>
              <w:rPr>
                <w:rFonts w:ascii="Times New Roman" w:hAnsi="Times New Roman"/>
                <w:noProof/>
              </w:rPr>
              <w:br/>
              <w:t>1 854 716 381</w:t>
            </w:r>
          </w:p>
        </w:tc>
        <w:tc>
          <w:tcPr>
            <w:tcW w:w="3810" w:type="dxa"/>
          </w:tcPr>
          <w:p>
            <w:pPr>
              <w:jc w:val="center"/>
              <w:rPr>
                <w:rFonts w:ascii="Times New Roman" w:hAnsi="Times New Roman"/>
                <w:noProof/>
              </w:rPr>
            </w:pPr>
          </w:p>
          <w:p>
            <w:pPr>
              <w:jc w:val="center"/>
              <w:rPr>
                <w:rFonts w:ascii="Times New Roman" w:hAnsi="Times New Roman"/>
                <w:noProof/>
              </w:rPr>
            </w:pPr>
            <w:r>
              <w:rPr>
                <w:rFonts w:ascii="Times New Roman" w:hAnsi="Times New Roman"/>
                <w:noProof/>
              </w:rPr>
              <w:t>35 172 897</w:t>
            </w:r>
            <w:r>
              <w:rPr>
                <w:rStyle w:val="FootnoteReference"/>
                <w:rFonts w:ascii="Times New Roman" w:hAnsi="Times New Roman"/>
                <w:noProof/>
              </w:rPr>
              <w:footnoteReference w:id="17"/>
            </w:r>
          </w:p>
        </w:tc>
      </w:tr>
      <w:tr>
        <w:trPr>
          <w:trHeight w:val="510"/>
          <w:jc w:val="center"/>
        </w:trPr>
        <w:tc>
          <w:tcPr>
            <w:tcW w:w="1994" w:type="dxa"/>
          </w:tcPr>
          <w:p>
            <w:pPr>
              <w:jc w:val="center"/>
              <w:rPr>
                <w:rFonts w:ascii="Times New Roman" w:hAnsi="Times New Roman"/>
                <w:noProof/>
              </w:rPr>
            </w:pPr>
            <w:r>
              <w:rPr>
                <w:rFonts w:ascii="Times New Roman" w:hAnsi="Times New Roman"/>
                <w:noProof/>
              </w:rPr>
              <w:br/>
              <w:t>2020</w:t>
            </w:r>
          </w:p>
          <w:p>
            <w:pPr>
              <w:jc w:val="center"/>
              <w:rPr>
                <w:rFonts w:ascii="Times New Roman" w:hAnsi="Times New Roman"/>
                <w:noProof/>
              </w:rPr>
            </w:pPr>
          </w:p>
        </w:tc>
        <w:tc>
          <w:tcPr>
            <w:tcW w:w="3207" w:type="dxa"/>
          </w:tcPr>
          <w:p>
            <w:pPr>
              <w:jc w:val="center"/>
              <w:rPr>
                <w:rFonts w:ascii="Times New Roman" w:hAnsi="Times New Roman"/>
                <w:noProof/>
              </w:rPr>
            </w:pPr>
            <w:r>
              <w:rPr>
                <w:rFonts w:ascii="Times New Roman" w:hAnsi="Times New Roman"/>
                <w:noProof/>
              </w:rPr>
              <w:br/>
              <w:t>1 816 452 135</w:t>
            </w:r>
          </w:p>
        </w:tc>
        <w:tc>
          <w:tcPr>
            <w:tcW w:w="3810" w:type="dxa"/>
          </w:tcPr>
          <w:p>
            <w:pPr>
              <w:jc w:val="center"/>
              <w:rPr>
                <w:rFonts w:ascii="Times New Roman" w:hAnsi="Times New Roman"/>
                <w:noProof/>
              </w:rPr>
            </w:pPr>
          </w:p>
          <w:p>
            <w:pPr>
              <w:jc w:val="center"/>
              <w:rPr>
                <w:rFonts w:ascii="Times New Roman" w:hAnsi="Times New Roman"/>
                <w:noProof/>
              </w:rPr>
            </w:pPr>
          </w:p>
        </w:tc>
      </w:tr>
    </w:tbl>
    <w:p>
      <w:pPr>
        <w:pStyle w:val="Heading3"/>
        <w:spacing w:before="0" w:after="200"/>
        <w:ind w:left="720"/>
        <w:rPr>
          <w:noProof/>
        </w:rPr>
      </w:pPr>
      <w:bookmarkStart w:id="10" w:name="_Toc24103527"/>
      <w:r>
        <w:rPr>
          <w:noProof/>
        </w:rPr>
        <w:t>3.1.2. Izdotās kvotas</w:t>
      </w:r>
      <w:bookmarkEnd w:id="10"/>
    </w:p>
    <w:p>
      <w:pPr>
        <w:pStyle w:val="Heading4"/>
        <w:spacing w:before="0" w:after="200"/>
        <w:ind w:left="1080"/>
        <w:rPr>
          <w:noProof/>
        </w:rPr>
      </w:pPr>
      <w:bookmarkStart w:id="11" w:name="_Toc24103528"/>
      <w:r>
        <w:rPr>
          <w:noProof/>
        </w:rPr>
        <w:t>3.1.2.1. Bezmaksas kvotu iedale</w:t>
      </w:r>
      <w:bookmarkEnd w:id="11"/>
      <w:r>
        <w:rPr>
          <w:noProof/>
        </w:rPr>
        <w:t xml:space="preserve"> </w:t>
      </w:r>
    </w:p>
    <w:p>
      <w:pPr>
        <w:jc w:val="both"/>
        <w:rPr>
          <w:rFonts w:ascii="Times New Roman" w:hAnsi="Times New Roman"/>
          <w:noProof/>
          <w:sz w:val="24"/>
          <w:szCs w:val="24"/>
        </w:rPr>
      </w:pPr>
      <w:r>
        <w:rPr>
          <w:rFonts w:ascii="Times New Roman" w:hAnsi="Times New Roman"/>
          <w:noProof/>
          <w:lang w:val="en-GB" w:eastAsia="en-GB"/>
        </w:rPr>
        <mc:AlternateContent>
          <mc:Choice Requires="wps">
            <w:drawing>
              <wp:inline distT="0" distB="0" distL="0" distR="0">
                <wp:extent cx="5749747" cy="4505325"/>
                <wp:effectExtent l="0" t="0" r="22860" b="2857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4505325"/>
                        </a:xfrm>
                        <a:prstGeom prst="rect">
                          <a:avLst/>
                        </a:prstGeom>
                        <a:solidFill>
                          <a:schemeClr val="bg1">
                            <a:lumMod val="85000"/>
                          </a:schemeClr>
                        </a:solidFill>
                        <a:ln w="12700">
                          <a:solidFill>
                            <a:srgbClr val="000000"/>
                          </a:solidFill>
                          <a:miter lim="800000"/>
                          <a:headEnd/>
                          <a:tailEnd/>
                        </a:ln>
                      </wps:spPr>
                      <wps:txbx>
                        <w:txbxContent>
                          <w:p>
                            <w:pPr>
                              <w:jc w:val="both"/>
                              <w:rPr>
                                <w:rFonts w:ascii="Times New Roman" w:hAnsi="Times New Roman"/>
                                <w:sz w:val="24"/>
                                <w:szCs w:val="24"/>
                              </w:rPr>
                            </w:pPr>
                            <w:r>
                              <w:rPr>
                                <w:rFonts w:ascii="Times New Roman" w:hAnsi="Times New Roman"/>
                                <w:sz w:val="24"/>
                                <w:szCs w:val="24"/>
                              </w:rPr>
                              <w:t>Lai gan trešajā posmā ES ETS izsole ir kvotu standarta piešķiršanas metode, kvotas lielā skaitā iedala bez maksas. Piemēro šādus principus:</w:t>
                            </w:r>
                          </w:p>
                          <w:p>
                            <w:pPr>
                              <w:pStyle w:val="ListParagraph"/>
                              <w:numPr>
                                <w:ilvl w:val="0"/>
                                <w:numId w:val="10"/>
                              </w:numPr>
                              <w:spacing w:after="200" w:line="276" w:lineRule="auto"/>
                              <w:jc w:val="both"/>
                              <w:rPr>
                                <w:rFonts w:ascii="Times New Roman" w:hAnsi="Times New Roman"/>
                                <w:sz w:val="24"/>
                                <w:szCs w:val="24"/>
                              </w:rPr>
                            </w:pPr>
                            <w:r>
                              <w:rPr>
                                <w:rFonts w:ascii="Times New Roman" w:hAnsi="Times New Roman"/>
                                <w:sz w:val="24"/>
                                <w:szCs w:val="24"/>
                              </w:rPr>
                              <w:t>elektroenerģijas ražošanas nozare nesaņem bezmaksas kvotas;</w:t>
                            </w:r>
                          </w:p>
                          <w:p>
                            <w:pPr>
                              <w:pStyle w:val="ListParagraph"/>
                              <w:numPr>
                                <w:ilvl w:val="0"/>
                                <w:numId w:val="10"/>
                              </w:numPr>
                              <w:spacing w:after="200" w:line="276" w:lineRule="auto"/>
                              <w:jc w:val="both"/>
                              <w:rPr>
                                <w:rFonts w:ascii="Times New Roman" w:hAnsi="Times New Roman"/>
                                <w:sz w:val="24"/>
                                <w:szCs w:val="24"/>
                              </w:rPr>
                            </w:pPr>
                            <w:r>
                              <w:rPr>
                                <w:rFonts w:ascii="Times New Roman" w:hAnsi="Times New Roman"/>
                                <w:sz w:val="24"/>
                                <w:szCs w:val="24"/>
                              </w:rPr>
                              <w:t>bezmaksas kvotas apstrādes rūpniecībai sadala atbilstoši ES mērogā saskaņotiem noteikumiem;</w:t>
                            </w:r>
                          </w:p>
                          <w:p>
                            <w:pPr>
                              <w:pStyle w:val="ListParagraph"/>
                              <w:numPr>
                                <w:ilvl w:val="0"/>
                                <w:numId w:val="10"/>
                              </w:numPr>
                              <w:spacing w:after="200" w:line="276" w:lineRule="auto"/>
                              <w:jc w:val="both"/>
                              <w:rPr>
                                <w:rFonts w:ascii="Times New Roman" w:hAnsi="Times New Roman"/>
                                <w:sz w:val="24"/>
                                <w:szCs w:val="24"/>
                              </w:rPr>
                            </w:pPr>
                            <w:r>
                              <w:rPr>
                                <w:rFonts w:ascii="Times New Roman" w:hAnsi="Times New Roman"/>
                                <w:sz w:val="24"/>
                                <w:szCs w:val="24"/>
                              </w:rPr>
                              <w:t>bezmaksas iedale balstās uz snieguma līmeņatzīmēm, kuru mērķis ir stimulēt SEG emisiju samazināšanu un inovāciju un atalgot visefektīvākās iekārtas;</w:t>
                            </w:r>
                          </w:p>
                          <w:p>
                            <w:pPr>
                              <w:pStyle w:val="ListParagraph"/>
                              <w:numPr>
                                <w:ilvl w:val="0"/>
                                <w:numId w:val="10"/>
                              </w:numPr>
                              <w:spacing w:after="200" w:line="276" w:lineRule="auto"/>
                              <w:jc w:val="both"/>
                              <w:rPr>
                                <w:rFonts w:ascii="Times New Roman" w:hAnsi="Times New Roman"/>
                                <w:sz w:val="24"/>
                                <w:szCs w:val="24"/>
                              </w:rPr>
                            </w:pPr>
                            <w:r>
                              <w:rPr>
                                <w:rFonts w:ascii="Times New Roman" w:hAnsi="Times New Roman"/>
                                <w:sz w:val="24"/>
                                <w:szCs w:val="24"/>
                              </w:rPr>
                              <w:t>attiecībā uz jaunām rūpnieciskām iekārtām un iekārtām, kas būtiski palielina jaudu, ir izveidota ES mēroga jaunu iekārtu rezerve (</w:t>
                            </w:r>
                            <w:r>
                              <w:rPr>
                                <w:rFonts w:ascii="Times New Roman" w:hAnsi="Times New Roman"/>
                                <w:i/>
                                <w:sz w:val="24"/>
                                <w:szCs w:val="24"/>
                              </w:rPr>
                              <w:t>NER</w:t>
                            </w:r>
                            <w:r>
                              <w:rPr>
                                <w:rFonts w:ascii="Times New Roman" w:hAnsi="Times New Roman"/>
                                <w:sz w:val="24"/>
                                <w:szCs w:val="24"/>
                              </w:rPr>
                              <w:t>), kurā nonāk 5 % no visām trešā posma kvotām.</w:t>
                            </w:r>
                          </w:p>
                          <w:p>
                            <w:pPr>
                              <w:jc w:val="both"/>
                              <w:rPr>
                                <w:rFonts w:ascii="Times New Roman" w:hAnsi="Times New Roman"/>
                                <w:sz w:val="24"/>
                                <w:szCs w:val="24"/>
                              </w:rPr>
                            </w:pPr>
                            <w:r>
                              <w:rPr>
                                <w:rFonts w:ascii="Times New Roman" w:hAnsi="Times New Roman"/>
                                <w:sz w:val="24"/>
                                <w:szCs w:val="24"/>
                              </w:rPr>
                              <w:t>Bezmaksas kvotas rūpnieciskām iekārtām iedala, lai novērstu oglekļa emisiju pārvirzes risku (uzņēmumi pārvirza ražošanu uz trešām valstīm, kurās nav tik stingru ierobežojumu attiecībā uz SEG emisijām, un tādējādi var palielināties to kopējās emisijas). Nozares un apakšnozares, kuras uzskata par pakļautām būtiskam oglekļa emisiju pārvirzes riskam, ir iekļautas oglekļa emisiju pārvirzes sarakstā*. Lai gan šis saraksts sākotnēji aptvēra 2015.–2019. gadu, ar pārskatīto ES ETS direktīvu tā spēkā esamība tika pagarināta līdz 2020. gada 31. decembrim.</w:t>
                            </w:r>
                          </w:p>
                          <w:p>
                            <w:pPr>
                              <w:spacing w:line="240" w:lineRule="auto"/>
                              <w:rPr>
                                <w:rFonts w:ascii="Times New Roman" w:hAnsi="Times New Roman"/>
                                <w:sz w:val="18"/>
                                <w:szCs w:val="18"/>
                              </w:rPr>
                            </w:pPr>
                            <w:r>
                              <w:rPr>
                                <w:rFonts w:ascii="Times New Roman" w:hAnsi="Times New Roman"/>
                                <w:sz w:val="18"/>
                                <w:szCs w:val="18"/>
                              </w:rPr>
                              <w:t>* Pašlaik spēkā esošais oglekļa emisiju pārvirzes saraksts ir pieejams vietnē http://eur-lex.europa.eu/legal-content/LV/ALL/?uri=CELEX:32014D0746.</w:t>
                            </w:r>
                          </w:p>
                        </w:txbxContent>
                      </wps:txbx>
                      <wps:bodyPr rot="0" vert="horz" wrap="square" lIns="91440" tIns="45720" rIns="91440" bIns="45720" anchor="t" anchorCtr="0">
                        <a:noAutofit/>
                      </wps:bodyPr>
                    </wps:wsp>
                  </a:graphicData>
                </a:graphic>
              </wp:inline>
            </w:drawing>
          </mc:Choice>
          <mc:Fallback>
            <w:pict>
              <v:shape id="_x0000_s1030" type="#_x0000_t202" style="width:452.75pt;height:3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" fillcolor="#d8d8d8 [2732]" strokeweight="1pt">
                <v:textbox>
                  <w:txbxContent>
                    <w:p>
                      <w:pPr>
                        <w:jc w:val="both"/>
                        <w:rPr>
                          <w:rFonts w:ascii="Times New Roman" w:hAnsi="Times New Roman"/>
                          <w:sz w:val="24"/>
                          <w:szCs w:val="24"/>
                        </w:rPr>
                      </w:pPr>
                      <w:r>
                        <w:rPr>
                          <w:rFonts w:ascii="Times New Roman" w:hAnsi="Times New Roman"/>
                          <w:sz w:val="24"/>
                          <w:szCs w:val="24"/>
                        </w:rPr>
                        <w:t>Lai gan trešajā posmā ES ETS izsole ir kvotu standarta piešķiršanas metode, kvotas lielā skaitā iedala bez maksas. Piemēro šādus principus:</w:t>
                      </w:r>
                    </w:p>
                    <w:p>
                      <w:pPr>
                        <w:pStyle w:val="ListParagraph"/>
                        <w:numPr>
                          <w:ilvl w:val="0"/>
                          <w:numId w:val="10"/>
                        </w:numPr>
                        <w:spacing w:after="200" w:line="276" w:lineRule="auto"/>
                        <w:jc w:val="both"/>
                        <w:rPr>
                          <w:rFonts w:ascii="Times New Roman" w:hAnsi="Times New Roman"/>
                          <w:sz w:val="24"/>
                          <w:szCs w:val="24"/>
                        </w:rPr>
                      </w:pPr>
                      <w:r>
                        <w:rPr>
                          <w:rFonts w:ascii="Times New Roman" w:hAnsi="Times New Roman"/>
                          <w:sz w:val="24"/>
                          <w:szCs w:val="24"/>
                        </w:rPr>
                        <w:t>elektroenerģijas ražošanas nozare nesaņem bezmaksas kvotas;</w:t>
                      </w:r>
                    </w:p>
                    <w:p>
                      <w:pPr>
                        <w:pStyle w:val="ListParagraph"/>
                        <w:numPr>
                          <w:ilvl w:val="0"/>
                          <w:numId w:val="10"/>
                        </w:numPr>
                        <w:spacing w:after="200" w:line="276" w:lineRule="auto"/>
                        <w:jc w:val="both"/>
                        <w:rPr>
                          <w:rFonts w:ascii="Times New Roman" w:hAnsi="Times New Roman"/>
                          <w:sz w:val="24"/>
                          <w:szCs w:val="24"/>
                        </w:rPr>
                      </w:pPr>
                      <w:r>
                        <w:rPr>
                          <w:rFonts w:ascii="Times New Roman" w:hAnsi="Times New Roman"/>
                          <w:sz w:val="24"/>
                          <w:szCs w:val="24"/>
                        </w:rPr>
                        <w:t>bezmaksas kvotas apstrādes rūpniecībai sadala atbilstoši ES mērogā saskaņotiem noteikumiem;</w:t>
                      </w:r>
                    </w:p>
                    <w:p>
                      <w:pPr>
                        <w:pStyle w:val="ListParagraph"/>
                        <w:numPr>
                          <w:ilvl w:val="0"/>
                          <w:numId w:val="10"/>
                        </w:numPr>
                        <w:spacing w:after="200" w:line="276" w:lineRule="auto"/>
                        <w:jc w:val="both"/>
                        <w:rPr>
                          <w:rFonts w:ascii="Times New Roman" w:hAnsi="Times New Roman"/>
                          <w:sz w:val="24"/>
                          <w:szCs w:val="24"/>
                        </w:rPr>
                      </w:pPr>
                      <w:r>
                        <w:rPr>
                          <w:rFonts w:ascii="Times New Roman" w:hAnsi="Times New Roman"/>
                          <w:sz w:val="24"/>
                          <w:szCs w:val="24"/>
                        </w:rPr>
                        <w:t>bezmaksas iedale balstās uz snieguma līmeņatzīmēm, kuru mērķis ir stimulēt SEG emisiju samazināšanu un inovāciju un atalgot visefektīvākās iekārtas;</w:t>
                      </w:r>
                    </w:p>
                    <w:p>
                      <w:pPr>
                        <w:pStyle w:val="ListParagraph"/>
                        <w:numPr>
                          <w:ilvl w:val="0"/>
                          <w:numId w:val="10"/>
                        </w:numPr>
                        <w:spacing w:after="200" w:line="276" w:lineRule="auto"/>
                        <w:jc w:val="both"/>
                        <w:rPr>
                          <w:rFonts w:ascii="Times New Roman" w:hAnsi="Times New Roman"/>
                          <w:sz w:val="24"/>
                          <w:szCs w:val="24"/>
                        </w:rPr>
                      </w:pPr>
                      <w:r>
                        <w:rPr>
                          <w:rFonts w:ascii="Times New Roman" w:hAnsi="Times New Roman"/>
                          <w:sz w:val="24"/>
                          <w:szCs w:val="24"/>
                        </w:rPr>
                        <w:t>attiecībā uz jaunām rūpnieciskām iekārtām un iekārtām, kas būtiski palielina jaudu, ir izveidota ES mēroga jaunu iekārtu rezerve (</w:t>
                      </w:r>
                      <w:r>
                        <w:rPr>
                          <w:rFonts w:ascii="Times New Roman" w:hAnsi="Times New Roman"/>
                          <w:i/>
                          <w:sz w:val="24"/>
                          <w:szCs w:val="24"/>
                        </w:rPr>
                        <w:t>NER</w:t>
                      </w:r>
                      <w:r>
                        <w:rPr>
                          <w:rFonts w:ascii="Times New Roman" w:hAnsi="Times New Roman"/>
                          <w:sz w:val="24"/>
                          <w:szCs w:val="24"/>
                        </w:rPr>
                        <w:t>), kurā nonāk 5 % no visām trešā posma kvotām.</w:t>
                      </w:r>
                    </w:p>
                    <w:p>
                      <w:pPr>
                        <w:jc w:val="both"/>
                        <w:rPr>
                          <w:rFonts w:ascii="Times New Roman" w:hAnsi="Times New Roman"/>
                          <w:sz w:val="24"/>
                          <w:szCs w:val="24"/>
                        </w:rPr>
                      </w:pPr>
                      <w:r>
                        <w:rPr>
                          <w:rFonts w:ascii="Times New Roman" w:hAnsi="Times New Roman"/>
                          <w:sz w:val="24"/>
                          <w:szCs w:val="24"/>
                        </w:rPr>
                        <w:t>Bezmaksas kvotas rūpnieciskām iekārtām iedala, lai novērstu oglekļa emisiju pārvirzes risku (uzņēmumi pārvirza ražošanu uz trešām valstīm, kurās nav tik stingru ierobežojumu attiecībā uz SEG emisijām, un tādējādi var palielināties to kopējās emisijas). Nozares un apakšnozares, kuras uzskata par pakļautām būtiskam oglekļa emisiju pārvirzes riskam, ir iekļautas oglekļa emisiju pārvirzes sarakstā*. Lai gan šis saraksts sākotnēji aptvēra 2015.–2019. gadu, ar pārskatīto ES ETS direktīvu tā spēkā esamība tika pagarināta līdz 2020. gada 31. decembrim.</w:t>
                      </w:r>
                    </w:p>
                    <w:p>
                      <w:pPr>
                        <w:spacing w:line="240" w:lineRule="auto"/>
                        <w:rPr>
                          <w:rFonts w:ascii="Times New Roman" w:hAnsi="Times New Roman"/>
                          <w:sz w:val="18"/>
                          <w:szCs w:val="18"/>
                        </w:rPr>
                      </w:pPr>
                      <w:r>
                        <w:rPr>
                          <w:rFonts w:ascii="Times New Roman" w:hAnsi="Times New Roman"/>
                          <w:sz w:val="18"/>
                          <w:szCs w:val="18"/>
                        </w:rPr>
                        <w:t>* Pašlaik spēkā esošais oglekļa emisiju pārvirzes saraksts ir pieejams vietnē http://eur-lex.europa.eu/legal-content/LV/ALL/?uri=CELEX:32014D0746.</w:t>
                      </w:r>
                    </w:p>
                  </w:txbxContent>
                </v:textbox>
                <w10:anchorlock/>
              </v:shape>
            </w:pict>
          </mc:Fallback>
        </mc:AlternateContent>
      </w:r>
    </w:p>
    <w:p>
      <w:pPr>
        <w:pStyle w:val="NormalWeb"/>
        <w:spacing w:line="276" w:lineRule="auto"/>
        <w:jc w:val="both"/>
        <w:rPr>
          <w:noProof/>
        </w:rPr>
      </w:pPr>
      <w:r>
        <w:rPr>
          <w:noProof/>
        </w:rPr>
        <w:t>Trešajā posmā aptuveni 43 % no kopējā pieejamā kvotu skaita tiks iedalīti bez maksas, savukārt dalībvalstu izsolāmo kvotu īpatsvars būs aptuveni 57 %.</w:t>
      </w:r>
    </w:p>
    <w:p>
      <w:pPr>
        <w:pStyle w:val="NormalWeb"/>
        <w:spacing w:before="0" w:beforeAutospacing="0" w:after="300" w:afterAutospacing="0" w:line="276" w:lineRule="auto"/>
        <w:jc w:val="both"/>
        <w:rPr>
          <w:noProof/>
        </w:rPr>
      </w:pPr>
      <w:r>
        <w:rPr>
          <w:noProof/>
        </w:rPr>
        <w:t>Jaunu iekārtu rezervē (</w:t>
      </w:r>
      <w:r>
        <w:rPr>
          <w:i/>
          <w:noProof/>
        </w:rPr>
        <w:t>NER</w:t>
      </w:r>
      <w:r>
        <w:rPr>
          <w:noProof/>
        </w:rPr>
        <w:t xml:space="preserve">) pēc 300 miljonu kvotu atskaitīšanas programmas </w:t>
      </w:r>
      <w:r>
        <w:rPr>
          <w:i/>
          <w:noProof/>
        </w:rPr>
        <w:t>NER300</w:t>
      </w:r>
      <w:r>
        <w:rPr>
          <w:noProof/>
        </w:rPr>
        <w:t xml:space="preserve"> vajadzībām sākotnēji bija 480,2 miljoni kvotu. Līdz 2019. gada jūnijam bija rezervēti 167,9 miljoni kvotu 937 iekārtām uz visu trešā posma īstenošanas laiku. Atlikušo </w:t>
      </w:r>
      <w:r>
        <w:rPr>
          <w:i/>
          <w:noProof/>
        </w:rPr>
        <w:t>NER</w:t>
      </w:r>
      <w:r>
        <w:rPr>
          <w:noProof/>
        </w:rPr>
        <w:t xml:space="preserve"> veido 312,3 miljoni kvotu. Ir sagaidāms, ka liels skaits šo kvotu netiks iedalītas. Tās trešā posma beigās tiks iekļautas tirgus stabilitātes rezervē (TSR), bet 200 miljonus no tām izmantos, lai izveidotu ceturtā posma tirgus stabilitātes rezervi.</w:t>
      </w:r>
    </w:p>
    <w:p>
      <w:pPr>
        <w:pStyle w:val="NormalWeb"/>
        <w:spacing w:before="0" w:beforeAutospacing="0" w:after="300" w:afterAutospacing="0" w:line="276" w:lineRule="auto"/>
        <w:jc w:val="both"/>
        <w:rPr>
          <w:noProof/>
        </w:rPr>
      </w:pPr>
      <w:r>
        <w:rPr>
          <w:noProof/>
        </w:rPr>
        <w:t>Līdz 2019. gada jūnija beigām bez maksas iedalīto kvotu skaits tika samazināts par aptuveni 457 miljoniem tādu iekārtu dēļ, kas pārtrauca vai samazināja ražošanu vai ražošanas jaudu salīdzinājumā ar to, pēc kuras sākumā tika aprēķinātas trešajā posmā iedalāmās kvotas.</w:t>
      </w:r>
    </w:p>
    <w:p>
      <w:pPr>
        <w:pStyle w:val="Caption"/>
        <w:keepNext/>
        <w:rPr>
          <w:rFonts w:ascii="Times New Roman" w:hAnsi="Times New Roman"/>
          <w:noProof/>
          <w:sz w:val="22"/>
          <w:szCs w:val="22"/>
        </w:rPr>
      </w:pPr>
      <w:r>
        <w:rPr>
          <w:rFonts w:ascii="Times New Roman" w:hAnsi="Times New Roman"/>
          <w:noProof/>
          <w:sz w:val="22"/>
          <w:szCs w:val="22"/>
        </w:rPr>
        <w:t>2</w:t>
      </w:r>
      <w:r>
        <w:rPr>
          <w:rFonts w:ascii="Times New Roman" w:hAnsi="Times New Roman"/>
          <w:noProof/>
          <w:sz w:val="24"/>
          <w:szCs w:val="24"/>
        </w:rPr>
        <w:t>. tabula. 2013.–2019. gadā rūpniecībai bez maksas piešķirto kvotu skaits (miljonos</w:t>
      </w:r>
      <w:r>
        <w:rPr>
          <w:rFonts w:ascii="Times New Roman" w:hAnsi="Times New Roman"/>
          <w:noProof/>
          <w:sz w:val="22"/>
          <w:szCs w:val="22"/>
        </w:rPr>
        <w:t>)</w:t>
      </w:r>
      <w:r>
        <w:rPr>
          <w:rStyle w:val="FootnoteReference"/>
          <w:rFonts w:ascii="Times New Roman" w:hAnsi="Times New Roman"/>
          <w:b w:val="0"/>
          <w:noProof/>
          <w:sz w:val="22"/>
          <w:szCs w:val="22"/>
        </w:rPr>
        <w:footnoteReference w:id="18"/>
      </w:r>
    </w:p>
    <w:tbl>
      <w:tblPr>
        <w:tblW w:w="8963"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76"/>
        <w:gridCol w:w="940"/>
        <w:gridCol w:w="948"/>
        <w:gridCol w:w="948"/>
        <w:gridCol w:w="948"/>
        <w:gridCol w:w="949"/>
        <w:gridCol w:w="927"/>
        <w:gridCol w:w="927"/>
      </w:tblGrid>
      <w:tr>
        <w:trPr>
          <w:trHeight w:val="517"/>
        </w:trPr>
        <w:tc>
          <w:tcPr>
            <w:tcW w:w="2376" w:type="dxa"/>
            <w:shd w:val="clear" w:color="auto" w:fill="auto"/>
            <w:vAlign w:val="center"/>
          </w:tcPr>
          <w:p>
            <w:pPr>
              <w:jc w:val="center"/>
              <w:rPr>
                <w:rFonts w:ascii="Times New Roman" w:hAnsi="Times New Roman"/>
                <w:b/>
                <w:noProof/>
                <w:sz w:val="20"/>
                <w:szCs w:val="20"/>
              </w:rPr>
            </w:pPr>
          </w:p>
        </w:tc>
        <w:tc>
          <w:tcPr>
            <w:tcW w:w="940" w:type="dxa"/>
            <w:shd w:val="clear" w:color="auto" w:fill="auto"/>
            <w:vAlign w:val="center"/>
          </w:tcPr>
          <w:p>
            <w:pPr>
              <w:jc w:val="center"/>
              <w:rPr>
                <w:rFonts w:ascii="Times New Roman" w:hAnsi="Times New Roman"/>
                <w:b/>
                <w:noProof/>
                <w:sz w:val="20"/>
                <w:szCs w:val="20"/>
              </w:rPr>
            </w:pPr>
            <w:r>
              <w:rPr>
                <w:rFonts w:ascii="Times New Roman" w:hAnsi="Times New Roman"/>
                <w:b/>
                <w:noProof/>
                <w:sz w:val="20"/>
                <w:szCs w:val="20"/>
              </w:rPr>
              <w:t>2013</w:t>
            </w:r>
          </w:p>
        </w:tc>
        <w:tc>
          <w:tcPr>
            <w:tcW w:w="948" w:type="dxa"/>
            <w:shd w:val="clear" w:color="auto" w:fill="auto"/>
            <w:vAlign w:val="center"/>
          </w:tcPr>
          <w:p>
            <w:pPr>
              <w:jc w:val="center"/>
              <w:rPr>
                <w:rFonts w:ascii="Times New Roman" w:hAnsi="Times New Roman"/>
                <w:b/>
                <w:noProof/>
                <w:sz w:val="20"/>
                <w:szCs w:val="20"/>
              </w:rPr>
            </w:pPr>
            <w:r>
              <w:rPr>
                <w:rFonts w:ascii="Times New Roman" w:hAnsi="Times New Roman"/>
                <w:b/>
                <w:noProof/>
                <w:sz w:val="20"/>
                <w:szCs w:val="20"/>
              </w:rPr>
              <w:t>2014</w:t>
            </w:r>
          </w:p>
        </w:tc>
        <w:tc>
          <w:tcPr>
            <w:tcW w:w="948" w:type="dxa"/>
            <w:vAlign w:val="center"/>
          </w:tcPr>
          <w:p>
            <w:pPr>
              <w:jc w:val="center"/>
              <w:rPr>
                <w:rFonts w:ascii="Times New Roman" w:hAnsi="Times New Roman"/>
                <w:b/>
                <w:noProof/>
                <w:sz w:val="20"/>
                <w:szCs w:val="20"/>
              </w:rPr>
            </w:pPr>
            <w:r>
              <w:rPr>
                <w:rFonts w:ascii="Times New Roman" w:hAnsi="Times New Roman"/>
                <w:b/>
                <w:noProof/>
                <w:sz w:val="20"/>
                <w:szCs w:val="20"/>
              </w:rPr>
              <w:t>2015</w:t>
            </w:r>
          </w:p>
        </w:tc>
        <w:tc>
          <w:tcPr>
            <w:tcW w:w="948" w:type="dxa"/>
            <w:vAlign w:val="center"/>
          </w:tcPr>
          <w:p>
            <w:pPr>
              <w:jc w:val="center"/>
              <w:rPr>
                <w:rFonts w:ascii="Times New Roman" w:hAnsi="Times New Roman"/>
                <w:b/>
                <w:noProof/>
                <w:sz w:val="20"/>
                <w:szCs w:val="20"/>
              </w:rPr>
            </w:pPr>
            <w:r>
              <w:rPr>
                <w:rFonts w:ascii="Times New Roman" w:hAnsi="Times New Roman"/>
                <w:b/>
                <w:noProof/>
                <w:sz w:val="20"/>
                <w:szCs w:val="20"/>
              </w:rPr>
              <w:t>2016</w:t>
            </w:r>
          </w:p>
        </w:tc>
        <w:tc>
          <w:tcPr>
            <w:tcW w:w="949" w:type="dxa"/>
            <w:vAlign w:val="center"/>
          </w:tcPr>
          <w:p>
            <w:pPr>
              <w:jc w:val="center"/>
              <w:rPr>
                <w:rFonts w:ascii="Times New Roman" w:hAnsi="Times New Roman"/>
                <w:b/>
                <w:noProof/>
                <w:sz w:val="20"/>
                <w:szCs w:val="20"/>
              </w:rPr>
            </w:pPr>
            <w:r>
              <w:rPr>
                <w:rFonts w:ascii="Times New Roman" w:hAnsi="Times New Roman"/>
                <w:b/>
                <w:noProof/>
                <w:sz w:val="20"/>
                <w:szCs w:val="20"/>
              </w:rPr>
              <w:t>2017</w:t>
            </w:r>
          </w:p>
        </w:tc>
        <w:tc>
          <w:tcPr>
            <w:tcW w:w="927" w:type="dxa"/>
            <w:vAlign w:val="center"/>
          </w:tcPr>
          <w:p>
            <w:pPr>
              <w:jc w:val="center"/>
              <w:rPr>
                <w:rFonts w:ascii="Times New Roman" w:hAnsi="Times New Roman"/>
                <w:b/>
                <w:noProof/>
                <w:sz w:val="20"/>
                <w:szCs w:val="20"/>
                <w:highlight w:val="yellow"/>
              </w:rPr>
            </w:pPr>
            <w:r>
              <w:rPr>
                <w:rFonts w:ascii="Times New Roman" w:hAnsi="Times New Roman"/>
                <w:b/>
                <w:noProof/>
                <w:sz w:val="20"/>
                <w:szCs w:val="20"/>
              </w:rPr>
              <w:t>2018</w:t>
            </w:r>
          </w:p>
        </w:tc>
        <w:tc>
          <w:tcPr>
            <w:tcW w:w="927" w:type="dxa"/>
            <w:vAlign w:val="center"/>
          </w:tcPr>
          <w:p>
            <w:pPr>
              <w:jc w:val="center"/>
              <w:rPr>
                <w:rFonts w:ascii="Times New Roman" w:hAnsi="Times New Roman"/>
                <w:b/>
                <w:noProof/>
                <w:sz w:val="20"/>
                <w:szCs w:val="20"/>
              </w:rPr>
            </w:pPr>
            <w:r>
              <w:rPr>
                <w:rFonts w:ascii="Times New Roman" w:hAnsi="Times New Roman"/>
                <w:b/>
                <w:noProof/>
                <w:sz w:val="20"/>
                <w:szCs w:val="20"/>
              </w:rPr>
              <w:t>2019</w:t>
            </w:r>
          </w:p>
        </w:tc>
      </w:tr>
      <w:tr>
        <w:trPr>
          <w:trHeight w:val="611"/>
        </w:trPr>
        <w:tc>
          <w:tcPr>
            <w:tcW w:w="2376" w:type="dxa"/>
            <w:shd w:val="clear" w:color="auto" w:fill="auto"/>
            <w:vAlign w:val="center"/>
          </w:tcPr>
          <w:p>
            <w:pPr>
              <w:jc w:val="center"/>
              <w:rPr>
                <w:rFonts w:ascii="Times New Roman" w:hAnsi="Times New Roman"/>
                <w:b/>
                <w:noProof/>
                <w:sz w:val="20"/>
                <w:szCs w:val="20"/>
              </w:rPr>
            </w:pPr>
            <w:r>
              <w:rPr>
                <w:rFonts w:ascii="Times New Roman" w:hAnsi="Times New Roman"/>
                <w:b/>
                <w:noProof/>
                <w:sz w:val="20"/>
                <w:szCs w:val="20"/>
              </w:rPr>
              <w:t>Bez maksas iedalītās kvotas</w:t>
            </w:r>
            <w:r>
              <w:rPr>
                <w:rFonts w:ascii="Times New Roman" w:hAnsi="Times New Roman"/>
                <w:b/>
                <w:noProof/>
                <w:sz w:val="20"/>
                <w:szCs w:val="20"/>
                <w:vertAlign w:val="superscript"/>
              </w:rPr>
              <w:footnoteReference w:id="19"/>
            </w:r>
            <w:r>
              <w:rPr>
                <w:rFonts w:ascii="Times New Roman" w:hAnsi="Times New Roman"/>
                <w:b/>
                <w:noProof/>
                <w:sz w:val="20"/>
                <w:szCs w:val="20"/>
              </w:rPr>
              <w:t xml:space="preserve"> </w:t>
            </w:r>
            <w:r>
              <w:rPr>
                <w:rFonts w:ascii="Times New Roman" w:hAnsi="Times New Roman"/>
                <w:b/>
                <w:noProof/>
                <w:sz w:val="20"/>
                <w:szCs w:val="20"/>
              </w:rPr>
              <w:br/>
              <w:t>(ES28 + EEZ EBTA valstis)</w:t>
            </w:r>
          </w:p>
        </w:tc>
        <w:tc>
          <w:tcPr>
            <w:tcW w:w="940" w:type="dxa"/>
            <w:shd w:val="clear" w:color="auto" w:fill="auto"/>
            <w:vAlign w:val="center"/>
          </w:tcPr>
          <w:p>
            <w:pPr>
              <w:jc w:val="center"/>
              <w:rPr>
                <w:rFonts w:ascii="Times New Roman" w:hAnsi="Times New Roman"/>
                <w:noProof/>
                <w:sz w:val="20"/>
                <w:szCs w:val="20"/>
              </w:rPr>
            </w:pPr>
            <w:r>
              <w:rPr>
                <w:rFonts w:ascii="Times New Roman" w:hAnsi="Times New Roman"/>
                <w:noProof/>
                <w:sz w:val="20"/>
                <w:szCs w:val="20"/>
              </w:rPr>
              <w:t>903,0</w:t>
            </w:r>
          </w:p>
        </w:tc>
        <w:tc>
          <w:tcPr>
            <w:tcW w:w="948" w:type="dxa"/>
            <w:shd w:val="clear" w:color="auto" w:fill="auto"/>
            <w:vAlign w:val="center"/>
          </w:tcPr>
          <w:p>
            <w:pPr>
              <w:jc w:val="center"/>
              <w:rPr>
                <w:rFonts w:ascii="Times New Roman" w:hAnsi="Times New Roman"/>
                <w:noProof/>
                <w:sz w:val="20"/>
                <w:szCs w:val="20"/>
              </w:rPr>
            </w:pPr>
            <w:r>
              <w:rPr>
                <w:rFonts w:ascii="Times New Roman" w:hAnsi="Times New Roman"/>
                <w:noProof/>
                <w:sz w:val="20"/>
                <w:szCs w:val="20"/>
              </w:rPr>
              <w:t>874,8</w:t>
            </w:r>
          </w:p>
        </w:tc>
        <w:tc>
          <w:tcPr>
            <w:tcW w:w="948" w:type="dxa"/>
            <w:vAlign w:val="center"/>
          </w:tcPr>
          <w:p>
            <w:pPr>
              <w:jc w:val="center"/>
              <w:rPr>
                <w:rFonts w:ascii="Times New Roman" w:hAnsi="Times New Roman"/>
                <w:noProof/>
                <w:sz w:val="20"/>
                <w:szCs w:val="20"/>
              </w:rPr>
            </w:pPr>
            <w:r>
              <w:rPr>
                <w:rFonts w:ascii="Times New Roman" w:hAnsi="Times New Roman"/>
                <w:noProof/>
                <w:sz w:val="20"/>
                <w:szCs w:val="20"/>
              </w:rPr>
              <w:t>847,6</w:t>
            </w:r>
          </w:p>
        </w:tc>
        <w:tc>
          <w:tcPr>
            <w:tcW w:w="948" w:type="dxa"/>
            <w:vAlign w:val="center"/>
          </w:tcPr>
          <w:p>
            <w:pPr>
              <w:jc w:val="center"/>
              <w:rPr>
                <w:rFonts w:ascii="Times New Roman" w:hAnsi="Times New Roman"/>
                <w:noProof/>
                <w:sz w:val="20"/>
                <w:szCs w:val="20"/>
              </w:rPr>
            </w:pPr>
            <w:r>
              <w:rPr>
                <w:rFonts w:ascii="Times New Roman" w:hAnsi="Times New Roman"/>
                <w:noProof/>
                <w:sz w:val="20"/>
                <w:szCs w:val="20"/>
              </w:rPr>
              <w:t>821,3</w:t>
            </w:r>
          </w:p>
        </w:tc>
        <w:tc>
          <w:tcPr>
            <w:tcW w:w="949" w:type="dxa"/>
            <w:vAlign w:val="center"/>
          </w:tcPr>
          <w:p>
            <w:pPr>
              <w:jc w:val="center"/>
              <w:rPr>
                <w:rFonts w:ascii="Times New Roman" w:hAnsi="Times New Roman"/>
                <w:noProof/>
                <w:sz w:val="20"/>
                <w:szCs w:val="20"/>
              </w:rPr>
            </w:pPr>
            <w:r>
              <w:rPr>
                <w:rFonts w:ascii="Times New Roman" w:hAnsi="Times New Roman"/>
                <w:noProof/>
                <w:sz w:val="20"/>
                <w:szCs w:val="20"/>
              </w:rPr>
              <w:t>796,2</w:t>
            </w:r>
          </w:p>
        </w:tc>
        <w:tc>
          <w:tcPr>
            <w:tcW w:w="927" w:type="dxa"/>
            <w:vAlign w:val="center"/>
          </w:tcPr>
          <w:p>
            <w:pPr>
              <w:jc w:val="center"/>
              <w:rPr>
                <w:rFonts w:ascii="Times New Roman" w:hAnsi="Times New Roman"/>
                <w:noProof/>
                <w:sz w:val="20"/>
                <w:szCs w:val="20"/>
              </w:rPr>
            </w:pPr>
            <w:r>
              <w:rPr>
                <w:rFonts w:ascii="Times New Roman" w:hAnsi="Times New Roman"/>
                <w:noProof/>
                <w:sz w:val="20"/>
                <w:szCs w:val="20"/>
              </w:rPr>
              <w:t>771,9</w:t>
            </w:r>
          </w:p>
        </w:tc>
        <w:tc>
          <w:tcPr>
            <w:tcW w:w="927" w:type="dxa"/>
            <w:vAlign w:val="center"/>
          </w:tcPr>
          <w:p>
            <w:pPr>
              <w:jc w:val="center"/>
              <w:rPr>
                <w:rFonts w:ascii="Times New Roman" w:hAnsi="Times New Roman"/>
                <w:noProof/>
                <w:sz w:val="20"/>
                <w:szCs w:val="20"/>
              </w:rPr>
            </w:pPr>
            <w:r>
              <w:rPr>
                <w:rFonts w:ascii="Times New Roman" w:hAnsi="Times New Roman"/>
                <w:noProof/>
                <w:sz w:val="20"/>
                <w:szCs w:val="20"/>
              </w:rPr>
              <w:t>748,1</w:t>
            </w:r>
            <w:r>
              <w:rPr>
                <w:rStyle w:val="FootnoteReference"/>
                <w:rFonts w:ascii="Times New Roman" w:hAnsi="Times New Roman"/>
                <w:noProof/>
                <w:sz w:val="20"/>
                <w:szCs w:val="20"/>
              </w:rPr>
              <w:footnoteReference w:id="20"/>
            </w:r>
          </w:p>
        </w:tc>
      </w:tr>
      <w:tr>
        <w:trPr>
          <w:trHeight w:val="1191"/>
        </w:trPr>
        <w:tc>
          <w:tcPr>
            <w:tcW w:w="2376" w:type="dxa"/>
            <w:shd w:val="clear" w:color="auto" w:fill="auto"/>
            <w:vAlign w:val="center"/>
          </w:tcPr>
          <w:p>
            <w:pPr>
              <w:jc w:val="center"/>
              <w:rPr>
                <w:rFonts w:ascii="Times New Roman" w:hAnsi="Times New Roman"/>
                <w:b/>
                <w:noProof/>
                <w:sz w:val="20"/>
                <w:szCs w:val="20"/>
              </w:rPr>
            </w:pPr>
            <w:r>
              <w:rPr>
                <w:rFonts w:ascii="Times New Roman" w:hAnsi="Times New Roman"/>
                <w:b/>
                <w:noProof/>
                <w:sz w:val="20"/>
                <w:szCs w:val="20"/>
              </w:rPr>
              <w:t>Kvotas, kas iedalītas no jaunu iekārtu rezerves (ieguldījumi jaunās nozarēs un jaudas palielināšana)</w:t>
            </w:r>
          </w:p>
        </w:tc>
        <w:tc>
          <w:tcPr>
            <w:tcW w:w="940" w:type="dxa"/>
            <w:shd w:val="clear" w:color="auto" w:fill="auto"/>
            <w:vAlign w:val="center"/>
          </w:tcPr>
          <w:p>
            <w:pPr>
              <w:jc w:val="center"/>
              <w:rPr>
                <w:rFonts w:ascii="Times New Roman" w:hAnsi="Times New Roman"/>
                <w:noProof/>
                <w:sz w:val="20"/>
                <w:szCs w:val="20"/>
              </w:rPr>
            </w:pPr>
            <w:r>
              <w:rPr>
                <w:rFonts w:ascii="Times New Roman" w:hAnsi="Times New Roman"/>
                <w:noProof/>
                <w:sz w:val="20"/>
                <w:szCs w:val="20"/>
              </w:rPr>
              <w:t>11,7</w:t>
            </w:r>
          </w:p>
        </w:tc>
        <w:tc>
          <w:tcPr>
            <w:tcW w:w="948" w:type="dxa"/>
            <w:shd w:val="clear" w:color="auto" w:fill="auto"/>
            <w:vAlign w:val="center"/>
          </w:tcPr>
          <w:p>
            <w:pPr>
              <w:jc w:val="center"/>
              <w:rPr>
                <w:rFonts w:ascii="Times New Roman" w:hAnsi="Times New Roman"/>
                <w:noProof/>
                <w:sz w:val="20"/>
                <w:szCs w:val="20"/>
              </w:rPr>
            </w:pPr>
            <w:r>
              <w:rPr>
                <w:rFonts w:ascii="Times New Roman" w:hAnsi="Times New Roman"/>
                <w:noProof/>
                <w:sz w:val="20"/>
                <w:szCs w:val="20"/>
              </w:rPr>
              <w:t>15,3</w:t>
            </w:r>
          </w:p>
        </w:tc>
        <w:tc>
          <w:tcPr>
            <w:tcW w:w="948" w:type="dxa"/>
            <w:vAlign w:val="center"/>
          </w:tcPr>
          <w:p>
            <w:pPr>
              <w:jc w:val="center"/>
              <w:rPr>
                <w:rFonts w:ascii="Times New Roman" w:hAnsi="Times New Roman"/>
                <w:noProof/>
                <w:sz w:val="20"/>
                <w:szCs w:val="20"/>
              </w:rPr>
            </w:pPr>
            <w:r>
              <w:rPr>
                <w:rFonts w:ascii="Times New Roman" w:hAnsi="Times New Roman"/>
                <w:noProof/>
                <w:sz w:val="20"/>
                <w:szCs w:val="20"/>
              </w:rPr>
              <w:t>18,6</w:t>
            </w:r>
          </w:p>
        </w:tc>
        <w:tc>
          <w:tcPr>
            <w:tcW w:w="948" w:type="dxa"/>
            <w:vAlign w:val="center"/>
          </w:tcPr>
          <w:p>
            <w:pPr>
              <w:jc w:val="center"/>
              <w:rPr>
                <w:rFonts w:ascii="Times New Roman" w:hAnsi="Times New Roman"/>
                <w:noProof/>
                <w:sz w:val="20"/>
                <w:szCs w:val="20"/>
              </w:rPr>
            </w:pPr>
            <w:r>
              <w:rPr>
                <w:rFonts w:ascii="Times New Roman" w:hAnsi="Times New Roman"/>
                <w:noProof/>
                <w:sz w:val="20"/>
                <w:szCs w:val="20"/>
              </w:rPr>
              <w:t>21,8</w:t>
            </w:r>
          </w:p>
        </w:tc>
        <w:tc>
          <w:tcPr>
            <w:tcW w:w="949" w:type="dxa"/>
            <w:vAlign w:val="center"/>
          </w:tcPr>
          <w:p>
            <w:pPr>
              <w:jc w:val="center"/>
              <w:rPr>
                <w:rFonts w:ascii="Times New Roman" w:hAnsi="Times New Roman"/>
                <w:noProof/>
                <w:sz w:val="20"/>
                <w:szCs w:val="20"/>
              </w:rPr>
            </w:pPr>
            <w:r>
              <w:rPr>
                <w:rFonts w:ascii="Times New Roman" w:hAnsi="Times New Roman"/>
                <w:noProof/>
                <w:sz w:val="20"/>
                <w:szCs w:val="20"/>
              </w:rPr>
              <w:t>23,4</w:t>
            </w:r>
          </w:p>
        </w:tc>
        <w:tc>
          <w:tcPr>
            <w:tcW w:w="927" w:type="dxa"/>
            <w:vAlign w:val="center"/>
          </w:tcPr>
          <w:p>
            <w:pPr>
              <w:jc w:val="center"/>
              <w:rPr>
                <w:rFonts w:ascii="Times New Roman" w:hAnsi="Times New Roman"/>
                <w:noProof/>
                <w:sz w:val="20"/>
                <w:szCs w:val="20"/>
              </w:rPr>
            </w:pPr>
            <w:r>
              <w:rPr>
                <w:rFonts w:ascii="Times New Roman" w:hAnsi="Times New Roman"/>
                <w:noProof/>
                <w:sz w:val="20"/>
                <w:szCs w:val="20"/>
              </w:rPr>
              <w:t>23,6</w:t>
            </w:r>
          </w:p>
        </w:tc>
        <w:tc>
          <w:tcPr>
            <w:tcW w:w="927" w:type="dxa"/>
            <w:vAlign w:val="center"/>
          </w:tcPr>
          <w:p>
            <w:pPr>
              <w:jc w:val="center"/>
              <w:rPr>
                <w:rFonts w:ascii="Times New Roman" w:hAnsi="Times New Roman"/>
                <w:noProof/>
                <w:sz w:val="20"/>
                <w:szCs w:val="20"/>
              </w:rPr>
            </w:pPr>
            <w:r>
              <w:rPr>
                <w:rFonts w:ascii="Times New Roman" w:hAnsi="Times New Roman"/>
                <w:noProof/>
                <w:sz w:val="20"/>
                <w:szCs w:val="20"/>
              </w:rPr>
              <w:t>22,9</w:t>
            </w:r>
          </w:p>
        </w:tc>
      </w:tr>
      <w:tr>
        <w:trPr>
          <w:trHeight w:val="947"/>
        </w:trPr>
        <w:tc>
          <w:tcPr>
            <w:tcW w:w="2376" w:type="dxa"/>
            <w:shd w:val="clear" w:color="auto" w:fill="auto"/>
            <w:vAlign w:val="center"/>
          </w:tcPr>
          <w:p>
            <w:pPr>
              <w:jc w:val="center"/>
              <w:rPr>
                <w:rFonts w:ascii="Times New Roman" w:hAnsi="Times New Roman"/>
                <w:b/>
                <w:noProof/>
                <w:sz w:val="20"/>
                <w:szCs w:val="20"/>
              </w:rPr>
            </w:pPr>
            <w:r>
              <w:rPr>
                <w:rFonts w:ascii="Times New Roman" w:hAnsi="Times New Roman"/>
                <w:b/>
                <w:noProof/>
                <w:sz w:val="20"/>
                <w:szCs w:val="20"/>
              </w:rPr>
              <w:t>Bezmaksas kvotas, kas nav iedalītas tāpēc, ka ir pārtraukta vai mainīta ražošana vai ražošanas jauda</w:t>
            </w:r>
          </w:p>
        </w:tc>
        <w:tc>
          <w:tcPr>
            <w:tcW w:w="940" w:type="dxa"/>
            <w:shd w:val="clear" w:color="auto" w:fill="auto"/>
            <w:vAlign w:val="center"/>
          </w:tcPr>
          <w:p>
            <w:pPr>
              <w:jc w:val="center"/>
              <w:rPr>
                <w:rFonts w:ascii="Times New Roman" w:hAnsi="Times New Roman"/>
                <w:noProof/>
                <w:sz w:val="20"/>
                <w:szCs w:val="20"/>
                <w:highlight w:val="yellow"/>
              </w:rPr>
            </w:pPr>
            <w:r>
              <w:rPr>
                <w:rFonts w:ascii="Times New Roman" w:hAnsi="Times New Roman"/>
                <w:noProof/>
                <w:sz w:val="20"/>
                <w:szCs w:val="20"/>
              </w:rPr>
              <w:t>40,1</w:t>
            </w:r>
          </w:p>
        </w:tc>
        <w:tc>
          <w:tcPr>
            <w:tcW w:w="948" w:type="dxa"/>
            <w:shd w:val="clear" w:color="auto" w:fill="auto"/>
            <w:vAlign w:val="center"/>
          </w:tcPr>
          <w:p>
            <w:pPr>
              <w:jc w:val="center"/>
              <w:rPr>
                <w:rFonts w:ascii="Times New Roman" w:hAnsi="Times New Roman"/>
                <w:noProof/>
                <w:sz w:val="20"/>
                <w:szCs w:val="20"/>
              </w:rPr>
            </w:pPr>
            <w:r>
              <w:rPr>
                <w:rFonts w:ascii="Times New Roman" w:hAnsi="Times New Roman"/>
                <w:noProof/>
                <w:sz w:val="20"/>
                <w:szCs w:val="20"/>
              </w:rPr>
              <w:t>58,9</w:t>
            </w:r>
          </w:p>
        </w:tc>
        <w:tc>
          <w:tcPr>
            <w:tcW w:w="948" w:type="dxa"/>
            <w:vAlign w:val="center"/>
          </w:tcPr>
          <w:p>
            <w:pPr>
              <w:jc w:val="center"/>
              <w:rPr>
                <w:rFonts w:ascii="Times New Roman" w:hAnsi="Times New Roman"/>
                <w:noProof/>
                <w:sz w:val="20"/>
                <w:szCs w:val="20"/>
              </w:rPr>
            </w:pPr>
            <w:r>
              <w:rPr>
                <w:rFonts w:ascii="Times New Roman" w:hAnsi="Times New Roman"/>
                <w:noProof/>
                <w:sz w:val="20"/>
                <w:szCs w:val="20"/>
              </w:rPr>
              <w:t>70,8</w:t>
            </w:r>
          </w:p>
        </w:tc>
        <w:tc>
          <w:tcPr>
            <w:tcW w:w="948" w:type="dxa"/>
            <w:vAlign w:val="center"/>
          </w:tcPr>
          <w:p>
            <w:pPr>
              <w:jc w:val="center"/>
              <w:rPr>
                <w:rFonts w:ascii="Times New Roman" w:hAnsi="Times New Roman"/>
                <w:noProof/>
                <w:sz w:val="20"/>
                <w:szCs w:val="20"/>
              </w:rPr>
            </w:pPr>
            <w:r>
              <w:rPr>
                <w:rFonts w:ascii="Times New Roman" w:hAnsi="Times New Roman"/>
                <w:noProof/>
                <w:sz w:val="20"/>
                <w:szCs w:val="20"/>
              </w:rPr>
              <w:t>67,5</w:t>
            </w:r>
          </w:p>
        </w:tc>
        <w:tc>
          <w:tcPr>
            <w:tcW w:w="949" w:type="dxa"/>
            <w:vAlign w:val="center"/>
          </w:tcPr>
          <w:p>
            <w:pPr>
              <w:jc w:val="center"/>
              <w:rPr>
                <w:rFonts w:ascii="Times New Roman" w:hAnsi="Times New Roman"/>
                <w:noProof/>
                <w:sz w:val="20"/>
                <w:szCs w:val="20"/>
              </w:rPr>
            </w:pPr>
            <w:r>
              <w:rPr>
                <w:rFonts w:ascii="Times New Roman" w:hAnsi="Times New Roman"/>
                <w:noProof/>
                <w:sz w:val="20"/>
                <w:szCs w:val="20"/>
              </w:rPr>
              <w:t>71,6</w:t>
            </w:r>
          </w:p>
        </w:tc>
        <w:tc>
          <w:tcPr>
            <w:tcW w:w="927" w:type="dxa"/>
            <w:vAlign w:val="center"/>
          </w:tcPr>
          <w:p>
            <w:pPr>
              <w:jc w:val="center"/>
              <w:rPr>
                <w:rFonts w:ascii="Times New Roman" w:hAnsi="Times New Roman"/>
                <w:noProof/>
                <w:sz w:val="20"/>
                <w:szCs w:val="20"/>
              </w:rPr>
            </w:pPr>
            <w:r>
              <w:rPr>
                <w:rFonts w:ascii="Times New Roman" w:hAnsi="Times New Roman"/>
                <w:noProof/>
                <w:sz w:val="20"/>
                <w:szCs w:val="20"/>
              </w:rPr>
              <w:t>75,9</w:t>
            </w:r>
          </w:p>
        </w:tc>
        <w:tc>
          <w:tcPr>
            <w:tcW w:w="927" w:type="dxa"/>
            <w:vAlign w:val="center"/>
          </w:tcPr>
          <w:p>
            <w:pPr>
              <w:jc w:val="center"/>
              <w:rPr>
                <w:rFonts w:ascii="Times New Roman" w:hAnsi="Times New Roman"/>
                <w:noProof/>
                <w:sz w:val="20"/>
                <w:szCs w:val="20"/>
              </w:rPr>
            </w:pPr>
            <w:r>
              <w:rPr>
                <w:rFonts w:ascii="Times New Roman" w:hAnsi="Times New Roman"/>
                <w:noProof/>
                <w:sz w:val="20"/>
                <w:szCs w:val="20"/>
              </w:rPr>
              <w:t>71,9</w:t>
            </w:r>
          </w:p>
        </w:tc>
      </w:tr>
    </w:tbl>
    <w:p>
      <w:pPr>
        <w:pStyle w:val="NormalWeb"/>
        <w:spacing w:line="276" w:lineRule="auto"/>
        <w:jc w:val="both"/>
        <w:rPr>
          <w:noProof/>
        </w:rPr>
      </w:pPr>
      <w:r>
        <w:rPr>
          <w:noProof/>
        </w:rPr>
        <w:t>Tā kā pieprasījums pēc bezmaksas kvotām pārsniedza pieejamo daudzumu, visām iekārtām, uz ko attiecas ES ETS, iedalāmo kvotu daudzums tika samazināts par vienādu procentuālo daļu, piemērojot “starpnozaru korekcijas koeficientu (</w:t>
      </w:r>
      <w:r>
        <w:rPr>
          <w:i/>
          <w:noProof/>
        </w:rPr>
        <w:t>CSCF</w:t>
      </w:r>
      <w:r>
        <w:rPr>
          <w:noProof/>
        </w:rPr>
        <w:t>)”</w:t>
      </w:r>
      <w:r>
        <w:rPr>
          <w:rStyle w:val="FootnoteReference"/>
          <w:noProof/>
        </w:rPr>
        <w:footnoteReference w:id="21"/>
      </w:r>
      <w:r>
        <w:rPr>
          <w:noProof/>
        </w:rPr>
        <w:t xml:space="preserve">. 2017. gadā tika pārskatītas sākotnējās </w:t>
      </w:r>
      <w:r>
        <w:rPr>
          <w:i/>
          <w:noProof/>
        </w:rPr>
        <w:t>CSCF</w:t>
      </w:r>
      <w:r>
        <w:rPr>
          <w:noProof/>
        </w:rPr>
        <w:t xml:space="preserve"> vērtības</w:t>
      </w:r>
      <w:r>
        <w:rPr>
          <w:rStyle w:val="FootnoteReference"/>
          <w:noProof/>
        </w:rPr>
        <w:footnoteReference w:id="22"/>
      </w:r>
      <w:r>
        <w:rPr>
          <w:noProof/>
        </w:rPr>
        <w:t>.</w:t>
      </w:r>
    </w:p>
    <w:p>
      <w:pPr>
        <w:pStyle w:val="NormalWeb"/>
        <w:spacing w:line="276" w:lineRule="auto"/>
        <w:jc w:val="both"/>
        <w:rPr>
          <w:noProof/>
        </w:rPr>
      </w:pPr>
      <w:r>
        <w:rPr>
          <w:noProof/>
        </w:rPr>
        <w:t>Lai novērstu oglekļa emisiju pārvirzes risku, bezmaksas kvotu iedale turpināsies pēc 2020. gada, balstoties uz atjauninātām līmeņatzīmju vērtībām, kas iegūtas, par pamatu ņemot 10 % ES visefektīvāko iekārtu sniegumu. Tas, kādā mērā nozares apdraud oglekļa emisiju pārvirze, ir aplēsts, balstoties uz kombinētu rādītāju, kurā nozares tirdzniecības ar trešām valstīm intensitāte ir reizināta ar nozares emisiju intensitāti. Balstoties uz šo izvērtējumu, Komisija 2019. gada februārī pieņēma oglekļa emisiju pārvirzes sarakstu nākamajam tirdzniecības periodam</w:t>
      </w:r>
      <w:r>
        <w:rPr>
          <w:rStyle w:val="FootnoteReference"/>
          <w:noProof/>
        </w:rPr>
        <w:footnoteReference w:id="23"/>
      </w:r>
      <w:r>
        <w:rPr>
          <w:noProof/>
        </w:rPr>
        <w:t>, kas būs spēkā visa ceturtā posma laikā.</w:t>
      </w:r>
    </w:p>
    <w:p>
      <w:pPr>
        <w:jc w:val="both"/>
        <w:rPr>
          <w:rFonts w:ascii="Times New Roman" w:eastAsia="Times New Roman" w:hAnsi="Times New Roman"/>
          <w:noProof/>
          <w:sz w:val="24"/>
          <w:szCs w:val="24"/>
        </w:rPr>
      </w:pPr>
      <w:r>
        <w:rPr>
          <w:rFonts w:ascii="Times New Roman" w:hAnsi="Times New Roman"/>
          <w:noProof/>
          <w:sz w:val="24"/>
          <w:szCs w:val="24"/>
        </w:rPr>
        <w:t>Lai atspoguļotu tehnoloģijas un inovāciju progresu, līmeņatzīmju vērtības ceturtajā posmā tiks divreiz atjauninātas, pamatojoties uz reāliem datiem. Par iekārtām, kas tika pieteiktas bezmaksas kvotām pirmajā iedales periodā (2021–2025), nepieciešamie dati bija jāiesniedz kompetentajām iestādēm līdz 2019. gada 30. maijam. Komisija izmantos šos datus, lai aprēķinātu katrai iekārtai pienākošās kvotas un atjauninātu līmeņatzīmju vērtības 2021.–2025. gadam. Deleģētais akts, ar ko pārskata bezmaksas kvotu iedales noteikumus 2021.–2030. gadam, tika pieņemts 2018. gada decembrī</w:t>
      </w:r>
      <w:r>
        <w:rPr>
          <w:rFonts w:ascii="Times New Roman" w:eastAsia="Times New Roman" w:hAnsi="Times New Roman"/>
          <w:noProof/>
          <w:sz w:val="24"/>
          <w:szCs w:val="24"/>
          <w:vertAlign w:val="superscript"/>
        </w:rPr>
        <w:footnoteReference w:id="24"/>
      </w:r>
      <w:r>
        <w:rPr>
          <w:rFonts w:ascii="Times New Roman" w:hAnsi="Times New Roman"/>
          <w:noProof/>
          <w:sz w:val="24"/>
          <w:szCs w:val="24"/>
        </w:rPr>
        <w:t xml:space="preserve">, savukārt darbs pie līmeņatzīmju vērtību aktualizēšanas 2021.–2025. gadam ir sācies (sk. pielikuma 7. papildinājumu). </w:t>
      </w:r>
    </w:p>
    <w:p>
      <w:pPr>
        <w:jc w:val="both"/>
        <w:rPr>
          <w:rFonts w:ascii="Times New Roman" w:hAnsi="Times New Roman"/>
          <w:noProof/>
          <w:sz w:val="24"/>
          <w:szCs w:val="24"/>
        </w:rPr>
      </w:pPr>
      <w:r>
        <w:rPr>
          <w:rFonts w:ascii="Times New Roman" w:hAnsi="Times New Roman"/>
          <w:noProof/>
          <w:sz w:val="24"/>
          <w:szCs w:val="24"/>
        </w:rPr>
        <w:t>Ceturtajā posmā atsevišķām iekārtām iedalītās kvotas tiks operatīvi koriģētas, lai atspoguļotu būtisku darbības apjoma pieaugumu vai samazinājumu. Lai novērstu manipulācijas ar kvotu iedales korekcijas sistēmu un tās ļaunprātīgu izmantošanu un izvairītos no nepamatota administratīvā sloga, Komisija pieņems īstenošanas aktu, kurā definēs sīkākus korekcijas noteikumus (sk. pielikuma 7. papildinājumu).</w:t>
      </w:r>
    </w:p>
    <w:p>
      <w:pPr>
        <w:pStyle w:val="NormalWeb"/>
        <w:spacing w:line="276" w:lineRule="auto"/>
        <w:jc w:val="both"/>
        <w:rPr>
          <w:noProof/>
        </w:rPr>
      </w:pPr>
    </w:p>
    <w:p>
      <w:pPr>
        <w:pStyle w:val="NormalWeb"/>
        <w:spacing w:line="276" w:lineRule="auto"/>
        <w:jc w:val="both"/>
        <w:rPr>
          <w:noProof/>
        </w:rPr>
      </w:pPr>
      <w:r>
        <w:rPr>
          <w:noProof/>
        </w:rPr>
        <w:br w:type="page"/>
      </w:r>
    </w:p>
    <w:p>
      <w:pPr>
        <w:pStyle w:val="Heading4"/>
        <w:spacing w:before="0" w:after="200"/>
        <w:ind w:left="1080"/>
        <w:rPr>
          <w:noProof/>
        </w:rPr>
      </w:pPr>
      <w:bookmarkStart w:id="12" w:name="_Toc24103529"/>
      <w:r>
        <w:rPr>
          <w:noProof/>
        </w:rPr>
        <w:t>3.1.2.2. Programma NER300 un Inovāciju fonds</w:t>
      </w:r>
      <w:bookmarkEnd w:id="12"/>
      <w:r>
        <w:rPr>
          <w:noProof/>
        </w:rPr>
        <w:t xml:space="preserve"> </w:t>
      </w:r>
    </w:p>
    <w:p>
      <w:pPr>
        <w:pStyle w:val="a3520normalp11"/>
        <w:spacing w:line="276" w:lineRule="auto"/>
        <w:rPr>
          <w:noProof/>
        </w:rPr>
      </w:pPr>
      <w:r>
        <w:rPr>
          <w:noProof/>
          <w:lang w:val="en-GB"/>
        </w:rPr>
        <mc:AlternateContent>
          <mc:Choice Requires="wps">
            <w:drawing>
              <wp:inline distT="0" distB="0" distL="0" distR="0">
                <wp:extent cx="5720486" cy="3073400"/>
                <wp:effectExtent l="0" t="0" r="13970" b="1270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6" cy="3073400"/>
                        </a:xfrm>
                        <a:prstGeom prst="rect">
                          <a:avLst/>
                        </a:prstGeom>
                        <a:solidFill>
                          <a:schemeClr val="bg1">
                            <a:lumMod val="85000"/>
                          </a:schemeClr>
                        </a:solidFill>
                        <a:ln w="12700">
                          <a:solidFill>
                            <a:srgbClr val="000000"/>
                          </a:solidFill>
                          <a:miter lim="800000"/>
                          <a:headEnd/>
                          <a:tailEnd/>
                        </a:ln>
                      </wps:spPr>
                      <wps:txbx>
                        <w:txbxContent>
                          <w:p>
                            <w:pPr>
                              <w:jc w:val="both"/>
                              <w:rPr>
                                <w:rFonts w:ascii="Times New Roman" w:hAnsi="Times New Roman"/>
                              </w:rPr>
                            </w:pPr>
                            <w:r>
                              <w:rPr>
                                <w:rFonts w:ascii="Times New Roman" w:hAnsi="Times New Roman"/>
                              </w:rPr>
                              <w:t xml:space="preserve">Programma </w:t>
                            </w:r>
                            <w:r>
                              <w:rPr>
                                <w:rFonts w:ascii="Times New Roman" w:hAnsi="Times New Roman"/>
                                <w:i/>
                              </w:rPr>
                              <w:t>NER300</w:t>
                            </w:r>
                            <w:r>
                              <w:rPr>
                                <w:rFonts w:ascii="Times New Roman" w:hAnsi="Times New Roman"/>
                              </w:rPr>
                              <w:t xml:space="preserve"> ir inovatīvu mazoglekļa enerģētikas demonstrējumu projektu finansēšanas liela mēroga programma. Tās mērķis ir demonstrēt videi drošas oglekļa dioksīda uztveršanas un uzglabāšanas (</w:t>
                            </w:r>
                            <w:r>
                              <w:rPr>
                                <w:rFonts w:ascii="Times New Roman" w:hAnsi="Times New Roman"/>
                                <w:i/>
                              </w:rPr>
                              <w:t>CCS</w:t>
                            </w:r>
                            <w:r>
                              <w:rPr>
                                <w:rFonts w:ascii="Times New Roman" w:hAnsi="Times New Roman"/>
                              </w:rPr>
                              <w:t xml:space="preserve">) un inovatīvas atjaunojamo energoresursu (AER) tehnoloģijas izmantošanai komerciālā mērogā Eiropas Savienībā. Programma </w:t>
                            </w:r>
                            <w:r>
                              <w:rPr>
                                <w:rFonts w:ascii="Times New Roman" w:hAnsi="Times New Roman"/>
                                <w:i/>
                              </w:rPr>
                              <w:t>NER300</w:t>
                            </w:r>
                            <w:r>
                              <w:rPr>
                                <w:rFonts w:ascii="Times New Roman" w:hAnsi="Times New Roman"/>
                              </w:rPr>
                              <w:t xml:space="preserve"> tika finansēta, monetizējot 300 miljonus emisijas kvotu no </w:t>
                            </w:r>
                            <w:r>
                              <w:rPr>
                                <w:rFonts w:ascii="Times New Roman" w:hAnsi="Times New Roman"/>
                                <w:i/>
                              </w:rPr>
                              <w:t>NER</w:t>
                            </w:r>
                            <w:r>
                              <w:rPr>
                                <w:rFonts w:ascii="Times New Roman" w:hAnsi="Times New Roman"/>
                              </w:rPr>
                              <w:t xml:space="preserve">. Līdzekļi tika piešķirti projektiem, kas atlasīti divās uzaicinājumu iesniegt priekšlikumus kārtās — 2012. gada decembrī un 2014. gada jūlijā. </w:t>
                            </w:r>
                          </w:p>
                          <w:p>
                            <w:pPr>
                              <w:jc w:val="both"/>
                              <w:rPr>
                                <w:rFonts w:ascii="Times New Roman" w:hAnsi="Times New Roman"/>
                                <w:sz w:val="24"/>
                                <w:szCs w:val="24"/>
                              </w:rPr>
                            </w:pPr>
                            <w:r>
                              <w:rPr>
                                <w:rFonts w:ascii="Times New Roman" w:hAnsi="Times New Roman"/>
                              </w:rPr>
                              <w:t>Inovāciju fonds ir viens no diviem mazoglekļa mehānismiem, kas ar pārskatīto ES ETS direktīvu ir izveidoti ceturtajam posmam. Tas konkursa kārtībā atbalstīs novatorisku tehnoloģiju un revolucionāru inovāciju izstrādi sākotnējā tirgus stadijā un to komerciāla mēroga demonstrēšanu nozarēs, uz kurām attiecas ES ETS, tostarp inovatīvus atjaunojamos energoresursus, energoietilpīgas nozares, oglekļa dioksīda uztveršanu un izmantošanu (</w:t>
                            </w:r>
                            <w:r>
                              <w:rPr>
                                <w:rFonts w:ascii="Times New Roman" w:hAnsi="Times New Roman"/>
                                <w:i/>
                              </w:rPr>
                              <w:t>CCU</w:t>
                            </w:r>
                            <w:r>
                              <w:rPr>
                                <w:rFonts w:ascii="Times New Roman" w:hAnsi="Times New Roman"/>
                              </w:rPr>
                              <w:t>), kā arī enerģijas uzkrāšanu.</w:t>
                            </w:r>
                            <w:r>
                              <w:t xml:space="preserve"> </w:t>
                            </w:r>
                            <w:r>
                              <w:rPr>
                                <w:rFonts w:ascii="Times New Roman" w:hAnsi="Times New Roman"/>
                              </w:rPr>
                              <w:t xml:space="preserve">Tas tiks finansēts no vismaz 450 miljonu kvotu izsolīšanas un </w:t>
                            </w:r>
                            <w:r>
                              <w:rPr>
                                <w:rFonts w:ascii="Times New Roman" w:hAnsi="Times New Roman"/>
                                <w:i/>
                              </w:rPr>
                              <w:t>NER300</w:t>
                            </w:r>
                            <w:r>
                              <w:rPr>
                                <w:rFonts w:ascii="Times New Roman" w:hAnsi="Times New Roman"/>
                              </w:rPr>
                              <w:t xml:space="preserve"> programmas neizmaksātā budžeta. Pašlaik tiek gatavots pirmais uzaicinājums iesniegt priekšlikumus 2020. gadā.</w:t>
                            </w:r>
                          </w:p>
                          <w:p>
                            <w:pPr>
                              <w:rPr>
                                <w:rFonts w:ascii="Times New Roman" w:hAnsi="Times New Roman"/>
                                <w:sz w:val="24"/>
                                <w:szCs w:val="24"/>
                              </w:rPr>
                            </w:pPr>
                          </w:p>
                          <w:p>
                            <w:pPr>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id="_x0000_s1031" type="#_x0000_t202" style="width:450.45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" fillcolor="#d8d8d8 [2732]" strokeweight="1pt">
                <v:textbox>
                  <w:txbxContent>
                    <w:p>
                      <w:pPr>
                        <w:jc w:val="both"/>
                        <w:rPr>
                          <w:rFonts w:ascii="Times New Roman" w:hAnsi="Times New Roman"/>
                        </w:rPr>
                      </w:pPr>
                      <w:r>
                        <w:rPr>
                          <w:rFonts w:ascii="Times New Roman" w:hAnsi="Times New Roman"/>
                        </w:rPr>
                        <w:t xml:space="preserve">Programma </w:t>
                      </w:r>
                      <w:r>
                        <w:rPr>
                          <w:rFonts w:ascii="Times New Roman" w:hAnsi="Times New Roman"/>
                          <w:i/>
                        </w:rPr>
                        <w:t>NER300</w:t>
                      </w:r>
                      <w:r>
                        <w:rPr>
                          <w:rFonts w:ascii="Times New Roman" w:hAnsi="Times New Roman"/>
                        </w:rPr>
                        <w:t xml:space="preserve"> ir inovatīvu mazoglekļa enerģētikas demonstrējumu projektu finansēšanas liela mēroga programma. Tās mērķis ir demonstrēt videi drošas oglekļa dioksīda uztveršanas un uzglabāšanas (</w:t>
                      </w:r>
                      <w:r>
                        <w:rPr>
                          <w:rFonts w:ascii="Times New Roman" w:hAnsi="Times New Roman"/>
                          <w:i/>
                        </w:rPr>
                        <w:t>CCS</w:t>
                      </w:r>
                      <w:r>
                        <w:rPr>
                          <w:rFonts w:ascii="Times New Roman" w:hAnsi="Times New Roman"/>
                        </w:rPr>
                        <w:t xml:space="preserve">) un inovatīvas atjaunojamo energoresursu (AER) tehnoloģijas izmantošanai komerciālā mērogā Eiropas Savienībā. Programma </w:t>
                      </w:r>
                      <w:r>
                        <w:rPr>
                          <w:rFonts w:ascii="Times New Roman" w:hAnsi="Times New Roman"/>
                          <w:i/>
                        </w:rPr>
                        <w:t>NER300</w:t>
                      </w:r>
                      <w:r>
                        <w:rPr>
                          <w:rFonts w:ascii="Times New Roman" w:hAnsi="Times New Roman"/>
                        </w:rPr>
                        <w:t xml:space="preserve"> tika finansēta, monetizējot 300 miljonus emisijas kvotu no </w:t>
                      </w:r>
                      <w:r>
                        <w:rPr>
                          <w:rFonts w:ascii="Times New Roman" w:hAnsi="Times New Roman"/>
                          <w:i/>
                        </w:rPr>
                        <w:t>NER</w:t>
                      </w:r>
                      <w:r>
                        <w:rPr>
                          <w:rFonts w:ascii="Times New Roman" w:hAnsi="Times New Roman"/>
                        </w:rPr>
                        <w:t xml:space="preserve">. Līdzekļi tika piešķirti projektiem, kas atlasīti divās uzaicinājumu iesniegt priekšlikumus kārtās — 2012. gada decembrī un 2014. gada jūlijā. </w:t>
                      </w:r>
                    </w:p>
                    <w:p>
                      <w:pPr>
                        <w:jc w:val="both"/>
                        <w:rPr>
                          <w:rFonts w:ascii="Times New Roman" w:hAnsi="Times New Roman"/>
                          <w:sz w:val="24"/>
                          <w:szCs w:val="24"/>
                        </w:rPr>
                      </w:pPr>
                      <w:r>
                        <w:rPr>
                          <w:rFonts w:ascii="Times New Roman" w:hAnsi="Times New Roman"/>
                        </w:rPr>
                        <w:t>Inovāciju fonds ir viens no diviem mazoglekļa mehānismiem, kas ar pārskatīto ES ETS direktīvu ir izveidoti ceturtajam posmam. Tas konkursa kārtībā atbalstīs novatorisku tehnoloģiju un revolucionāru inovāciju izstrādi sākotnējā tirgus stadijā un to komerciāla mēroga demonstrēšanu nozarēs, uz kurām attiecas ES ETS, tostarp inovatīvus atjaunojamos energoresursus, energoietilpīgas nozares, oglekļa dioksīda uztveršanu un izmantošanu (</w:t>
                      </w:r>
                      <w:r>
                        <w:rPr>
                          <w:rFonts w:ascii="Times New Roman" w:hAnsi="Times New Roman"/>
                          <w:i/>
                        </w:rPr>
                        <w:t>CCU</w:t>
                      </w:r>
                      <w:r>
                        <w:rPr>
                          <w:rFonts w:ascii="Times New Roman" w:hAnsi="Times New Roman"/>
                        </w:rPr>
                        <w:t>), kā arī enerģijas uzkrāšanu.</w:t>
                      </w:r>
                      <w:r>
                        <w:t xml:space="preserve"> </w:t>
                      </w:r>
                      <w:r>
                        <w:rPr>
                          <w:rFonts w:ascii="Times New Roman" w:hAnsi="Times New Roman"/>
                        </w:rPr>
                        <w:t xml:space="preserve">Tas tiks finansēts no vismaz 450 miljonu kvotu izsolīšanas un </w:t>
                      </w:r>
                      <w:r>
                        <w:rPr>
                          <w:rFonts w:ascii="Times New Roman" w:hAnsi="Times New Roman"/>
                          <w:i/>
                        </w:rPr>
                        <w:t>NER300</w:t>
                      </w:r>
                      <w:r>
                        <w:rPr>
                          <w:rFonts w:ascii="Times New Roman" w:hAnsi="Times New Roman"/>
                        </w:rPr>
                        <w:t xml:space="preserve"> programmas neizmaksātā budžeta. Pašlaik tiek gatavots pirmais uzaicinājums iesniegt priekšlikumus 2020. gadā.</w:t>
                      </w:r>
                    </w:p>
                    <w:p>
                      <w:pPr>
                        <w:rPr>
                          <w:rFonts w:ascii="Times New Roman" w:hAnsi="Times New Roman"/>
                          <w:sz w:val="24"/>
                          <w:szCs w:val="24"/>
                        </w:rPr>
                      </w:pPr>
                    </w:p>
                    <w:p>
                      <w:pPr>
                        <w:rPr>
                          <w:rFonts w:ascii="Times New Roman" w:hAnsi="Times New Roman"/>
                          <w:sz w:val="24"/>
                          <w:szCs w:val="24"/>
                        </w:rPr>
                      </w:pPr>
                    </w:p>
                  </w:txbxContent>
                </v:textbox>
                <w10:anchorlock/>
              </v:shape>
            </w:pict>
          </mc:Fallback>
        </mc:AlternateContent>
      </w:r>
    </w:p>
    <w:p>
      <w:pPr>
        <w:spacing w:after="120"/>
        <w:ind w:right="57"/>
        <w:jc w:val="both"/>
        <w:rPr>
          <w:rFonts w:ascii="Times New Roman" w:eastAsia="Times New Roman" w:hAnsi="Times New Roman"/>
          <w:noProof/>
          <w:sz w:val="24"/>
          <w:szCs w:val="24"/>
        </w:rPr>
      </w:pPr>
      <w:r>
        <w:rPr>
          <w:rFonts w:ascii="Times New Roman" w:hAnsi="Times New Roman"/>
          <w:noProof/>
          <w:sz w:val="24"/>
          <w:szCs w:val="24"/>
        </w:rPr>
        <w:t xml:space="preserve">Abu uzaicinājumu iesniegt priekšlikumus </w:t>
      </w:r>
      <w:r>
        <w:rPr>
          <w:rFonts w:ascii="Times New Roman" w:hAnsi="Times New Roman"/>
          <w:i/>
          <w:noProof/>
          <w:sz w:val="24"/>
          <w:szCs w:val="24"/>
        </w:rPr>
        <w:t>NER300</w:t>
      </w:r>
      <w:r>
        <w:rPr>
          <w:rFonts w:ascii="Times New Roman" w:hAnsi="Times New Roman"/>
          <w:noProof/>
          <w:sz w:val="24"/>
          <w:szCs w:val="24"/>
        </w:rPr>
        <w:t xml:space="preserve"> rezultātā kopumā tika piešķirts 2,1 miljards EUR 38 AER projektiem un 1 </w:t>
      </w:r>
      <w:r>
        <w:rPr>
          <w:rFonts w:ascii="Times New Roman" w:hAnsi="Times New Roman"/>
          <w:i/>
          <w:noProof/>
          <w:sz w:val="24"/>
          <w:szCs w:val="24"/>
        </w:rPr>
        <w:t>CCS</w:t>
      </w:r>
      <w:r>
        <w:rPr>
          <w:rFonts w:ascii="Times New Roman" w:hAnsi="Times New Roman"/>
          <w:noProof/>
          <w:sz w:val="24"/>
          <w:szCs w:val="24"/>
        </w:rPr>
        <w:t xml:space="preserve"> projektam 20 ES dalībvalstīs. No tiem darbojas 7 projekti: bioenerģijas projekti </w:t>
      </w:r>
      <w:r>
        <w:rPr>
          <w:rFonts w:ascii="Times New Roman" w:hAnsi="Times New Roman"/>
          <w:i/>
          <w:noProof/>
          <w:sz w:val="24"/>
          <w:szCs w:val="24"/>
        </w:rPr>
        <w:t>BEST</w:t>
      </w:r>
      <w:r>
        <w:rPr>
          <w:rFonts w:ascii="Times New Roman" w:hAnsi="Times New Roman"/>
          <w:noProof/>
          <w:sz w:val="24"/>
          <w:szCs w:val="24"/>
        </w:rPr>
        <w:t xml:space="preserve"> Itālijā un </w:t>
      </w:r>
      <w:r>
        <w:rPr>
          <w:rFonts w:ascii="Times New Roman" w:hAnsi="Times New Roman"/>
          <w:i/>
          <w:noProof/>
          <w:sz w:val="24"/>
          <w:szCs w:val="24"/>
        </w:rPr>
        <w:t>Verbiostraw</w:t>
      </w:r>
      <w:r>
        <w:rPr>
          <w:rFonts w:ascii="Times New Roman" w:hAnsi="Times New Roman"/>
          <w:noProof/>
          <w:sz w:val="24"/>
          <w:szCs w:val="24"/>
        </w:rPr>
        <w:t xml:space="preserve"> Vācijā, sauszemes vējparka projekti </w:t>
      </w:r>
      <w:r>
        <w:rPr>
          <w:rFonts w:ascii="Times New Roman" w:hAnsi="Times New Roman"/>
          <w:i/>
          <w:noProof/>
          <w:sz w:val="24"/>
          <w:szCs w:val="24"/>
        </w:rPr>
        <w:t>Windpark Blaiken</w:t>
      </w:r>
      <w:r>
        <w:rPr>
          <w:rFonts w:ascii="Times New Roman" w:hAnsi="Times New Roman"/>
          <w:noProof/>
          <w:sz w:val="24"/>
          <w:szCs w:val="24"/>
        </w:rPr>
        <w:t xml:space="preserve"> Zviedrijā un </w:t>
      </w:r>
      <w:r>
        <w:rPr>
          <w:rFonts w:ascii="Times New Roman" w:hAnsi="Times New Roman"/>
          <w:i/>
          <w:noProof/>
          <w:sz w:val="24"/>
          <w:szCs w:val="24"/>
        </w:rPr>
        <w:t>Windpark Handalm</w:t>
      </w:r>
      <w:r>
        <w:rPr>
          <w:rFonts w:ascii="Times New Roman" w:hAnsi="Times New Roman"/>
          <w:noProof/>
          <w:sz w:val="24"/>
          <w:szCs w:val="24"/>
        </w:rPr>
        <w:t xml:space="preserve"> Austrijā, atkrastes vējparka projekti </w:t>
      </w:r>
      <w:r>
        <w:rPr>
          <w:rFonts w:ascii="Times New Roman" w:hAnsi="Times New Roman"/>
          <w:i/>
          <w:noProof/>
          <w:sz w:val="24"/>
          <w:szCs w:val="24"/>
        </w:rPr>
        <w:t>Veja Mate</w:t>
      </w:r>
      <w:r>
        <w:rPr>
          <w:rFonts w:ascii="Times New Roman" w:hAnsi="Times New Roman"/>
          <w:noProof/>
          <w:sz w:val="24"/>
          <w:szCs w:val="24"/>
        </w:rPr>
        <w:t xml:space="preserve"> un </w:t>
      </w:r>
      <w:r>
        <w:rPr>
          <w:rFonts w:ascii="Times New Roman" w:hAnsi="Times New Roman"/>
          <w:i/>
          <w:noProof/>
          <w:sz w:val="24"/>
          <w:szCs w:val="24"/>
        </w:rPr>
        <w:t>Nordsee One</w:t>
      </w:r>
      <w:r>
        <w:rPr>
          <w:rFonts w:ascii="Times New Roman" w:hAnsi="Times New Roman"/>
          <w:noProof/>
          <w:sz w:val="24"/>
          <w:szCs w:val="24"/>
        </w:rPr>
        <w:t xml:space="preserve"> Vācijā, kā arī viedtīkla projekts </w:t>
      </w:r>
      <w:r>
        <w:rPr>
          <w:rFonts w:ascii="Times New Roman" w:hAnsi="Times New Roman"/>
          <w:i/>
          <w:noProof/>
          <w:sz w:val="24"/>
          <w:szCs w:val="24"/>
        </w:rPr>
        <w:t>Puglia Active Network</w:t>
      </w:r>
      <w:r>
        <w:rPr>
          <w:rFonts w:ascii="Times New Roman" w:hAnsi="Times New Roman"/>
          <w:noProof/>
          <w:sz w:val="24"/>
          <w:szCs w:val="24"/>
        </w:rPr>
        <w:t xml:space="preserve"> Itālijā.</w:t>
      </w:r>
    </w:p>
    <w:p>
      <w:pPr>
        <w:spacing w:after="120"/>
        <w:ind w:right="57"/>
        <w:jc w:val="both"/>
        <w:rPr>
          <w:rFonts w:ascii="Times New Roman" w:eastAsia="Times New Roman" w:hAnsi="Times New Roman"/>
          <w:noProof/>
          <w:sz w:val="24"/>
          <w:szCs w:val="24"/>
        </w:rPr>
      </w:pPr>
      <w:r>
        <w:rPr>
          <w:rFonts w:ascii="Times New Roman" w:hAnsi="Times New Roman"/>
          <w:noProof/>
          <w:sz w:val="24"/>
          <w:szCs w:val="24"/>
        </w:rPr>
        <w:t xml:space="preserve">Ir sagaidāms, ka 5 projekti, kas izvēlēti no pirmā uzaicinājuma iesniegt priekšlikumus, sāks darboties līdz 2019. gada beigām, savukārt 4 projektos no otrā uzaicinājuma tiek turpināts sagatavošanās darbs, lai to darbība tiktu uzsākta līdz 2021. gada 30. jūnijam. Ņemot vērā sarežģīto ekonomisko un politisko kontekstu kopš programmas </w:t>
      </w:r>
      <w:r>
        <w:rPr>
          <w:rFonts w:ascii="Times New Roman" w:hAnsi="Times New Roman"/>
          <w:i/>
          <w:noProof/>
          <w:sz w:val="24"/>
          <w:szCs w:val="24"/>
        </w:rPr>
        <w:t>NER300</w:t>
      </w:r>
      <w:r>
        <w:rPr>
          <w:rFonts w:ascii="Times New Roman" w:hAnsi="Times New Roman"/>
          <w:noProof/>
          <w:sz w:val="24"/>
          <w:szCs w:val="24"/>
        </w:rPr>
        <w:t xml:space="preserve"> izveides, 19 projektiem neizdevās piesaistīt pietiekamu papildu finansiālo atbalstu un tie tika atsaukti, kas atbrīvoja pavisam 1,358 miljardus EUR citām vajadzībām. Vēl 4 projekti atrodas dažādos attīstības posmos.</w:t>
      </w:r>
    </w:p>
    <w:p>
      <w:pPr>
        <w:spacing w:after="120"/>
        <w:ind w:right="57"/>
        <w:jc w:val="both"/>
        <w:rPr>
          <w:rFonts w:ascii="Times New Roman" w:eastAsia="Times New Roman" w:hAnsi="Times New Roman"/>
          <w:noProof/>
          <w:sz w:val="24"/>
          <w:szCs w:val="24"/>
        </w:rPr>
      </w:pPr>
      <w:r>
        <w:rPr>
          <w:rFonts w:ascii="Times New Roman" w:hAnsi="Times New Roman"/>
          <w:noProof/>
          <w:sz w:val="24"/>
          <w:szCs w:val="24"/>
        </w:rPr>
        <w:t xml:space="preserve">Ar grozīto </w:t>
      </w:r>
      <w:r>
        <w:rPr>
          <w:rFonts w:ascii="Times New Roman" w:hAnsi="Times New Roman"/>
          <w:i/>
          <w:noProof/>
          <w:sz w:val="24"/>
          <w:szCs w:val="24"/>
        </w:rPr>
        <w:t>NER300</w:t>
      </w:r>
      <w:r>
        <w:rPr>
          <w:rFonts w:ascii="Times New Roman" w:hAnsi="Times New Roman"/>
          <w:noProof/>
          <w:sz w:val="24"/>
          <w:szCs w:val="24"/>
        </w:rPr>
        <w:t xml:space="preserve"> lēmumu</w:t>
      </w:r>
      <w:r>
        <w:rPr>
          <w:rFonts w:ascii="Times New Roman" w:eastAsia="Times New Roman" w:hAnsi="Times New Roman"/>
          <w:noProof/>
          <w:sz w:val="24"/>
          <w:szCs w:val="24"/>
          <w:vertAlign w:val="superscript"/>
        </w:rPr>
        <w:footnoteReference w:id="25"/>
      </w:r>
      <w:r>
        <w:rPr>
          <w:rFonts w:ascii="Times New Roman" w:hAnsi="Times New Roman"/>
          <w:noProof/>
          <w:sz w:val="24"/>
          <w:szCs w:val="24"/>
        </w:rPr>
        <w:t xml:space="preserve"> tika atļauts atcelto projektu neiztērētos līdzekļus (līdz šim — 623 miljoni EUR) reinvestēt esošos finanšu instrumentos, t. i., </w:t>
      </w:r>
      <w:r>
        <w:rPr>
          <w:rFonts w:ascii="Times New Roman" w:hAnsi="Times New Roman"/>
          <w:i/>
          <w:noProof/>
          <w:sz w:val="24"/>
          <w:szCs w:val="24"/>
        </w:rPr>
        <w:t>InnovFin</w:t>
      </w:r>
      <w:r>
        <w:rPr>
          <w:rFonts w:ascii="Times New Roman" w:hAnsi="Times New Roman"/>
          <w:noProof/>
          <w:sz w:val="24"/>
          <w:szCs w:val="24"/>
        </w:rPr>
        <w:t xml:space="preserve"> enerģētikas demonstrējumu projektos (EDP) un Eiropas infrastruktūras savienošanas instrumenta parāda instrumentā — šos abus instrumentus pārvalda Eiropas Investīciju banka. Tas ļaus maksimāli izmantot ieguvumus no </w:t>
      </w:r>
      <w:r>
        <w:rPr>
          <w:rFonts w:ascii="Times New Roman" w:hAnsi="Times New Roman"/>
          <w:i/>
          <w:noProof/>
          <w:sz w:val="24"/>
          <w:szCs w:val="24"/>
        </w:rPr>
        <w:t>NER300</w:t>
      </w:r>
      <w:r>
        <w:rPr>
          <w:rFonts w:ascii="Times New Roman" w:hAnsi="Times New Roman"/>
          <w:noProof/>
          <w:sz w:val="24"/>
          <w:szCs w:val="24"/>
        </w:rPr>
        <w:t xml:space="preserve"> programmas un piesaistīt papildu privātās investīcijas mazoglekļa inovācijai.</w:t>
      </w:r>
    </w:p>
    <w:p>
      <w:pPr>
        <w:spacing w:after="120"/>
        <w:ind w:right="57"/>
        <w:jc w:val="both"/>
        <w:rPr>
          <w:rFonts w:ascii="Times New Roman" w:eastAsia="Times New Roman" w:hAnsi="Times New Roman"/>
          <w:noProof/>
          <w:sz w:val="24"/>
          <w:szCs w:val="24"/>
        </w:rPr>
      </w:pPr>
      <w:r>
        <w:rPr>
          <w:rFonts w:ascii="Times New Roman" w:hAnsi="Times New Roman"/>
          <w:noProof/>
          <w:sz w:val="24"/>
          <w:szCs w:val="24"/>
        </w:rPr>
        <w:t xml:space="preserve">Līdz šim ir izraudzīti 3 projekti, kas </w:t>
      </w:r>
      <w:r>
        <w:rPr>
          <w:rFonts w:ascii="Times New Roman" w:hAnsi="Times New Roman"/>
          <w:i/>
          <w:noProof/>
          <w:sz w:val="24"/>
          <w:szCs w:val="24"/>
        </w:rPr>
        <w:t>InnovFin</w:t>
      </w:r>
      <w:r>
        <w:rPr>
          <w:rFonts w:ascii="Times New Roman" w:hAnsi="Times New Roman"/>
          <w:noProof/>
          <w:sz w:val="24"/>
          <w:szCs w:val="24"/>
        </w:rPr>
        <w:t xml:space="preserve"> EDP kontekstā gūs labumu no neizmantotajiem </w:t>
      </w:r>
      <w:r>
        <w:rPr>
          <w:rFonts w:ascii="Times New Roman" w:hAnsi="Times New Roman"/>
          <w:i/>
          <w:noProof/>
          <w:sz w:val="24"/>
          <w:szCs w:val="24"/>
        </w:rPr>
        <w:t>NER300</w:t>
      </w:r>
      <w:r>
        <w:rPr>
          <w:rFonts w:ascii="Times New Roman" w:hAnsi="Times New Roman"/>
          <w:noProof/>
          <w:sz w:val="24"/>
          <w:szCs w:val="24"/>
        </w:rPr>
        <w:t xml:space="preserve"> līdzekļiem; šā atbalsta apmērs būs aptuveni 73 miljoni EUR (sk. pielikuma 9. papildinājumu).</w:t>
      </w:r>
    </w:p>
    <w:p>
      <w:pPr>
        <w:jc w:val="both"/>
        <w:rPr>
          <w:rFonts w:ascii="Times New Roman" w:hAnsi="Times New Roman"/>
          <w:b/>
          <w:noProof/>
          <w:sz w:val="24"/>
          <w:szCs w:val="24"/>
        </w:rPr>
      </w:pPr>
      <w:r>
        <w:rPr>
          <w:rFonts w:ascii="Times New Roman" w:hAnsi="Times New Roman"/>
          <w:noProof/>
          <w:sz w:val="24"/>
          <w:szCs w:val="24"/>
        </w:rPr>
        <w:t xml:space="preserve">Līdzekļi, kas atbrīvojas, jo projekti, kuri bija izraudzīti otrajā uzaicinājumā iesniegt priekšlikumus, tikuši atsaukti (līdz šim — 735,5 miljoni EUR), tiks pievienoti resursiem, kas pieejami Inovāciju fondam. </w:t>
      </w:r>
    </w:p>
    <w:p>
      <w:pPr>
        <w:spacing w:after="120"/>
        <w:ind w:right="57"/>
        <w:jc w:val="both"/>
        <w:rPr>
          <w:rFonts w:ascii="Times New Roman" w:eastAsia="Times New Roman" w:hAnsi="Times New Roman"/>
          <w:noProof/>
        </w:rPr>
      </w:pPr>
      <w:r>
        <w:rPr>
          <w:rFonts w:ascii="Times New Roman" w:hAnsi="Times New Roman"/>
          <w:b/>
          <w:noProof/>
          <w:sz w:val="24"/>
          <w:szCs w:val="24"/>
        </w:rPr>
        <w:t xml:space="preserve">3. tabula. </w:t>
      </w:r>
      <w:r>
        <w:rPr>
          <w:rFonts w:ascii="Times New Roman" w:hAnsi="Times New Roman"/>
          <w:b/>
          <w:i/>
          <w:noProof/>
          <w:sz w:val="24"/>
          <w:szCs w:val="24"/>
        </w:rPr>
        <w:t>NER300</w:t>
      </w:r>
      <w:r>
        <w:rPr>
          <w:rFonts w:ascii="Times New Roman" w:hAnsi="Times New Roman"/>
          <w:b/>
          <w:noProof/>
          <w:sz w:val="24"/>
          <w:szCs w:val="24"/>
        </w:rPr>
        <w:t xml:space="preserve"> projekti, kam finansējums piešķirts saskaņā ar pirmo un otro uzaicinājumu iesniegt priekšlikumus</w:t>
      </w:r>
      <w:r>
        <w:rPr>
          <w:rFonts w:ascii="Times New Roman" w:eastAsia="Times New Roman" w:hAnsi="Times New Roman"/>
          <w:b/>
          <w:noProof/>
          <w:vertAlign w:val="superscript"/>
        </w:rPr>
        <w:footnoteReference w:id="26"/>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18"/>
        <w:gridCol w:w="3081"/>
        <w:gridCol w:w="3081"/>
      </w:tblGrid>
      <w:tr>
        <w:trPr>
          <w:trHeight w:val="481"/>
          <w:jc w:val="center"/>
        </w:trPr>
        <w:tc>
          <w:tcPr>
            <w:tcW w:w="2918" w:type="dxa"/>
            <w:shd w:val="clear" w:color="auto" w:fill="auto"/>
            <w:vAlign w:val="center"/>
          </w:tcPr>
          <w:p>
            <w:pPr>
              <w:spacing w:after="0"/>
              <w:jc w:val="center"/>
              <w:rPr>
                <w:rFonts w:ascii="Times New Roman" w:hAnsi="Times New Roman"/>
                <w:noProof/>
                <w:sz w:val="20"/>
                <w:szCs w:val="20"/>
              </w:rPr>
            </w:pPr>
          </w:p>
        </w:tc>
        <w:tc>
          <w:tcPr>
            <w:tcW w:w="3081" w:type="dxa"/>
            <w:shd w:val="clear" w:color="auto" w:fill="auto"/>
            <w:vAlign w:val="center"/>
          </w:tcPr>
          <w:p>
            <w:pPr>
              <w:spacing w:after="0"/>
              <w:jc w:val="center"/>
              <w:rPr>
                <w:rFonts w:ascii="Times New Roman" w:hAnsi="Times New Roman"/>
                <w:b/>
                <w:noProof/>
                <w:sz w:val="20"/>
                <w:szCs w:val="20"/>
              </w:rPr>
            </w:pPr>
            <w:r>
              <w:rPr>
                <w:rFonts w:ascii="Times New Roman" w:hAnsi="Times New Roman"/>
                <w:b/>
                <w:noProof/>
                <w:sz w:val="20"/>
                <w:szCs w:val="20"/>
              </w:rPr>
              <w:t>1. uzaicinājums iesniegt priekšlikumus</w:t>
            </w:r>
          </w:p>
        </w:tc>
        <w:tc>
          <w:tcPr>
            <w:tcW w:w="3081" w:type="dxa"/>
            <w:vAlign w:val="center"/>
          </w:tcPr>
          <w:p>
            <w:pPr>
              <w:spacing w:after="0"/>
              <w:jc w:val="center"/>
              <w:rPr>
                <w:rFonts w:ascii="Times New Roman" w:hAnsi="Times New Roman"/>
                <w:b/>
                <w:noProof/>
                <w:sz w:val="20"/>
                <w:szCs w:val="20"/>
              </w:rPr>
            </w:pPr>
            <w:r>
              <w:rPr>
                <w:rFonts w:ascii="Times New Roman" w:hAnsi="Times New Roman"/>
                <w:b/>
                <w:noProof/>
                <w:sz w:val="20"/>
                <w:szCs w:val="20"/>
              </w:rPr>
              <w:t>2. uzaicinājums iesniegt priekšlikumus</w:t>
            </w:r>
          </w:p>
        </w:tc>
      </w:tr>
      <w:tr>
        <w:trPr>
          <w:trHeight w:val="481"/>
          <w:jc w:val="center"/>
        </w:trPr>
        <w:tc>
          <w:tcPr>
            <w:tcW w:w="2918" w:type="dxa"/>
            <w:shd w:val="clear" w:color="auto" w:fill="auto"/>
            <w:vAlign w:val="center"/>
          </w:tcPr>
          <w:p>
            <w:pPr>
              <w:spacing w:after="0"/>
              <w:jc w:val="center"/>
              <w:rPr>
                <w:rFonts w:ascii="Times New Roman" w:eastAsia="Times New Roman" w:hAnsi="Times New Roman"/>
                <w:b/>
                <w:noProof/>
                <w:sz w:val="20"/>
                <w:szCs w:val="20"/>
              </w:rPr>
            </w:pPr>
            <w:r>
              <w:rPr>
                <w:rFonts w:ascii="Times New Roman" w:hAnsi="Times New Roman"/>
                <w:b/>
                <w:noProof/>
                <w:sz w:val="20"/>
                <w:szCs w:val="20"/>
              </w:rPr>
              <w:t>Projekti sagatavošanas stadijā</w:t>
            </w:r>
          </w:p>
        </w:tc>
        <w:tc>
          <w:tcPr>
            <w:tcW w:w="3081" w:type="dxa"/>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6</w:t>
            </w:r>
          </w:p>
        </w:tc>
        <w:tc>
          <w:tcPr>
            <w:tcW w:w="3081" w:type="dxa"/>
            <w:vAlign w:val="center"/>
          </w:tcPr>
          <w:p>
            <w:pPr>
              <w:spacing w:after="0"/>
              <w:jc w:val="center"/>
              <w:rPr>
                <w:rFonts w:ascii="Times New Roman" w:hAnsi="Times New Roman"/>
                <w:noProof/>
                <w:sz w:val="20"/>
                <w:szCs w:val="20"/>
              </w:rPr>
            </w:pPr>
            <w:r>
              <w:rPr>
                <w:rFonts w:ascii="Times New Roman" w:hAnsi="Times New Roman"/>
                <w:noProof/>
                <w:sz w:val="20"/>
                <w:szCs w:val="20"/>
              </w:rPr>
              <w:t>7</w:t>
            </w:r>
          </w:p>
        </w:tc>
      </w:tr>
      <w:tr>
        <w:trPr>
          <w:trHeight w:val="403"/>
          <w:jc w:val="center"/>
        </w:trPr>
        <w:tc>
          <w:tcPr>
            <w:tcW w:w="2918" w:type="dxa"/>
            <w:shd w:val="clear" w:color="auto" w:fill="auto"/>
            <w:vAlign w:val="center"/>
          </w:tcPr>
          <w:p>
            <w:pPr>
              <w:spacing w:after="0"/>
              <w:jc w:val="center"/>
              <w:rPr>
                <w:rFonts w:ascii="Times New Roman" w:eastAsia="Times New Roman" w:hAnsi="Times New Roman"/>
                <w:b/>
                <w:noProof/>
                <w:sz w:val="20"/>
                <w:szCs w:val="20"/>
              </w:rPr>
            </w:pPr>
            <w:r>
              <w:rPr>
                <w:rFonts w:ascii="Times New Roman" w:hAnsi="Times New Roman"/>
                <w:b/>
                <w:noProof/>
                <w:sz w:val="20"/>
                <w:szCs w:val="20"/>
              </w:rPr>
              <w:t>Projekti, kas jau darbojas</w:t>
            </w:r>
          </w:p>
        </w:tc>
        <w:tc>
          <w:tcPr>
            <w:tcW w:w="3081" w:type="dxa"/>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6</w:t>
            </w:r>
          </w:p>
        </w:tc>
        <w:tc>
          <w:tcPr>
            <w:tcW w:w="3081" w:type="dxa"/>
            <w:vAlign w:val="center"/>
          </w:tcPr>
          <w:p>
            <w:pPr>
              <w:spacing w:after="0"/>
              <w:jc w:val="center"/>
              <w:rPr>
                <w:rFonts w:ascii="Times New Roman" w:hAnsi="Times New Roman"/>
                <w:noProof/>
                <w:sz w:val="20"/>
                <w:szCs w:val="20"/>
              </w:rPr>
            </w:pPr>
            <w:r>
              <w:rPr>
                <w:rFonts w:ascii="Times New Roman" w:hAnsi="Times New Roman"/>
                <w:noProof/>
                <w:sz w:val="20"/>
                <w:szCs w:val="20"/>
              </w:rPr>
              <w:t>1</w:t>
            </w:r>
          </w:p>
        </w:tc>
      </w:tr>
      <w:tr>
        <w:trPr>
          <w:trHeight w:val="422"/>
          <w:jc w:val="center"/>
        </w:trPr>
        <w:tc>
          <w:tcPr>
            <w:tcW w:w="2918" w:type="dxa"/>
            <w:shd w:val="clear" w:color="auto" w:fill="auto"/>
            <w:vAlign w:val="center"/>
          </w:tcPr>
          <w:p>
            <w:pPr>
              <w:spacing w:after="0"/>
              <w:jc w:val="center"/>
              <w:rPr>
                <w:rFonts w:ascii="Times New Roman" w:eastAsia="Times New Roman" w:hAnsi="Times New Roman"/>
                <w:b/>
                <w:noProof/>
                <w:sz w:val="20"/>
                <w:szCs w:val="20"/>
              </w:rPr>
            </w:pPr>
            <w:r>
              <w:rPr>
                <w:rFonts w:ascii="Times New Roman" w:hAnsi="Times New Roman"/>
                <w:b/>
                <w:noProof/>
                <w:sz w:val="20"/>
                <w:szCs w:val="20"/>
              </w:rPr>
              <w:t>Atsauktie projekti</w:t>
            </w:r>
          </w:p>
        </w:tc>
        <w:tc>
          <w:tcPr>
            <w:tcW w:w="3081" w:type="dxa"/>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8</w:t>
            </w:r>
          </w:p>
        </w:tc>
        <w:tc>
          <w:tcPr>
            <w:tcW w:w="3081" w:type="dxa"/>
            <w:vAlign w:val="center"/>
          </w:tcPr>
          <w:p>
            <w:pPr>
              <w:spacing w:after="0"/>
              <w:jc w:val="center"/>
              <w:rPr>
                <w:rFonts w:ascii="Times New Roman" w:hAnsi="Times New Roman"/>
                <w:noProof/>
                <w:sz w:val="20"/>
                <w:szCs w:val="20"/>
              </w:rPr>
            </w:pPr>
            <w:r>
              <w:rPr>
                <w:rFonts w:ascii="Times New Roman" w:hAnsi="Times New Roman"/>
                <w:noProof/>
                <w:sz w:val="20"/>
                <w:szCs w:val="20"/>
              </w:rPr>
              <w:t>11</w:t>
            </w:r>
          </w:p>
        </w:tc>
      </w:tr>
      <w:tr>
        <w:trPr>
          <w:trHeight w:val="415"/>
          <w:jc w:val="center"/>
        </w:trPr>
        <w:tc>
          <w:tcPr>
            <w:tcW w:w="2918" w:type="dxa"/>
            <w:shd w:val="clear" w:color="auto" w:fill="auto"/>
            <w:vAlign w:val="center"/>
          </w:tcPr>
          <w:p>
            <w:pPr>
              <w:spacing w:after="0"/>
              <w:jc w:val="center"/>
              <w:rPr>
                <w:rFonts w:ascii="Times New Roman" w:eastAsia="Times New Roman" w:hAnsi="Times New Roman"/>
                <w:b/>
                <w:noProof/>
                <w:sz w:val="20"/>
                <w:szCs w:val="20"/>
              </w:rPr>
            </w:pPr>
            <w:r>
              <w:rPr>
                <w:rFonts w:ascii="Times New Roman" w:hAnsi="Times New Roman"/>
                <w:b/>
                <w:i/>
                <w:iCs/>
                <w:noProof/>
                <w:sz w:val="20"/>
                <w:szCs w:val="20"/>
              </w:rPr>
              <w:t>Kopā</w:t>
            </w:r>
          </w:p>
        </w:tc>
        <w:tc>
          <w:tcPr>
            <w:tcW w:w="3081" w:type="dxa"/>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i/>
                <w:iCs/>
                <w:noProof/>
                <w:sz w:val="20"/>
                <w:szCs w:val="20"/>
              </w:rPr>
              <w:t>20</w:t>
            </w:r>
          </w:p>
        </w:tc>
        <w:tc>
          <w:tcPr>
            <w:tcW w:w="3081" w:type="dxa"/>
            <w:vAlign w:val="center"/>
          </w:tcPr>
          <w:p>
            <w:pPr>
              <w:spacing w:after="0"/>
              <w:jc w:val="center"/>
              <w:rPr>
                <w:rFonts w:ascii="Times New Roman" w:hAnsi="Times New Roman"/>
                <w:i/>
                <w:iCs/>
                <w:noProof/>
                <w:sz w:val="20"/>
                <w:szCs w:val="20"/>
              </w:rPr>
            </w:pPr>
            <w:r>
              <w:rPr>
                <w:rFonts w:ascii="Times New Roman" w:hAnsi="Times New Roman"/>
                <w:i/>
                <w:iCs/>
                <w:noProof/>
                <w:sz w:val="20"/>
                <w:szCs w:val="20"/>
              </w:rPr>
              <w:t>19</w:t>
            </w:r>
          </w:p>
        </w:tc>
      </w:tr>
    </w:tbl>
    <w:p>
      <w:pPr>
        <w:pStyle w:val="a3520normalp11"/>
        <w:spacing w:line="276" w:lineRule="auto"/>
        <w:rPr>
          <w:noProof/>
          <w:sz w:val="22"/>
          <w:szCs w:val="22"/>
        </w:rPr>
      </w:pPr>
      <w:r>
        <w:rPr>
          <w:noProof/>
          <w:sz w:val="22"/>
          <w:szCs w:val="22"/>
        </w:rPr>
        <w:t xml:space="preserve"> </w:t>
      </w:r>
    </w:p>
    <w:p>
      <w:pPr>
        <w:jc w:val="both"/>
        <w:rPr>
          <w:rFonts w:ascii="Times New Roman" w:hAnsi="Times New Roman"/>
          <w:noProof/>
          <w:sz w:val="24"/>
          <w:szCs w:val="24"/>
        </w:rPr>
      </w:pPr>
      <w:r>
        <w:rPr>
          <w:rFonts w:ascii="Times New Roman" w:hAnsi="Times New Roman"/>
          <w:noProof/>
          <w:sz w:val="24"/>
          <w:szCs w:val="24"/>
        </w:rPr>
        <w:t xml:space="preserve">Visticamāk, ceturtajā posmā kopējie resursi, kas Inovāciju fonda ietvaros būs pieejami inovatīvu tehnoloģiju un kardinālu inovāciju demonstrēšanai, ievērojami pārsniegs 2,1 miljardu EUR, kas bija pieejami </w:t>
      </w:r>
      <w:r>
        <w:rPr>
          <w:rFonts w:ascii="Times New Roman" w:hAnsi="Times New Roman"/>
          <w:i/>
          <w:noProof/>
          <w:sz w:val="24"/>
          <w:szCs w:val="24"/>
        </w:rPr>
        <w:t>NER300</w:t>
      </w:r>
      <w:r>
        <w:rPr>
          <w:rStyle w:val="FootnoteReference"/>
          <w:rFonts w:ascii="Times New Roman" w:hAnsi="Times New Roman"/>
          <w:noProof/>
          <w:sz w:val="24"/>
          <w:szCs w:val="24"/>
        </w:rPr>
        <w:footnoteReference w:id="27"/>
      </w:r>
      <w:r>
        <w:rPr>
          <w:rFonts w:ascii="Times New Roman" w:hAnsi="Times New Roman"/>
          <w:noProof/>
          <w:sz w:val="24"/>
          <w:szCs w:val="24"/>
        </w:rPr>
        <w:t>. 2019. gada februārī tika pieņemta Deleģētā regula</w:t>
      </w:r>
      <w:r>
        <w:rPr>
          <w:rStyle w:val="FootnoteReference"/>
          <w:rFonts w:ascii="Times New Roman" w:hAnsi="Times New Roman"/>
          <w:noProof/>
          <w:sz w:val="24"/>
          <w:szCs w:val="24"/>
        </w:rPr>
        <w:footnoteReference w:id="28"/>
      </w:r>
      <w:r>
        <w:rPr>
          <w:rFonts w:ascii="Times New Roman" w:hAnsi="Times New Roman"/>
          <w:noProof/>
          <w:sz w:val="24"/>
          <w:szCs w:val="24"/>
        </w:rPr>
        <w:t xml:space="preserve"> par Inovāciju fonda darbību. Uz šā fonda atbalstu varēs pretendēt visu dalībvalstu projekti, arī neliela mēroga projekti. </w:t>
      </w:r>
    </w:p>
    <w:p>
      <w:pPr>
        <w:jc w:val="both"/>
        <w:rPr>
          <w:rFonts w:ascii="Times New Roman" w:hAnsi="Times New Roman"/>
          <w:noProof/>
          <w:sz w:val="24"/>
          <w:szCs w:val="24"/>
        </w:rPr>
      </w:pPr>
      <w:r>
        <w:rPr>
          <w:rFonts w:ascii="Times New Roman" w:hAnsi="Times New Roman"/>
          <w:noProof/>
          <w:sz w:val="24"/>
          <w:szCs w:val="24"/>
        </w:rPr>
        <w:t>Lai uzlabotu informētību par Inovāciju fondu, Komisija 2019. gadā un 2020. gada pirmajā pusē aktīvi strādās pie nozares un dalībvalstu informēšanas, lai apspriestu katrai nozarei svarīgākos jautājumus saistībā ar projektu īstenošanu un atlasi. Pirmais uzaicinājums iesniegt priekšlikumus Inovāciju fonda ietvaros ir paredzēts 2020. gadā, un tam sekos regulāri uzaicinājumi līdz 2030. gadam.</w:t>
      </w:r>
    </w:p>
    <w:p>
      <w:pPr>
        <w:jc w:val="both"/>
        <w:rPr>
          <w:rFonts w:ascii="Times New Roman" w:hAnsi="Times New Roman"/>
          <w:noProof/>
        </w:rPr>
      </w:pPr>
    </w:p>
    <w:p>
      <w:pPr>
        <w:jc w:val="both"/>
        <w:rPr>
          <w:rFonts w:ascii="Times New Roman" w:hAnsi="Times New Roman"/>
          <w:noProof/>
        </w:rPr>
      </w:pPr>
    </w:p>
    <w:p>
      <w:pPr>
        <w:jc w:val="both"/>
        <w:rPr>
          <w:rFonts w:ascii="Times New Roman" w:hAnsi="Times New Roman"/>
          <w:noProof/>
        </w:rPr>
      </w:pPr>
    </w:p>
    <w:p>
      <w:pPr>
        <w:jc w:val="both"/>
        <w:rPr>
          <w:rFonts w:ascii="Times New Roman" w:hAnsi="Times New Roman"/>
          <w:noProof/>
        </w:rPr>
      </w:pPr>
    </w:p>
    <w:p>
      <w:pPr>
        <w:jc w:val="both"/>
        <w:rPr>
          <w:rFonts w:ascii="Times New Roman" w:hAnsi="Times New Roman"/>
          <w:noProof/>
        </w:rPr>
      </w:pPr>
    </w:p>
    <w:p>
      <w:pPr>
        <w:jc w:val="both"/>
        <w:rPr>
          <w:rFonts w:ascii="Times New Roman" w:hAnsi="Times New Roman"/>
          <w:noProof/>
        </w:rPr>
      </w:pPr>
    </w:p>
    <w:p>
      <w:pPr>
        <w:jc w:val="both"/>
        <w:rPr>
          <w:rFonts w:ascii="Times New Roman" w:hAnsi="Times New Roman"/>
          <w:noProof/>
        </w:rPr>
      </w:pPr>
    </w:p>
    <w:p>
      <w:pPr>
        <w:jc w:val="both"/>
        <w:rPr>
          <w:rFonts w:ascii="Times New Roman" w:hAnsi="Times New Roman"/>
          <w:noProof/>
        </w:rPr>
      </w:pPr>
    </w:p>
    <w:p>
      <w:pPr>
        <w:jc w:val="both"/>
        <w:rPr>
          <w:rFonts w:ascii="Times New Roman" w:hAnsi="Times New Roman"/>
          <w:noProof/>
          <w:sz w:val="24"/>
          <w:szCs w:val="24"/>
        </w:rPr>
      </w:pPr>
    </w:p>
    <w:p>
      <w:pPr>
        <w:pStyle w:val="Heading4"/>
        <w:spacing w:before="0" w:after="200"/>
        <w:ind w:left="1080"/>
        <w:rPr>
          <w:noProof/>
        </w:rPr>
      </w:pPr>
      <w:bookmarkStart w:id="13" w:name="_Toc24103530"/>
      <w:r>
        <w:rPr>
          <w:noProof/>
        </w:rPr>
        <w:t>3.1.2.3. Netiešo oglekļa izmaksu kompensācija</w:t>
      </w:r>
      <w:bookmarkEnd w:id="13"/>
    </w:p>
    <w:p>
      <w:pPr>
        <w:spacing w:after="0"/>
        <w:rPr>
          <w:rFonts w:ascii="Times New Roman" w:hAnsi="Times New Roman"/>
          <w:b/>
          <w:bCs/>
          <w:noProof/>
          <w:sz w:val="24"/>
          <w:szCs w:val="24"/>
        </w:rPr>
      </w:pPr>
    </w:p>
    <w:p>
      <w:pPr>
        <w:spacing w:after="0"/>
        <w:rPr>
          <w:rFonts w:ascii="Times New Roman" w:hAnsi="Times New Roman"/>
          <w:b/>
          <w:bCs/>
          <w:noProof/>
          <w:sz w:val="24"/>
          <w:szCs w:val="24"/>
        </w:rPr>
      </w:pPr>
      <w:r>
        <w:rPr>
          <w:rFonts w:ascii="Times New Roman" w:hAnsi="Times New Roman"/>
          <w:noProof/>
          <w:lang w:val="en-GB" w:eastAsia="en-GB"/>
        </w:rPr>
        <mc:AlternateContent>
          <mc:Choice Requires="wps">
            <w:drawing>
              <wp:inline distT="0" distB="0" distL="0" distR="0">
                <wp:extent cx="5720486" cy="4114800"/>
                <wp:effectExtent l="0" t="0" r="13970" b="1905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6" cy="4114800"/>
                        </a:xfrm>
                        <a:prstGeom prst="rect">
                          <a:avLst/>
                        </a:prstGeom>
                        <a:solidFill>
                          <a:sysClr val="window" lastClr="FFFFFF">
                            <a:lumMod val="85000"/>
                          </a:sysClr>
                        </a:solidFill>
                        <a:ln w="12700">
                          <a:solidFill>
                            <a:srgbClr val="000000"/>
                          </a:solidFill>
                          <a:miter lim="800000"/>
                          <a:headEnd/>
                          <a:tailEnd/>
                        </a:ln>
                      </wps:spPr>
                      <wps:txbx>
                        <w:txbxContent>
                          <w:p>
                            <w:pPr>
                              <w:jc w:val="both"/>
                              <w:rPr>
                                <w:rFonts w:ascii="Times New Roman" w:hAnsi="Times New Roman"/>
                                <w:sz w:val="24"/>
                                <w:szCs w:val="24"/>
                              </w:rPr>
                            </w:pPr>
                            <w:r>
                              <w:rPr>
                                <w:rFonts w:ascii="Times New Roman" w:hAnsi="Times New Roman"/>
                                <w:sz w:val="24"/>
                                <w:szCs w:val="24"/>
                              </w:rPr>
                              <w:t xml:space="preserve">Papildus kvotu bezmaksas iedalei, lai segtu tiešās oglekļa izmaksas, ES dalībvalstis var piešķirt valsts atbalstu, lai dažām elektroietilpīgām nozarēm kompensētu netiešās oglekļa izmaksas, t. i., izmaksas, kas radušās palielinātu elektroenerģijas cenu dēļ, jo elektroenerģijas ražotāji kvotu iepirkšanas izmaksas uzliek uz patērētāju pleciem. </w:t>
                            </w:r>
                          </w:p>
                          <w:p>
                            <w:pPr>
                              <w:jc w:val="both"/>
                              <w:rPr>
                                <w:rFonts w:ascii="Times New Roman" w:hAnsi="Times New Roman"/>
                                <w:sz w:val="24"/>
                                <w:szCs w:val="24"/>
                              </w:rPr>
                            </w:pPr>
                            <w:r>
                              <w:rPr>
                                <w:rFonts w:ascii="Times New Roman" w:hAnsi="Times New Roman"/>
                                <w:sz w:val="24"/>
                                <w:szCs w:val="24"/>
                              </w:rPr>
                              <w:t xml:space="preserve">Lai nodrošinātu to, ka netiešās oglekļa izmaksas tiek kompensētas visās dalībvalstīs vienādi, un līdz minimumam samazinātu konkurences kropļojumus iekšējā tirgū, Komisija ir pieņēmusi ES ETS valsts atbalsta pamatnostādnes*, kas ir spēkā līdz 2020. gada beigām. Pamatnostādnēs cita starpā ir noteiktas atbalsttiesīgās nozares un netiešo oglekļa izmaksu kompensācijas maksimālās summas. </w:t>
                            </w:r>
                          </w:p>
                          <w:p>
                            <w:pPr>
                              <w:jc w:val="both"/>
                              <w:rPr>
                                <w:rFonts w:ascii="Times New Roman" w:hAnsi="Times New Roman"/>
                                <w:sz w:val="24"/>
                                <w:szCs w:val="24"/>
                              </w:rPr>
                            </w:pPr>
                            <w:r>
                              <w:rPr>
                                <w:rFonts w:ascii="Times New Roman" w:hAnsi="Times New Roman"/>
                                <w:sz w:val="24"/>
                                <w:szCs w:val="24"/>
                              </w:rPr>
                              <w:t>Ar pārskatīto ETS direktīvu dalībvalstīm tiek atļauts ceturtajā posmā turpināt kompensēt netiešās oglekļa izmaksas, kā arī tiek paredzēti stingrāki pārredzamības un ziņošanas noteikumi. Tāpēc Komisija ir ierosinājusi pārskatīt ES ETS Valsts atbalsta pamatnostādnes nākamajam tirdzniecības periodam (sk. pielikuma 7. papildinājumu). Šā procesa ietvaros Komisija, balstoties uz 2019. gada sākumā notikušo apspriešanos ar ieinteresētajām personām un dalībvalstīm, pārskatīs gan atbalsttiesīgo nozaru sarakstu, gan faktorus, kas nosaka maksimālo atbalsta summu.</w:t>
                            </w:r>
                          </w:p>
                          <w:p>
                            <w:pPr>
                              <w:jc w:val="both"/>
                              <w:rPr>
                                <w:rFonts w:ascii="Times New Roman" w:hAnsi="Times New Roman"/>
                                <w:sz w:val="18"/>
                                <w:szCs w:val="18"/>
                              </w:rPr>
                            </w:pPr>
                            <w:r>
                              <w:rPr>
                                <w:rFonts w:ascii="Times New Roman" w:hAnsi="Times New Roman"/>
                                <w:sz w:val="18"/>
                                <w:szCs w:val="18"/>
                              </w:rPr>
                              <w:t>* Pamatnostādnes par atsevišķiem valsts atbalsta pasākumiem saistībā ar siltumnīcefekta gāzu emisiju kvotu tirdzniecības sistēmu pēc 2012. gada (OV C 158, 5.6.2012., 4. lpp.).</w:t>
                            </w:r>
                          </w:p>
                        </w:txbxContent>
                      </wps:txbx>
                      <wps:bodyPr rot="0" vert="horz" wrap="square" lIns="91440" tIns="45720" rIns="91440" bIns="45720" anchor="t" anchorCtr="0">
                        <a:noAutofit/>
                      </wps:bodyPr>
                    </wps:wsp>
                  </a:graphicData>
                </a:graphic>
              </wp:inline>
            </w:drawing>
          </mc:Choice>
          <mc:Fallback>
            <w:pict>
              <v:shape id="Text Box 7" o:spid="_x0000_s1032" type="#_x0000_t202" style="width:450.45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" fillcolor="#d9d9d9" strokeweight="1pt">
                <v:textbox>
                  <w:txbxContent>
                    <w:p>
                      <w:pPr>
                        <w:jc w:val="both"/>
                        <w:rPr>
                          <w:rFonts w:ascii="Times New Roman" w:hAnsi="Times New Roman"/>
                          <w:sz w:val="24"/>
                          <w:szCs w:val="24"/>
                        </w:rPr>
                      </w:pPr>
                      <w:r>
                        <w:rPr>
                          <w:rFonts w:ascii="Times New Roman" w:hAnsi="Times New Roman"/>
                          <w:sz w:val="24"/>
                          <w:szCs w:val="24"/>
                        </w:rPr>
                        <w:t xml:space="preserve">Papildus kvotu bezmaksas iedalei, lai segtu tiešās oglekļa izmaksas, ES dalībvalstis var piešķirt valsts atbalstu, lai dažām elektroietilpīgām nozarēm kompensētu netiešās oglekļa izmaksas, t. i., izmaksas, kas radušās palielinātu elektroenerģijas cenu dēļ, jo elektroenerģijas ražotāji kvotu iepirkšanas izmaksas uzliek uz patērētāju pleciem. </w:t>
                      </w:r>
                    </w:p>
                    <w:p>
                      <w:pPr>
                        <w:jc w:val="both"/>
                        <w:rPr>
                          <w:rFonts w:ascii="Times New Roman" w:hAnsi="Times New Roman"/>
                          <w:sz w:val="24"/>
                          <w:szCs w:val="24"/>
                        </w:rPr>
                      </w:pPr>
                      <w:r>
                        <w:rPr>
                          <w:rFonts w:ascii="Times New Roman" w:hAnsi="Times New Roman"/>
                          <w:sz w:val="24"/>
                          <w:szCs w:val="24"/>
                        </w:rPr>
                        <w:t xml:space="preserve">Lai nodrošinātu to, ka netiešās oglekļa izmaksas tiek kompensētas visās dalībvalstīs vienādi, un līdz minimumam samazinātu konkurences kropļojumus iekšējā tirgū, Komisija ir pieņēmusi ES ETS valsts atbalsta pamatnostādnes*, kas ir spēkā līdz 2020. gada beigām. Pamatnostādnēs cita starpā ir noteiktas atbalsttiesīgās nozares un netiešo oglekļa izmaksu kompensācijas maksimālās summas. </w:t>
                      </w:r>
                    </w:p>
                    <w:p>
                      <w:pPr>
                        <w:jc w:val="both"/>
                        <w:rPr>
                          <w:rFonts w:ascii="Times New Roman" w:hAnsi="Times New Roman"/>
                          <w:sz w:val="24"/>
                          <w:szCs w:val="24"/>
                        </w:rPr>
                      </w:pPr>
                      <w:r>
                        <w:rPr>
                          <w:rFonts w:ascii="Times New Roman" w:hAnsi="Times New Roman"/>
                          <w:sz w:val="24"/>
                          <w:szCs w:val="24"/>
                        </w:rPr>
                        <w:t>Ar pārskatīto ETS direktīvu dalībvalstīm tiek atļauts ceturtajā posmā turpināt kompensēt netiešās oglekļa izmaksas, kā arī tiek paredzēti stingrāki pārredzamības un ziņošanas noteikumi. Tāpēc Komisija ir ierosinājusi pārskatīt ES ETS Valsts atbalsta pamatnostādnes nākamajam tirdzniecības periodam (sk. pielikuma 7. papildinājumu). Šā procesa ietvaros Komisija, balstoties uz 2019. gada sākumā notikušo apspriešanos ar ieinteresētajām personām un dalībvalstīm, pārskatīs gan atbalsttiesīgo nozaru sarakstu, gan faktorus, kas nosaka maksimālo atbalsta summu.</w:t>
                      </w:r>
                    </w:p>
                    <w:p>
                      <w:pPr>
                        <w:jc w:val="both"/>
                        <w:rPr>
                          <w:rFonts w:ascii="Times New Roman" w:hAnsi="Times New Roman"/>
                          <w:sz w:val="18"/>
                          <w:szCs w:val="18"/>
                        </w:rPr>
                      </w:pPr>
                      <w:r>
                        <w:rPr>
                          <w:rFonts w:ascii="Times New Roman" w:hAnsi="Times New Roman"/>
                          <w:sz w:val="18"/>
                          <w:szCs w:val="18"/>
                        </w:rPr>
                        <w:t>* Pamatnostādnes par atsevišķiem valsts atbalsta pasākumiem saistībā ar siltumnīcefekta gāzu emisiju kvotu tirdzniecības sistēmu pēc 2012. gada (OV C 158, 5.6.2012., 4. lpp.).</w:t>
                      </w:r>
                    </w:p>
                  </w:txbxContent>
                </v:textbox>
                <w10:anchorlock/>
              </v:shape>
            </w:pict>
          </mc:Fallback>
        </mc:AlternateContent>
      </w:r>
    </w:p>
    <w:p>
      <w:pPr>
        <w:jc w:val="both"/>
        <w:rPr>
          <w:rFonts w:ascii="Times New Roman" w:eastAsia="Times New Roman" w:hAnsi="Times New Roman"/>
          <w:noProof/>
          <w:sz w:val="24"/>
          <w:szCs w:val="24"/>
        </w:rPr>
      </w:pPr>
    </w:p>
    <w:p>
      <w:pPr>
        <w:jc w:val="both"/>
        <w:rPr>
          <w:rFonts w:ascii="Times New Roman" w:eastAsia="Times New Roman" w:hAnsi="Times New Roman"/>
          <w:noProof/>
          <w:sz w:val="24"/>
          <w:szCs w:val="24"/>
        </w:rPr>
      </w:pPr>
      <w:r>
        <w:rPr>
          <w:rFonts w:ascii="Times New Roman" w:hAnsi="Times New Roman"/>
          <w:noProof/>
          <w:sz w:val="24"/>
          <w:szCs w:val="24"/>
        </w:rPr>
        <w:t>Līdz šim Komisija ir apstiprinājusi 13</w:t>
      </w:r>
      <w:r>
        <w:rPr>
          <w:rStyle w:val="FootnoteReference"/>
          <w:rFonts w:ascii="Times New Roman" w:eastAsia="Times New Roman" w:hAnsi="Times New Roman"/>
          <w:noProof/>
          <w:sz w:val="24"/>
          <w:szCs w:val="24"/>
        </w:rPr>
        <w:footnoteReference w:id="29"/>
      </w:r>
      <w:r>
        <w:rPr>
          <w:rFonts w:ascii="Times New Roman" w:hAnsi="Times New Roman"/>
          <w:noProof/>
          <w:sz w:val="24"/>
          <w:szCs w:val="24"/>
        </w:rPr>
        <w:t xml:space="preserve"> netiešo oglekļa izmaksu kompensācijas shēmas 12 dalībvalstīs. 2018. gadā pirmo reizi tika veikta kompensāciju izmaksa Valonijas shēmā un Luksemburgas shēmā. Spānijas valdība paziņoja Komisijai par savas shēmas pārskatīšanu nolūkā palielināt savu budžetu. 2019. gadā Polija paziņoja Komisijai par pasākuma projektu un saņēma valsts atbalsta atļauju shēmai, kurā atbalsta izmaksāšana sāksies 2020. gadā par netiešajām izmaksām, kas radušās 2019. gadā. </w:t>
      </w:r>
    </w:p>
    <w:p>
      <w:pPr>
        <w:jc w:val="both"/>
        <w:rPr>
          <w:rFonts w:ascii="Times New Roman" w:eastAsia="Times New Roman" w:hAnsi="Times New Roman"/>
          <w:noProof/>
          <w:sz w:val="24"/>
          <w:szCs w:val="24"/>
        </w:rPr>
      </w:pPr>
      <w:r>
        <w:rPr>
          <w:rFonts w:ascii="Times New Roman" w:hAnsi="Times New Roman"/>
          <w:noProof/>
          <w:sz w:val="24"/>
          <w:szCs w:val="24"/>
        </w:rPr>
        <w:t>ES ETS direktīva nosaka, ka trijos mēnešos pēc katra gada beigām dalībvalstis, kas ieviesušas netiešo izmaksu kompensēšanas shēmu, viegli pieejamā formā dara sabiedrībai pieejamu informāciju par kopējo sniegtās kompensācijas summu, kā arī tās sadalījumu pa attiecīgajām nozarēm un apakšnozarēm.</w:t>
      </w:r>
    </w:p>
    <w:p>
      <w:pPr>
        <w:jc w:val="both"/>
        <w:rPr>
          <w:rFonts w:ascii="Times New Roman" w:eastAsia="Times New Roman" w:hAnsi="Times New Roman"/>
          <w:noProof/>
          <w:sz w:val="24"/>
          <w:szCs w:val="24"/>
        </w:rPr>
      </w:pPr>
      <w:r>
        <w:rPr>
          <w:rFonts w:ascii="Times New Roman" w:hAnsi="Times New Roman"/>
          <w:noProof/>
          <w:sz w:val="24"/>
          <w:szCs w:val="24"/>
        </w:rPr>
        <w:t xml:space="preserve">Tālāk dotajā 4. tabulā ir sniegts kopsavilkums par dalībvalstu publicētajiem datiem par 2018. gadā izmaksātajām kompensācijām. </w:t>
      </w:r>
    </w:p>
    <w:p>
      <w:pPr>
        <w:jc w:val="both"/>
        <w:rPr>
          <w:rFonts w:ascii="Times New Roman" w:eastAsia="Times New Roman" w:hAnsi="Times New Roman"/>
          <w:noProof/>
          <w:sz w:val="24"/>
          <w:szCs w:val="24"/>
        </w:rPr>
      </w:pPr>
    </w:p>
    <w:p>
      <w:pPr>
        <w:jc w:val="both"/>
        <w:rPr>
          <w:rFonts w:ascii="Times New Roman" w:eastAsia="Times New Roman" w:hAnsi="Times New Roman"/>
          <w:noProof/>
          <w:sz w:val="24"/>
          <w:szCs w:val="24"/>
        </w:rPr>
      </w:pPr>
    </w:p>
    <w:p>
      <w:pPr>
        <w:jc w:val="both"/>
        <w:rPr>
          <w:rFonts w:ascii="Times New Roman" w:eastAsia="Times New Roman" w:hAnsi="Times New Roman"/>
          <w:b/>
          <w:noProof/>
          <w:sz w:val="24"/>
          <w:szCs w:val="24"/>
        </w:rPr>
      </w:pPr>
      <w:r>
        <w:rPr>
          <w:rFonts w:ascii="Times New Roman" w:hAnsi="Times New Roman"/>
          <w:b/>
          <w:noProof/>
        </w:rPr>
        <w:t>4</w:t>
      </w:r>
      <w:r>
        <w:rPr>
          <w:rFonts w:ascii="Times New Roman" w:hAnsi="Times New Roman"/>
          <w:b/>
          <w:noProof/>
          <w:sz w:val="24"/>
          <w:szCs w:val="24"/>
        </w:rPr>
        <w:t>. tabula. Dalībvalstu 2018. gadā izmaksātās netiešo oglekļa izmaksu kompensācijas</w:t>
      </w:r>
      <w:r>
        <w:rPr>
          <w:rStyle w:val="FootnoteReference"/>
          <w:rFonts w:ascii="Times New Roman" w:eastAsia="Times New Roman" w:hAnsi="Times New Roman"/>
          <w:b/>
          <w:noProof/>
        </w:rPr>
        <w:footnoteReference w:id="30"/>
      </w:r>
    </w:p>
    <w:tbl>
      <w:tblPr>
        <w:tblW w:w="4855"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21"/>
        <w:gridCol w:w="1116"/>
        <w:gridCol w:w="1455"/>
        <w:gridCol w:w="1183"/>
        <w:gridCol w:w="1739"/>
        <w:gridCol w:w="1660"/>
      </w:tblGrid>
      <w:tr>
        <w:trPr>
          <w:trHeight w:val="1019"/>
          <w:jc w:val="center"/>
        </w:trPr>
        <w:tc>
          <w:tcPr>
            <w:tcW w:w="492" w:type="pct"/>
            <w:tcBorders>
              <w:bottom w:val="double" w:sz="4" w:space="0" w:color="auto"/>
            </w:tcBorders>
            <w:shd w:val="clear" w:color="000000" w:fill="D9D9D9"/>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Dalībvalsts</w:t>
            </w:r>
          </w:p>
        </w:tc>
        <w:tc>
          <w:tcPr>
            <w:tcW w:w="647" w:type="pct"/>
            <w:tcBorders>
              <w:bottom w:val="double" w:sz="4" w:space="0" w:color="auto"/>
            </w:tcBorders>
            <w:shd w:val="clear" w:color="000000" w:fill="D9D9D9"/>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Shēmas darbības ilgums</w:t>
            </w:r>
          </w:p>
        </w:tc>
        <w:tc>
          <w:tcPr>
            <w:tcW w:w="995" w:type="pct"/>
            <w:tcBorders>
              <w:bottom w:val="double" w:sz="4" w:space="0" w:color="auto"/>
            </w:tcBorders>
            <w:shd w:val="clear" w:color="000000" w:fill="D9D9D9"/>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2018. gadā izmaksātā kompensācija par netiešajām izmaksām, kas radušās 2017. gadā (miljonos EUR)</w:t>
            </w:r>
          </w:p>
        </w:tc>
        <w:tc>
          <w:tcPr>
            <w:tcW w:w="764" w:type="pct"/>
            <w:tcBorders>
              <w:bottom w:val="double" w:sz="4" w:space="0" w:color="auto"/>
            </w:tcBorders>
            <w:shd w:val="clear" w:color="000000" w:fill="D9D9D9"/>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Saņēmēju (iekārtu) skaits</w:t>
            </w:r>
          </w:p>
        </w:tc>
        <w:tc>
          <w:tcPr>
            <w:tcW w:w="1073" w:type="pct"/>
            <w:tcBorders>
              <w:bottom w:val="double" w:sz="4" w:space="0" w:color="auto"/>
            </w:tcBorders>
            <w:shd w:val="clear" w:color="000000" w:fill="D9D9D9"/>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Ieņēmumi no izsolēm 2017. gadā (izņemot aviācijas kvotas, miljonos EUR)</w:t>
            </w:r>
          </w:p>
        </w:tc>
        <w:tc>
          <w:tcPr>
            <w:tcW w:w="1029" w:type="pct"/>
            <w:tcBorders>
              <w:bottom w:val="double" w:sz="4" w:space="0" w:color="auto"/>
            </w:tcBorders>
            <w:shd w:val="clear" w:color="000000" w:fill="D9D9D9"/>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Netiešo izmaksu kompensēšanai izlietotā izsoļu ieņēmumu daļa (procentos)</w:t>
            </w:r>
          </w:p>
        </w:tc>
      </w:tr>
      <w:tr>
        <w:trPr>
          <w:trHeight w:val="764"/>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Apvienotā Karaliste</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2013–2020</w:t>
            </w:r>
          </w:p>
        </w:tc>
        <w:tc>
          <w:tcPr>
            <w:tcW w:w="995"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22,36</w:t>
            </w:r>
            <w:r>
              <w:rPr>
                <w:rStyle w:val="FootnoteReference"/>
                <w:rFonts w:ascii="Times New Roman" w:eastAsia="Times New Roman" w:hAnsi="Times New Roman"/>
                <w:noProof/>
                <w:sz w:val="20"/>
                <w:szCs w:val="20"/>
              </w:rPr>
              <w:footnoteReference w:id="31"/>
            </w:r>
          </w:p>
        </w:tc>
        <w:tc>
          <w:tcPr>
            <w:tcW w:w="764"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60</w:t>
            </w:r>
            <w:r>
              <w:rPr>
                <w:rStyle w:val="FootnoteReference"/>
                <w:rFonts w:ascii="Times New Roman" w:eastAsia="Times New Roman" w:hAnsi="Times New Roman"/>
                <w:noProof/>
                <w:sz w:val="20"/>
                <w:szCs w:val="20"/>
              </w:rPr>
              <w:footnoteReference w:id="32"/>
            </w:r>
          </w:p>
        </w:tc>
        <w:tc>
          <w:tcPr>
            <w:tcW w:w="1073"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1607</w:t>
            </w:r>
            <w:r>
              <w:rPr>
                <w:rStyle w:val="FootnoteReference"/>
                <w:rFonts w:ascii="Times New Roman" w:eastAsia="Times New Roman" w:hAnsi="Times New Roman"/>
                <w:noProof/>
                <w:sz w:val="20"/>
                <w:szCs w:val="20"/>
              </w:rPr>
              <w:footnoteReference w:id="33"/>
            </w:r>
          </w:p>
        </w:tc>
        <w:tc>
          <w:tcPr>
            <w:tcW w:w="1029"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3,7 %</w:t>
            </w:r>
          </w:p>
          <w:p>
            <w:pPr>
              <w:spacing w:after="0" w:line="240" w:lineRule="auto"/>
              <w:rPr>
                <w:rFonts w:ascii="Times New Roman" w:eastAsia="Times New Roman" w:hAnsi="Times New Roman"/>
                <w:noProof/>
                <w:sz w:val="20"/>
                <w:szCs w:val="20"/>
              </w:rPr>
            </w:pPr>
            <w:r>
              <w:rPr>
                <w:rFonts w:ascii="Times New Roman" w:hAnsi="Times New Roman"/>
                <w:noProof/>
                <w:sz w:val="20"/>
                <w:szCs w:val="20"/>
              </w:rPr>
              <w:t> </w:t>
            </w:r>
          </w:p>
        </w:tc>
      </w:tr>
      <w:tr>
        <w:trPr>
          <w:trHeight w:val="299"/>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DE</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2013–2020</w:t>
            </w:r>
          </w:p>
        </w:tc>
        <w:tc>
          <w:tcPr>
            <w:tcW w:w="995"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202</w:t>
            </w:r>
          </w:p>
        </w:tc>
        <w:tc>
          <w:tcPr>
            <w:tcW w:w="764"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891</w:t>
            </w:r>
          </w:p>
        </w:tc>
        <w:tc>
          <w:tcPr>
            <w:tcW w:w="1073"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1141,7</w:t>
            </w:r>
          </w:p>
        </w:tc>
        <w:tc>
          <w:tcPr>
            <w:tcW w:w="1029"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 17,6 %</w:t>
            </w:r>
          </w:p>
        </w:tc>
      </w:tr>
      <w:tr>
        <w:trPr>
          <w:trHeight w:val="299"/>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BE (FL)</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2013–2020</w:t>
            </w:r>
          </w:p>
        </w:tc>
        <w:tc>
          <w:tcPr>
            <w:tcW w:w="995"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31,7</w:t>
            </w:r>
          </w:p>
        </w:tc>
        <w:tc>
          <w:tcPr>
            <w:tcW w:w="764"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106 </w:t>
            </w:r>
          </w:p>
        </w:tc>
        <w:tc>
          <w:tcPr>
            <w:tcW w:w="1073" w:type="pct"/>
            <w:vMerge w:val="restar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143,5</w:t>
            </w:r>
          </w:p>
        </w:tc>
        <w:tc>
          <w:tcPr>
            <w:tcW w:w="1029" w:type="pct"/>
            <w:vMerge w:val="restar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27,3 %</w:t>
            </w:r>
          </w:p>
        </w:tc>
      </w:tr>
      <w:tr>
        <w:trPr>
          <w:trHeight w:val="299"/>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BE (WL)</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2017–2020</w:t>
            </w:r>
          </w:p>
        </w:tc>
        <w:tc>
          <w:tcPr>
            <w:tcW w:w="995"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7,5</w:t>
            </w:r>
          </w:p>
        </w:tc>
        <w:tc>
          <w:tcPr>
            <w:tcW w:w="764"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30</w:t>
            </w:r>
          </w:p>
        </w:tc>
        <w:tc>
          <w:tcPr>
            <w:tcW w:w="1073" w:type="pct"/>
            <w:vMerge/>
            <w:shd w:val="clear" w:color="auto" w:fill="auto"/>
            <w:vAlign w:val="center"/>
            <w:hideMark/>
          </w:tcPr>
          <w:p>
            <w:pPr>
              <w:spacing w:after="0" w:line="240" w:lineRule="auto"/>
              <w:rPr>
                <w:rFonts w:ascii="Times New Roman" w:eastAsia="Times New Roman" w:hAnsi="Times New Roman"/>
                <w:noProof/>
                <w:sz w:val="20"/>
                <w:szCs w:val="20"/>
              </w:rPr>
            </w:pPr>
          </w:p>
        </w:tc>
        <w:tc>
          <w:tcPr>
            <w:tcW w:w="1029" w:type="pct"/>
            <w:vMerge/>
            <w:shd w:val="clear" w:color="auto" w:fill="auto"/>
            <w:vAlign w:val="center"/>
            <w:hideMark/>
          </w:tcPr>
          <w:p>
            <w:pPr>
              <w:spacing w:after="0" w:line="240" w:lineRule="auto"/>
              <w:rPr>
                <w:rFonts w:ascii="Times New Roman" w:eastAsia="Times New Roman" w:hAnsi="Times New Roman"/>
                <w:noProof/>
                <w:sz w:val="20"/>
                <w:szCs w:val="20"/>
              </w:rPr>
            </w:pPr>
          </w:p>
        </w:tc>
      </w:tr>
      <w:tr>
        <w:trPr>
          <w:trHeight w:val="299"/>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NL</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2013–2020</w:t>
            </w:r>
          </w:p>
        </w:tc>
        <w:tc>
          <w:tcPr>
            <w:tcW w:w="995"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36,9</w:t>
            </w:r>
          </w:p>
        </w:tc>
        <w:tc>
          <w:tcPr>
            <w:tcW w:w="764"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96</w:t>
            </w:r>
          </w:p>
        </w:tc>
        <w:tc>
          <w:tcPr>
            <w:tcW w:w="1073"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189</w:t>
            </w:r>
          </w:p>
        </w:tc>
        <w:tc>
          <w:tcPr>
            <w:tcW w:w="1029"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19,5 %</w:t>
            </w:r>
          </w:p>
        </w:tc>
      </w:tr>
      <w:tr>
        <w:trPr>
          <w:trHeight w:val="299"/>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EL</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2013–2020</w:t>
            </w:r>
          </w:p>
        </w:tc>
        <w:tc>
          <w:tcPr>
            <w:tcW w:w="995"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16,8</w:t>
            </w:r>
          </w:p>
        </w:tc>
        <w:tc>
          <w:tcPr>
            <w:tcW w:w="764"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 50</w:t>
            </w:r>
          </w:p>
        </w:tc>
        <w:tc>
          <w:tcPr>
            <w:tcW w:w="1073"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196,6</w:t>
            </w:r>
          </w:p>
        </w:tc>
        <w:tc>
          <w:tcPr>
            <w:tcW w:w="1029"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8,5 %</w:t>
            </w:r>
          </w:p>
        </w:tc>
      </w:tr>
      <w:tr>
        <w:trPr>
          <w:trHeight w:val="299"/>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LT</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2014–2020</w:t>
            </w:r>
          </w:p>
        </w:tc>
        <w:tc>
          <w:tcPr>
            <w:tcW w:w="995"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 0,24</w:t>
            </w:r>
          </w:p>
        </w:tc>
        <w:tc>
          <w:tcPr>
            <w:tcW w:w="764"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1 </w:t>
            </w:r>
          </w:p>
        </w:tc>
        <w:tc>
          <w:tcPr>
            <w:tcW w:w="1073"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31,4</w:t>
            </w:r>
          </w:p>
        </w:tc>
        <w:tc>
          <w:tcPr>
            <w:tcW w:w="1029"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 0,8 %</w:t>
            </w:r>
          </w:p>
        </w:tc>
      </w:tr>
      <w:tr>
        <w:trPr>
          <w:trHeight w:val="299"/>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SK</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2014–2020</w:t>
            </w:r>
          </w:p>
        </w:tc>
        <w:tc>
          <w:tcPr>
            <w:tcW w:w="995"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10</w:t>
            </w:r>
          </w:p>
        </w:tc>
        <w:tc>
          <w:tcPr>
            <w:tcW w:w="764"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7</w:t>
            </w:r>
          </w:p>
        </w:tc>
        <w:tc>
          <w:tcPr>
            <w:tcW w:w="1073"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87</w:t>
            </w:r>
          </w:p>
        </w:tc>
        <w:tc>
          <w:tcPr>
            <w:tcW w:w="1029"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11,4 %</w:t>
            </w:r>
          </w:p>
        </w:tc>
      </w:tr>
      <w:tr>
        <w:trPr>
          <w:trHeight w:val="299"/>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FR</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2015–2020</w:t>
            </w:r>
          </w:p>
        </w:tc>
        <w:tc>
          <w:tcPr>
            <w:tcW w:w="995"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98,7</w:t>
            </w:r>
          </w:p>
        </w:tc>
        <w:tc>
          <w:tcPr>
            <w:tcW w:w="764"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296</w:t>
            </w:r>
          </w:p>
        </w:tc>
        <w:tc>
          <w:tcPr>
            <w:tcW w:w="1073"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309,8</w:t>
            </w:r>
          </w:p>
        </w:tc>
        <w:tc>
          <w:tcPr>
            <w:tcW w:w="1029"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31,8 %</w:t>
            </w:r>
          </w:p>
        </w:tc>
      </w:tr>
      <w:tr>
        <w:trPr>
          <w:trHeight w:val="299"/>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FI</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2016–2020</w:t>
            </w:r>
          </w:p>
        </w:tc>
        <w:tc>
          <w:tcPr>
            <w:tcW w:w="995"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26,7</w:t>
            </w:r>
          </w:p>
        </w:tc>
        <w:tc>
          <w:tcPr>
            <w:tcW w:w="764"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58</w:t>
            </w:r>
          </w:p>
        </w:tc>
        <w:tc>
          <w:tcPr>
            <w:tcW w:w="1073"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94,6</w:t>
            </w:r>
          </w:p>
        </w:tc>
        <w:tc>
          <w:tcPr>
            <w:tcW w:w="1029"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28,2 %</w:t>
            </w:r>
          </w:p>
        </w:tc>
      </w:tr>
      <w:tr>
        <w:trPr>
          <w:trHeight w:val="299"/>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ES</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2013–2015</w:t>
            </w:r>
          </w:p>
        </w:tc>
        <w:tc>
          <w:tcPr>
            <w:tcW w:w="995"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6</w:t>
            </w:r>
          </w:p>
        </w:tc>
        <w:tc>
          <w:tcPr>
            <w:tcW w:w="764"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151</w:t>
            </w:r>
          </w:p>
        </w:tc>
        <w:tc>
          <w:tcPr>
            <w:tcW w:w="1073"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488,8</w:t>
            </w:r>
          </w:p>
        </w:tc>
        <w:tc>
          <w:tcPr>
            <w:tcW w:w="1029"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12,2 %</w:t>
            </w:r>
          </w:p>
        </w:tc>
      </w:tr>
      <w:tr>
        <w:trPr>
          <w:trHeight w:val="299"/>
          <w:jc w:val="center"/>
        </w:trPr>
        <w:tc>
          <w:tcPr>
            <w:tcW w:w="492"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LU</w:t>
            </w:r>
          </w:p>
        </w:tc>
        <w:tc>
          <w:tcPr>
            <w:tcW w:w="647" w:type="pct"/>
            <w:shd w:val="clear" w:color="auto" w:fill="auto"/>
            <w:noWrap/>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2018–2020</w:t>
            </w:r>
          </w:p>
        </w:tc>
        <w:tc>
          <w:tcPr>
            <w:tcW w:w="995" w:type="pct"/>
            <w:shd w:val="clear" w:color="auto" w:fill="auto"/>
            <w:noWrap/>
            <w:vAlign w:val="bottom"/>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3,4</w:t>
            </w:r>
          </w:p>
        </w:tc>
        <w:tc>
          <w:tcPr>
            <w:tcW w:w="764" w:type="pct"/>
            <w:shd w:val="clear" w:color="auto" w:fill="auto"/>
            <w:noWrap/>
            <w:vAlign w:val="bottom"/>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2</w:t>
            </w:r>
          </w:p>
        </w:tc>
        <w:tc>
          <w:tcPr>
            <w:tcW w:w="1073" w:type="pct"/>
            <w:shd w:val="clear" w:color="auto" w:fill="auto"/>
            <w:vAlign w:val="center"/>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6,8</w:t>
            </w:r>
          </w:p>
        </w:tc>
        <w:tc>
          <w:tcPr>
            <w:tcW w:w="1029" w:type="pct"/>
            <w:shd w:val="clear" w:color="auto" w:fill="auto"/>
            <w:noWrap/>
            <w:vAlign w:val="bottom"/>
            <w:hideMark/>
          </w:tcPr>
          <w:p>
            <w:pPr>
              <w:spacing w:after="0" w:line="240" w:lineRule="auto"/>
              <w:jc w:val="center"/>
              <w:rPr>
                <w:rFonts w:ascii="Times New Roman" w:eastAsia="Times New Roman" w:hAnsi="Times New Roman"/>
                <w:noProof/>
                <w:sz w:val="20"/>
                <w:szCs w:val="20"/>
              </w:rPr>
            </w:pPr>
            <w:r>
              <w:rPr>
                <w:rFonts w:ascii="Times New Roman" w:hAnsi="Times New Roman"/>
                <w:noProof/>
                <w:sz w:val="20"/>
                <w:szCs w:val="20"/>
              </w:rPr>
              <w:t> 50 %</w:t>
            </w:r>
          </w:p>
        </w:tc>
      </w:tr>
    </w:tbl>
    <w:p>
      <w:pPr>
        <w:jc w:val="both"/>
        <w:rPr>
          <w:rFonts w:ascii="Times New Roman" w:eastAsia="Times New Roman" w:hAnsi="Times New Roman"/>
          <w:noProof/>
          <w:sz w:val="24"/>
          <w:szCs w:val="24"/>
        </w:rPr>
      </w:pPr>
    </w:p>
    <w:p>
      <w:pPr>
        <w:jc w:val="both"/>
        <w:rPr>
          <w:rFonts w:ascii="Times New Roman" w:eastAsia="Times New Roman" w:hAnsi="Times New Roman"/>
          <w:noProof/>
          <w:sz w:val="24"/>
          <w:szCs w:val="24"/>
        </w:rPr>
      </w:pPr>
      <w:r>
        <w:rPr>
          <w:rFonts w:ascii="Times New Roman" w:hAnsi="Times New Roman"/>
          <w:noProof/>
          <w:sz w:val="24"/>
          <w:szCs w:val="24"/>
        </w:rPr>
        <w:t>Kopējās netiešo izmaksu kompensācijas, kuras 2018. gadā izmaksāja 11 dalībvalstis</w:t>
      </w:r>
      <w:r>
        <w:rPr>
          <w:rStyle w:val="FootnoteReference"/>
          <w:rFonts w:ascii="Times New Roman" w:eastAsia="Times New Roman" w:hAnsi="Times New Roman"/>
          <w:noProof/>
          <w:sz w:val="24"/>
          <w:szCs w:val="24"/>
        </w:rPr>
        <w:footnoteReference w:id="34"/>
      </w:r>
      <w:r>
        <w:rPr>
          <w:rFonts w:ascii="Times New Roman" w:hAnsi="Times New Roman"/>
          <w:noProof/>
          <w:sz w:val="24"/>
          <w:szCs w:val="24"/>
        </w:rPr>
        <w:t>, bija aptuveni 462 miljoni EUR, kas ir aptuveni 11 % no šo dalībvalstu ieņēmumiem no izsolēm. Dalībvalstis, kurās ir izveidotas kompensācijas shēmas, kopā veido aptuveni 70 % no ES IKP. Lielākās kompensācijas saņēma ķīmiskās rūpniecības nozare, krāsaino metālu nozare, dzelzs un tērauda nozare.</w:t>
      </w:r>
    </w:p>
    <w:p>
      <w:pPr>
        <w:jc w:val="both"/>
        <w:rPr>
          <w:rFonts w:ascii="Times New Roman" w:eastAsia="Times New Roman" w:hAnsi="Times New Roman"/>
          <w:bCs/>
          <w:i/>
          <w:noProof/>
          <w:sz w:val="24"/>
          <w:szCs w:val="28"/>
        </w:rPr>
      </w:pPr>
      <w:r>
        <w:rPr>
          <w:rFonts w:ascii="Times New Roman" w:hAnsi="Times New Roman"/>
          <w:noProof/>
          <w:sz w:val="24"/>
          <w:szCs w:val="24"/>
        </w:rPr>
        <w:t>Viens no pārskatītās ES ETS direktīvas pārredzamības noteikumiem paredz, ka dalībvalstīm, kas vairāk nekā 25 % no izsoļu ieņēmumiem jebkurā gadā ir iztērējušas netiešo izmaksu kompensēšanai, ir jāpublicē ziņojums, kurā izklāstīti šā apjoma pārsniegšanas iemesli. Dati par</w:t>
      </w:r>
      <w:r>
        <w:rPr>
          <w:rFonts w:ascii="Times New Roman" w:hAnsi="Times New Roman"/>
          <w:noProof/>
        </w:rPr>
        <w:t xml:space="preserve"> </w:t>
      </w:r>
      <w:r>
        <w:rPr>
          <w:rFonts w:ascii="Times New Roman" w:hAnsi="Times New Roman"/>
          <w:noProof/>
          <w:sz w:val="24"/>
          <w:szCs w:val="24"/>
        </w:rPr>
        <w:t>izsoļu ieņēmumiem 2017. kalendārajā gadā liecina, ka 2018. gadā četras valstis pārsniedza 25 % limitu</w:t>
      </w:r>
      <w:r>
        <w:rPr>
          <w:rFonts w:ascii="Times New Roman" w:eastAsia="Times New Roman" w:hAnsi="Times New Roman"/>
          <w:noProof/>
          <w:vertAlign w:val="superscript"/>
        </w:rPr>
        <w:footnoteReference w:id="35"/>
      </w:r>
      <w:r>
        <w:rPr>
          <w:rFonts w:ascii="Times New Roman" w:hAnsi="Times New Roman"/>
          <w:noProof/>
        </w:rPr>
        <w:t xml:space="preserve">. </w:t>
      </w:r>
    </w:p>
    <w:p>
      <w:pPr>
        <w:jc w:val="both"/>
        <w:rPr>
          <w:rFonts w:ascii="Times New Roman" w:eastAsia="Times New Roman" w:hAnsi="Times New Roman"/>
          <w:bCs/>
          <w:noProof/>
          <w:sz w:val="24"/>
          <w:szCs w:val="28"/>
        </w:rPr>
      </w:pPr>
    </w:p>
    <w:p>
      <w:pPr>
        <w:keepNext/>
        <w:ind w:left="1080"/>
        <w:outlineLvl w:val="3"/>
        <w:rPr>
          <w:rFonts w:ascii="Times New Roman" w:eastAsia="Times New Roman" w:hAnsi="Times New Roman"/>
          <w:noProof/>
          <w:color w:val="000000" w:themeColor="text1"/>
          <w:sz w:val="24"/>
          <w:szCs w:val="24"/>
        </w:rPr>
      </w:pPr>
      <w:bookmarkStart w:id="14" w:name="_Toc24103531"/>
      <w:r>
        <w:rPr>
          <w:rFonts w:ascii="Times New Roman" w:hAnsi="Times New Roman"/>
          <w:bCs/>
          <w:i/>
          <w:noProof/>
          <w:sz w:val="24"/>
          <w:szCs w:val="24"/>
        </w:rPr>
        <w:t>3.1.2.4. Kvotu izsolīšana</w:t>
      </w:r>
      <w:bookmarkEnd w:id="14"/>
    </w:p>
    <w:p>
      <w:pPr>
        <w:pStyle w:val="a3520normalp11"/>
        <w:spacing w:line="276" w:lineRule="auto"/>
        <w:rPr>
          <w:noProof/>
        </w:rPr>
      </w:pPr>
      <w:r>
        <w:rPr>
          <w:noProof/>
          <w:lang w:val="en-GB"/>
        </w:rPr>
        <mc:AlternateContent>
          <mc:Choice Requires="wps">
            <w:drawing>
              <wp:inline distT="0" distB="0" distL="0" distR="0">
                <wp:extent cx="5719648" cy="1565564"/>
                <wp:effectExtent l="0" t="0" r="14605" b="1587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648" cy="1565564"/>
                        </a:xfrm>
                        <a:prstGeom prst="rect">
                          <a:avLst/>
                        </a:prstGeom>
                        <a:solidFill>
                          <a:schemeClr val="bg1">
                            <a:lumMod val="85000"/>
                          </a:schemeClr>
                        </a:solidFill>
                        <a:ln w="12700">
                          <a:solidFill>
                            <a:srgbClr val="000000"/>
                          </a:solidFill>
                          <a:miter lim="800000"/>
                          <a:headEnd/>
                          <a:tailEnd/>
                        </a:ln>
                      </wps:spPr>
                      <wps:txbx>
                        <w:txbxContent>
                          <w:p>
                            <w:pPr>
                              <w:spacing w:after="120"/>
                              <w:ind w:right="57"/>
                              <w:jc w:val="both"/>
                              <w:rPr>
                                <w:rFonts w:ascii="Times New Roman" w:eastAsia="Times New Roman" w:hAnsi="Times New Roman"/>
                                <w:sz w:val="24"/>
                                <w:szCs w:val="24"/>
                              </w:rPr>
                            </w:pPr>
                            <w:r>
                              <w:rPr>
                                <w:rFonts w:ascii="Times New Roman" w:hAnsi="Times New Roman"/>
                                <w:sz w:val="24"/>
                                <w:szCs w:val="24"/>
                              </w:rPr>
                              <w:t>Trešajā posmā kvotu piešķiršanas standarta režīms ir izsolīšana. Primāri izsoles tiek reglamentētas ar Izsoļu regulu*, kurā ir noteikts laika grafiks, administrēšana un citi aspekti, kas būtu jāievēro izsoļu rīkošanā, lai nodrošinātu atklātu, pārredzamu, saskaņotu un nediskriminējošu izsolīšanas procesu.</w:t>
                            </w:r>
                          </w:p>
                          <w:p>
                            <w:pPr>
                              <w:spacing w:after="120"/>
                              <w:ind w:right="57"/>
                              <w:jc w:val="both"/>
                              <w:rPr>
                                <w:rFonts w:ascii="Times New Roman" w:eastAsia="Times New Roman" w:hAnsi="Times New Roman"/>
                                <w:sz w:val="18"/>
                                <w:szCs w:val="18"/>
                              </w:rPr>
                            </w:pPr>
                            <w:r>
                              <w:rPr>
                                <w:rFonts w:ascii="Times New Roman" w:hAnsi="Times New Roman"/>
                                <w:sz w:val="18"/>
                                <w:szCs w:val="18"/>
                              </w:rPr>
                              <w:t>* Komisijas Regula (ES) Nr. 1031/2010 (2010. gada 12. novembris) par siltumnīcas efektu izraisošo gāzu emisiju kvotu izsoļu laika grafiku, administrēšanu un citiem aspektiem saskaņā ar Eiropas Parlamenta un Padomes Direktīvu 2003/87/EK, ar kuru nosaka sistēmu siltumnīcas efektu izraisošo gāzu emisijas kvotu tirdzniecībai Kopienā (OV L 302, 18.11.2010., 1. lpp.).</w:t>
                            </w:r>
                          </w:p>
                          <w:p>
                            <w:pPr>
                              <w:pStyle w:val="a3520normalp11"/>
                              <w:spacing w:line="276" w:lineRule="auto"/>
                            </w:pPr>
                          </w:p>
                          <w:p>
                            <w:pPr>
                              <w:ind w:left="-142" w:firstLine="142"/>
                            </w:pPr>
                          </w:p>
                        </w:txbxContent>
                      </wps:txbx>
                      <wps:bodyPr rot="0" vert="horz" wrap="square" lIns="91440" tIns="45720" rIns="91440" bIns="45720" anchor="t" anchorCtr="0">
                        <a:noAutofit/>
                      </wps:bodyPr>
                    </wps:wsp>
                  </a:graphicData>
                </a:graphic>
              </wp:inline>
            </w:drawing>
          </mc:Choice>
          <mc:Fallback>
            <w:pict>
              <v:shape id="_x0000_s1033" type="#_x0000_t202" style="width:450.35pt;height:1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" fillcolor="#d8d8d8 [2732]" strokeweight="1pt">
                <v:textbox>
                  <w:txbxContent>
                    <w:p>
                      <w:pPr>
                        <w:spacing w:after="120"/>
                        <w:ind w:right="57"/>
                        <w:jc w:val="both"/>
                        <w:rPr>
                          <w:rFonts w:ascii="Times New Roman" w:eastAsia="Times New Roman" w:hAnsi="Times New Roman"/>
                          <w:sz w:val="24"/>
                          <w:szCs w:val="24"/>
                        </w:rPr>
                      </w:pPr>
                      <w:r>
                        <w:rPr>
                          <w:rFonts w:ascii="Times New Roman" w:hAnsi="Times New Roman"/>
                          <w:sz w:val="24"/>
                          <w:szCs w:val="24"/>
                        </w:rPr>
                        <w:t>Trešajā posmā kvotu piešķiršanas standarta režīms ir izsolīšana. Primāri izsoles tiek reglamentētas ar Izsoļu regulu*, kurā ir noteikts laika grafiks, administrēšana un citi aspekti, kas būtu jāievēro izsoļu rīkošanā, lai nodrošinātu atklātu, pārredzamu, saskaņotu un nediskriminējošu izsolīšanas procesu.</w:t>
                      </w:r>
                    </w:p>
                    <w:p>
                      <w:pPr>
                        <w:spacing w:after="120"/>
                        <w:ind w:right="57"/>
                        <w:jc w:val="both"/>
                        <w:rPr>
                          <w:rFonts w:ascii="Times New Roman" w:eastAsia="Times New Roman" w:hAnsi="Times New Roman"/>
                          <w:sz w:val="18"/>
                          <w:szCs w:val="18"/>
                        </w:rPr>
                      </w:pPr>
                      <w:r>
                        <w:rPr>
                          <w:rFonts w:ascii="Times New Roman" w:hAnsi="Times New Roman"/>
                          <w:sz w:val="18"/>
                          <w:szCs w:val="18"/>
                        </w:rPr>
                        <w:t>* Komisijas Regula (ES) Nr. 1031/2010 (2010. gada 12. novembris) par siltumnīcas efektu izraisošo gāzu emisiju kvotu izsoļu laika grafiku, administrēšanu un citiem aspektiem saskaņā ar Eiropas Parlamenta un Padomes Direktīvu 2003/87/EK, ar kuru nosaka sistēmu siltumnīcas efektu izraisošo gāzu emisijas kvotu tirdzniecībai Kopienā (OV L 302, 18.11.2010., 1. lpp.).</w:t>
                      </w:r>
                    </w:p>
                    <w:p>
                      <w:pPr>
                        <w:pStyle w:val="a3520normalp11"/>
                        <w:spacing w:line="276" w:lineRule="auto"/>
                      </w:pPr>
                    </w:p>
                    <w:p>
                      <w:pPr>
                        <w:ind w:left="-142" w:firstLine="142"/>
                      </w:pPr>
                    </w:p>
                  </w:txbxContent>
                </v:textbox>
                <w10:anchorlock/>
              </v:shape>
            </w:pict>
          </mc:Fallback>
        </mc:AlternateContent>
      </w:r>
    </w:p>
    <w:p>
      <w:pPr>
        <w:spacing w:after="120"/>
        <w:ind w:right="57"/>
        <w:jc w:val="both"/>
        <w:rPr>
          <w:rFonts w:ascii="Times New Roman" w:eastAsia="Times New Roman" w:hAnsi="Times New Roman"/>
          <w:noProof/>
          <w:sz w:val="24"/>
          <w:szCs w:val="24"/>
        </w:rPr>
      </w:pPr>
      <w:r>
        <w:rPr>
          <w:rFonts w:ascii="Times New Roman" w:hAnsi="Times New Roman"/>
          <w:noProof/>
          <w:sz w:val="24"/>
          <w:szCs w:val="24"/>
        </w:rPr>
        <w:t>2018. gadā Izsoļu regula tika grozīta</w:t>
      </w:r>
      <w:r>
        <w:rPr>
          <w:rStyle w:val="FootnoteReference"/>
          <w:rFonts w:ascii="Times New Roman" w:eastAsia="Times New Roman" w:hAnsi="Times New Roman"/>
          <w:noProof/>
          <w:sz w:val="24"/>
          <w:szCs w:val="24"/>
        </w:rPr>
        <w:footnoteReference w:id="36"/>
      </w:r>
      <w:r>
        <w:rPr>
          <w:rFonts w:ascii="Times New Roman" w:hAnsi="Times New Roman"/>
          <w:noProof/>
          <w:sz w:val="24"/>
          <w:szCs w:val="24"/>
        </w:rPr>
        <w:t xml:space="preserve">, lai atkārtoti ieceltu </w:t>
      </w:r>
      <w:r>
        <w:rPr>
          <w:rFonts w:ascii="Times New Roman" w:hAnsi="Times New Roman"/>
          <w:i/>
          <w:noProof/>
          <w:sz w:val="24"/>
          <w:szCs w:val="24"/>
        </w:rPr>
        <w:t>European Energy Exchange</w:t>
      </w:r>
      <w:r>
        <w:rPr>
          <w:rFonts w:ascii="Times New Roman" w:hAnsi="Times New Roman"/>
          <w:noProof/>
          <w:sz w:val="24"/>
          <w:szCs w:val="24"/>
        </w:rPr>
        <w:t xml:space="preserve"> (</w:t>
      </w:r>
      <w:r>
        <w:rPr>
          <w:rFonts w:ascii="Times New Roman" w:hAnsi="Times New Roman"/>
          <w:i/>
          <w:noProof/>
          <w:sz w:val="24"/>
          <w:szCs w:val="24"/>
        </w:rPr>
        <w:t>EEX</w:t>
      </w:r>
      <w:r>
        <w:rPr>
          <w:rFonts w:ascii="Times New Roman" w:hAnsi="Times New Roman"/>
          <w:noProof/>
          <w:sz w:val="24"/>
          <w:szCs w:val="24"/>
        </w:rPr>
        <w:t>) kā Vācijas atsevišķo izsoles platformu un ļautu monetizēt pirmo kopu — 50 miljonus kvotu no tirgus stabilitātes rezerves — Inovāciju fonda finansēšanai 2020. gadā.</w:t>
      </w:r>
    </w:p>
    <w:p>
      <w:pPr>
        <w:spacing w:after="120"/>
        <w:ind w:right="57"/>
        <w:jc w:val="both"/>
        <w:rPr>
          <w:rFonts w:ascii="Times New Roman" w:eastAsia="Times New Roman" w:hAnsi="Times New Roman"/>
          <w:noProof/>
          <w:sz w:val="24"/>
          <w:szCs w:val="24"/>
        </w:rPr>
      </w:pPr>
      <w:r>
        <w:rPr>
          <w:rFonts w:ascii="Times New Roman" w:hAnsi="Times New Roman"/>
          <w:noProof/>
          <w:sz w:val="24"/>
          <w:szCs w:val="24"/>
        </w:rPr>
        <w:t>Komisija 2019. gada augustā pieņēma vēl vienu Izsoļu regulas grozījumu, lai noteiktu kvotu izsolīšanas kārtību un projektu vadību Inovāciju fonda un Modernizācijas fonda ietvaros ceturtajā posmā. Šis grozījums arī atspoguļo ES ETS kvotu klasificēšanu par finanšu instrumentiem saskaņā ar Direktīvu 2014/65/ES par finanšu instrumentu tirgiem (FITD 2).</w:t>
      </w:r>
    </w:p>
    <w:p>
      <w:pPr>
        <w:spacing w:after="120"/>
        <w:ind w:right="57"/>
        <w:jc w:val="both"/>
        <w:rPr>
          <w:rFonts w:ascii="Times New Roman" w:eastAsia="Times New Roman" w:hAnsi="Times New Roman"/>
          <w:noProof/>
          <w:sz w:val="24"/>
          <w:szCs w:val="24"/>
        </w:rPr>
      </w:pPr>
      <w:r>
        <w:rPr>
          <w:rFonts w:ascii="Times New Roman" w:hAnsi="Times New Roman"/>
          <w:noProof/>
          <w:sz w:val="24"/>
          <w:szCs w:val="24"/>
        </w:rPr>
        <w:t>Saskaņā ar ES ETS vidiskās integritātes aizsardzībai pieņemtajiem aizsardzības pasākumiem (sk. 2.2. nodaļu) kvotas, kuras par 2018. gadu izdevusi Apvienotā Karaliste, tika pieņemtas nodošanai, bet par 2019. gadu Apvienotās Karalistes vārdā kvotas nav izsolītas.</w:t>
      </w:r>
    </w:p>
    <w:p>
      <w:pPr>
        <w:spacing w:after="120"/>
        <w:ind w:right="57"/>
        <w:jc w:val="both"/>
        <w:rPr>
          <w:rFonts w:ascii="Times New Roman" w:eastAsia="Times New Roman" w:hAnsi="Times New Roman"/>
          <w:noProof/>
          <w:sz w:val="24"/>
          <w:szCs w:val="24"/>
        </w:rPr>
      </w:pPr>
      <w:r>
        <w:rPr>
          <w:rFonts w:ascii="Times New Roman" w:hAnsi="Times New Roman"/>
          <w:noProof/>
          <w:sz w:val="24"/>
          <w:szCs w:val="24"/>
        </w:rPr>
        <w:t>2018. gadā izsoles notika šādās izsoles platformās:</w:t>
      </w:r>
    </w:p>
    <w:p>
      <w:pPr>
        <w:numPr>
          <w:ilvl w:val="0"/>
          <w:numId w:val="2"/>
        </w:numPr>
        <w:spacing w:after="120"/>
        <w:ind w:right="57"/>
        <w:jc w:val="both"/>
        <w:rPr>
          <w:rFonts w:ascii="Times New Roman" w:eastAsia="Times New Roman" w:hAnsi="Times New Roman"/>
          <w:noProof/>
          <w:sz w:val="24"/>
          <w:szCs w:val="24"/>
        </w:rPr>
      </w:pPr>
      <w:r>
        <w:rPr>
          <w:rFonts w:ascii="Times New Roman" w:hAnsi="Times New Roman"/>
          <w:i/>
          <w:noProof/>
          <w:sz w:val="24"/>
          <w:szCs w:val="24"/>
        </w:rPr>
        <w:t>EEX</w:t>
      </w:r>
      <w:r>
        <w:rPr>
          <w:rFonts w:ascii="Times New Roman" w:hAnsi="Times New Roman"/>
          <w:noProof/>
          <w:sz w:val="24"/>
          <w:szCs w:val="24"/>
        </w:rPr>
        <w:t xml:space="preserve">, kas darbojas kā kopējā izsoles platforma 25 dalībvalstīm, kuras piedalās kopējā iepirkuma procedūrā, un Polijai, kas izvēlējās nepiedalīties kopējā iepirkuma procedūrā, bet vēl nav iecēlusi atsevišķu izsoles platformu. No 2016. gada 5. septembra </w:t>
      </w:r>
      <w:r>
        <w:rPr>
          <w:rFonts w:ascii="Times New Roman" w:hAnsi="Times New Roman"/>
          <w:i/>
          <w:noProof/>
          <w:sz w:val="24"/>
          <w:szCs w:val="24"/>
        </w:rPr>
        <w:t>EEX</w:t>
      </w:r>
      <w:r>
        <w:rPr>
          <w:rFonts w:ascii="Times New Roman" w:hAnsi="Times New Roman"/>
          <w:noProof/>
          <w:sz w:val="24"/>
          <w:szCs w:val="24"/>
        </w:rPr>
        <w:t xml:space="preserve"> rīko izsoles kā otrā kopējā izsoles platforma, kas iecelta 2016. gada 13. jūlijā; </w:t>
      </w:r>
    </w:p>
    <w:p>
      <w:pPr>
        <w:numPr>
          <w:ilvl w:val="0"/>
          <w:numId w:val="2"/>
        </w:numPr>
        <w:spacing w:after="120"/>
        <w:ind w:right="57"/>
        <w:jc w:val="both"/>
        <w:rPr>
          <w:rFonts w:ascii="Times New Roman" w:eastAsia="Times New Roman" w:hAnsi="Times New Roman"/>
          <w:noProof/>
          <w:sz w:val="24"/>
          <w:szCs w:val="24"/>
        </w:rPr>
      </w:pPr>
      <w:r>
        <w:rPr>
          <w:rFonts w:ascii="Times New Roman" w:hAnsi="Times New Roman"/>
          <w:i/>
          <w:noProof/>
          <w:sz w:val="24"/>
          <w:szCs w:val="24"/>
        </w:rPr>
        <w:t>EEX</w:t>
      </w:r>
      <w:r>
        <w:rPr>
          <w:rFonts w:ascii="Times New Roman" w:hAnsi="Times New Roman"/>
          <w:noProof/>
          <w:sz w:val="24"/>
          <w:szCs w:val="24"/>
        </w:rPr>
        <w:t>, kas darbojas kā Vācijas atsevišķā izsoles platforma;</w:t>
      </w:r>
    </w:p>
    <w:p>
      <w:pPr>
        <w:numPr>
          <w:ilvl w:val="0"/>
          <w:numId w:val="2"/>
        </w:numPr>
        <w:spacing w:after="120"/>
        <w:ind w:right="57"/>
        <w:jc w:val="both"/>
        <w:rPr>
          <w:rFonts w:ascii="Times New Roman" w:eastAsia="Times New Roman" w:hAnsi="Times New Roman"/>
          <w:noProof/>
          <w:sz w:val="24"/>
          <w:szCs w:val="24"/>
        </w:rPr>
      </w:pPr>
      <w:r>
        <w:rPr>
          <w:rFonts w:ascii="Times New Roman" w:hAnsi="Times New Roman"/>
          <w:i/>
          <w:noProof/>
          <w:sz w:val="24"/>
          <w:szCs w:val="24"/>
        </w:rPr>
        <w:t>ICE</w:t>
      </w:r>
      <w:r>
        <w:rPr>
          <w:rFonts w:ascii="Times New Roman" w:hAnsi="Times New Roman"/>
          <w:noProof/>
          <w:sz w:val="24"/>
          <w:szCs w:val="24"/>
        </w:rPr>
        <w:t>, kas darbojas kā Apvienotās Karalistes atsevišķā izsoles platforma.</w:t>
      </w:r>
    </w:p>
    <w:p>
      <w:pPr>
        <w:spacing w:after="120"/>
        <w:ind w:right="57"/>
        <w:jc w:val="both"/>
        <w:rPr>
          <w:rFonts w:ascii="Times New Roman" w:eastAsia="Times New Roman" w:hAnsi="Times New Roman"/>
          <w:noProof/>
          <w:sz w:val="24"/>
          <w:szCs w:val="24"/>
        </w:rPr>
      </w:pPr>
      <w:r>
        <w:rPr>
          <w:rFonts w:ascii="Times New Roman" w:hAnsi="Times New Roman"/>
          <w:noProof/>
          <w:sz w:val="24"/>
          <w:szCs w:val="24"/>
        </w:rPr>
        <w:t>Islande, Lihtenšteina un Norvēģija kvotas ir sākušas izsolīt 2019. gada jūnijā — pēc tam, kad tika grozīts EEZ līgums, lai ļautu tām piedalīties kopējās izsoles platformas kopējā iepirkumā . Pēc vienošanās ar šīm trim valstīm to 2013.–2018. gada izsolāmais apjoms ir sadalīts uz 2019. un 2020. gadu, lai nodrošinātu stabilu un paredzamu kvotu piedāvājumu tirgū un lai izvairītos no šī papildu piedāvājuma izraisītām nelabvēlīgām sekām oglekļa tirgū. Tādēļ pārskatītie 2019. un 2020. gada izsoļu kalendāri ietver daļu no iepriekšējā apjoma, kas netika iekļauts izsolēs.</w:t>
      </w:r>
    </w:p>
    <w:p>
      <w:pPr>
        <w:spacing w:after="120"/>
        <w:ind w:right="57"/>
        <w:jc w:val="both"/>
        <w:rPr>
          <w:rFonts w:ascii="Times New Roman" w:eastAsia="Times New Roman" w:hAnsi="Times New Roman"/>
          <w:noProof/>
          <w:sz w:val="24"/>
          <w:szCs w:val="24"/>
        </w:rPr>
      </w:pPr>
      <w:r>
        <w:rPr>
          <w:rFonts w:ascii="Times New Roman" w:hAnsi="Times New Roman"/>
          <w:noProof/>
          <w:sz w:val="24"/>
          <w:szCs w:val="24"/>
        </w:rPr>
        <w:t xml:space="preserve">2018. gadā </w:t>
      </w:r>
      <w:r>
        <w:rPr>
          <w:rFonts w:ascii="Times New Roman" w:hAnsi="Times New Roman"/>
          <w:i/>
          <w:noProof/>
          <w:sz w:val="24"/>
          <w:szCs w:val="24"/>
        </w:rPr>
        <w:t>EEX</w:t>
      </w:r>
      <w:r>
        <w:rPr>
          <w:rFonts w:ascii="Times New Roman" w:hAnsi="Times New Roman"/>
          <w:noProof/>
          <w:sz w:val="24"/>
          <w:szCs w:val="24"/>
        </w:rPr>
        <w:t xml:space="preserve">, kas darbojās 27 dalībvalstu vārdā, izsolīja 89 % no visām izsolītajām kvotām, savukārt </w:t>
      </w:r>
      <w:r>
        <w:rPr>
          <w:rFonts w:ascii="Times New Roman" w:hAnsi="Times New Roman"/>
          <w:i/>
          <w:noProof/>
          <w:sz w:val="24"/>
          <w:szCs w:val="24"/>
        </w:rPr>
        <w:t>ICE</w:t>
      </w:r>
      <w:r>
        <w:rPr>
          <w:rFonts w:ascii="Times New Roman" w:hAnsi="Times New Roman"/>
          <w:noProof/>
          <w:sz w:val="24"/>
          <w:szCs w:val="24"/>
        </w:rPr>
        <w:t xml:space="preserve"> Apvienotās Karalistes vārdā izsolīja 11 % no visām kvotām. Līdz 2019. gada 30. jūnijam bija notikušas vairāk nekā 1480 izsoles. </w:t>
      </w:r>
    </w:p>
    <w:p>
      <w:pPr>
        <w:spacing w:after="0"/>
        <w:ind w:right="57"/>
        <w:jc w:val="both"/>
        <w:rPr>
          <w:rFonts w:ascii="Times New Roman" w:eastAsia="Times New Roman" w:hAnsi="Times New Roman"/>
          <w:noProof/>
          <w:sz w:val="24"/>
          <w:szCs w:val="24"/>
        </w:rPr>
      </w:pPr>
      <w:r>
        <w:rPr>
          <w:rFonts w:ascii="Times New Roman" w:hAnsi="Times New Roman"/>
          <w:noProof/>
          <w:sz w:val="24"/>
          <w:szCs w:val="24"/>
        </w:rPr>
        <w:t>Tālāk dotajā 5. tabulā ir sniegts pārskats par to, cik daudz kvotu</w:t>
      </w:r>
      <w:r>
        <w:rPr>
          <w:rStyle w:val="FootnoteReference"/>
          <w:rFonts w:ascii="Times New Roman" w:eastAsia="Times New Roman" w:hAnsi="Times New Roman"/>
          <w:noProof/>
          <w:sz w:val="24"/>
          <w:szCs w:val="24"/>
        </w:rPr>
        <w:footnoteReference w:id="37"/>
      </w:r>
      <w:r>
        <w:rPr>
          <w:rFonts w:ascii="Times New Roman" w:hAnsi="Times New Roman"/>
          <w:noProof/>
          <w:sz w:val="24"/>
          <w:szCs w:val="24"/>
        </w:rPr>
        <w:t xml:space="preserve"> </w:t>
      </w:r>
      <w:r>
        <w:rPr>
          <w:rFonts w:ascii="Times New Roman" w:hAnsi="Times New Roman"/>
          <w:i/>
          <w:noProof/>
          <w:sz w:val="24"/>
          <w:szCs w:val="24"/>
        </w:rPr>
        <w:t>EEX</w:t>
      </w:r>
      <w:r>
        <w:rPr>
          <w:rFonts w:ascii="Times New Roman" w:hAnsi="Times New Roman"/>
          <w:noProof/>
          <w:sz w:val="24"/>
          <w:szCs w:val="24"/>
        </w:rPr>
        <w:t xml:space="preserve"> un </w:t>
      </w:r>
      <w:r>
        <w:rPr>
          <w:rFonts w:ascii="Times New Roman" w:hAnsi="Times New Roman"/>
          <w:i/>
          <w:noProof/>
          <w:sz w:val="24"/>
          <w:szCs w:val="24"/>
        </w:rPr>
        <w:t>ICE</w:t>
      </w:r>
      <w:r>
        <w:rPr>
          <w:rFonts w:ascii="Times New Roman" w:hAnsi="Times New Roman"/>
          <w:noProof/>
          <w:sz w:val="24"/>
          <w:szCs w:val="24"/>
        </w:rPr>
        <w:t xml:space="preserve"> izsolīja līdz 2019. gada 30. jūnijam; pārskatā iekļautas arī vispārīgo kvotu agrīnās izsoles</w:t>
      </w:r>
      <w:r>
        <w:rPr>
          <w:rFonts w:ascii="Times New Roman" w:eastAsia="Times New Roman" w:hAnsi="Times New Roman"/>
          <w:noProof/>
          <w:sz w:val="24"/>
          <w:szCs w:val="24"/>
          <w:vertAlign w:val="superscript"/>
        </w:rPr>
        <w:footnoteReference w:id="38"/>
      </w:r>
      <w:r>
        <w:rPr>
          <w:rFonts w:ascii="Times New Roman" w:hAnsi="Times New Roman"/>
          <w:noProof/>
          <w:sz w:val="24"/>
          <w:szCs w:val="24"/>
        </w:rPr>
        <w:t xml:space="preserve">. </w:t>
      </w:r>
    </w:p>
    <w:p>
      <w:pPr>
        <w:spacing w:after="0"/>
        <w:ind w:right="57"/>
        <w:jc w:val="both"/>
        <w:rPr>
          <w:rFonts w:ascii="Times New Roman" w:eastAsia="Times New Roman" w:hAnsi="Times New Roman"/>
          <w:noProof/>
          <w:sz w:val="24"/>
          <w:szCs w:val="24"/>
        </w:rPr>
      </w:pPr>
    </w:p>
    <w:p>
      <w:pPr>
        <w:keepNext/>
        <w:rPr>
          <w:rFonts w:ascii="Times New Roman" w:hAnsi="Times New Roman"/>
          <w:b/>
          <w:bCs/>
          <w:noProof/>
          <w:sz w:val="24"/>
          <w:szCs w:val="24"/>
        </w:rPr>
      </w:pPr>
      <w:r>
        <w:rPr>
          <w:rFonts w:ascii="Times New Roman" w:hAnsi="Times New Roman"/>
          <w:b/>
          <w:bCs/>
          <w:noProof/>
          <w:sz w:val="24"/>
          <w:szCs w:val="24"/>
        </w:rPr>
        <w:t>5. tabula. 2012.-2019. gadā izsolīto trešā posma kvotu kopējais daudzums</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08"/>
        <w:gridCol w:w="3051"/>
        <w:gridCol w:w="2989"/>
      </w:tblGrid>
      <w:tr>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Gads</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br/>
              <w:t xml:space="preserve">Vispārīgās kvotas </w:t>
            </w:r>
          </w:p>
          <w:p>
            <w:pPr>
              <w:spacing w:after="0"/>
              <w:jc w:val="center"/>
              <w:rPr>
                <w:rFonts w:ascii="Times New Roman" w:eastAsia="Times New Roman" w:hAnsi="Times New Roman"/>
                <w:noProof/>
                <w:sz w:val="20"/>
                <w:szCs w:val="20"/>
              </w:rPr>
            </w:pP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bCs/>
                <w:noProof/>
                <w:sz w:val="20"/>
                <w:szCs w:val="20"/>
              </w:rPr>
              <w:t xml:space="preserve">Aviācijas kvotas </w:t>
            </w:r>
          </w:p>
        </w:tc>
      </w:tr>
      <w:tr>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2012</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89 701 500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bCs/>
                <w:noProof/>
                <w:sz w:val="20"/>
                <w:szCs w:val="20"/>
              </w:rPr>
              <w:t>2 500 000</w:t>
            </w:r>
          </w:p>
        </w:tc>
      </w:tr>
      <w:tr>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2013</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808 146 500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bCs/>
                <w:noProof/>
                <w:sz w:val="20"/>
                <w:szCs w:val="20"/>
              </w:rPr>
              <w:t xml:space="preserve">0 </w:t>
            </w:r>
          </w:p>
        </w:tc>
      </w:tr>
      <w:tr>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2014</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528 399 500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bCs/>
                <w:noProof/>
                <w:sz w:val="20"/>
                <w:szCs w:val="20"/>
              </w:rPr>
              <w:t>9 278 000</w:t>
            </w:r>
          </w:p>
        </w:tc>
      </w:tr>
      <w:tr>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2015</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632 725 500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bCs/>
                <w:noProof/>
                <w:sz w:val="20"/>
                <w:szCs w:val="20"/>
              </w:rPr>
              <w:t>16 390 500</w:t>
            </w:r>
          </w:p>
        </w:tc>
      </w:tr>
      <w:tr>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2016</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715 289 500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bCs/>
                <w:noProof/>
                <w:sz w:val="20"/>
                <w:szCs w:val="20"/>
              </w:rPr>
              <w:t>5 997 500</w:t>
            </w:r>
          </w:p>
        </w:tc>
      </w:tr>
      <w:tr>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 xml:space="preserve">2017 </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951 195 500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bCs/>
                <w:noProof/>
                <w:sz w:val="20"/>
                <w:szCs w:val="20"/>
              </w:rPr>
              <w:t>4 730 500</w:t>
            </w:r>
          </w:p>
        </w:tc>
      </w:tr>
      <w:tr>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 xml:space="preserve">2018 </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915 750 000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noProof/>
                <w:sz w:val="20"/>
                <w:szCs w:val="20"/>
              </w:rPr>
              <w:t>5 601 500</w:t>
            </w:r>
          </w:p>
        </w:tc>
      </w:tr>
      <w:tr>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2019 (līdz 2019. gada 30. jūnijam)</w:t>
            </w:r>
            <w:r>
              <w:rPr>
                <w:rStyle w:val="FootnoteReference"/>
                <w:rFonts w:ascii="Times New Roman" w:eastAsia="Times New Roman" w:hAnsi="Times New Roman"/>
                <w:noProof/>
                <w:sz w:val="20"/>
                <w:szCs w:val="20"/>
              </w:rPr>
              <w:footnoteReference w:id="39"/>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292 975 500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szCs w:val="20"/>
              </w:rPr>
              <w:t>2 032 500</w:t>
            </w:r>
          </w:p>
        </w:tc>
      </w:tr>
    </w:tbl>
    <w:p>
      <w:pPr>
        <w:spacing w:after="120" w:line="240" w:lineRule="auto"/>
        <w:ind w:right="57"/>
        <w:jc w:val="both"/>
        <w:rPr>
          <w:rFonts w:ascii="Times New Roman" w:eastAsia="Times New Roman" w:hAnsi="Times New Roman"/>
          <w:noProof/>
          <w:sz w:val="18"/>
          <w:szCs w:val="18"/>
        </w:rPr>
      </w:pPr>
      <w:r>
        <w:rPr>
          <w:rFonts w:ascii="Times New Roman" w:hAnsi="Times New Roman"/>
          <w:noProof/>
          <w:sz w:val="18"/>
          <w:szCs w:val="18"/>
        </w:rPr>
        <w:t xml:space="preserve">Avots: </w:t>
      </w:r>
      <w:r>
        <w:rPr>
          <w:rFonts w:ascii="Times New Roman" w:hAnsi="Times New Roman"/>
          <w:i/>
          <w:noProof/>
          <w:sz w:val="18"/>
          <w:szCs w:val="18"/>
        </w:rPr>
        <w:t>EEX</w:t>
      </w:r>
      <w:r>
        <w:rPr>
          <w:rFonts w:ascii="Times New Roman" w:hAnsi="Times New Roman"/>
          <w:noProof/>
          <w:sz w:val="18"/>
          <w:szCs w:val="18"/>
        </w:rPr>
        <w:t>.</w:t>
      </w:r>
    </w:p>
    <w:p>
      <w:pPr>
        <w:jc w:val="both"/>
        <w:rPr>
          <w:rFonts w:ascii="Times New Roman" w:hAnsi="Times New Roman"/>
          <w:noProof/>
          <w:sz w:val="24"/>
          <w:szCs w:val="24"/>
        </w:rPr>
      </w:pPr>
      <w:r>
        <w:rPr>
          <w:rFonts w:ascii="Times New Roman" w:hAnsi="Times New Roman"/>
          <w:noProof/>
          <w:sz w:val="24"/>
          <w:szCs w:val="24"/>
        </w:rPr>
        <w:t xml:space="preserve">2019. gada rādītāji atspoguļo sekas, kuras radīja tirgus stabilitātes rezerves stāšanās spēkā 2019. gada janvārī, kas būtiski samazināja izsoļu piedāvājumu 2019. gadā (sk. 3.3. nodaļu). Izsoles lielākoties noritēja sekmīgi, izsoles līdzsvara cenas parasti bija cieši pietuvinātas sekundārā tirgus cenām. </w:t>
      </w:r>
    </w:p>
    <w:p>
      <w:pPr>
        <w:jc w:val="both"/>
        <w:rPr>
          <w:rFonts w:ascii="Times New Roman" w:hAnsi="Times New Roman"/>
          <w:noProof/>
          <w:sz w:val="24"/>
          <w:szCs w:val="24"/>
        </w:rPr>
      </w:pPr>
      <w:r>
        <w:rPr>
          <w:rFonts w:ascii="Times New Roman" w:hAnsi="Times New Roman"/>
          <w:noProof/>
          <w:sz w:val="24"/>
          <w:szCs w:val="24"/>
        </w:rPr>
        <w:t>No 2018. gada janvāra līdz 2019. gada jūnijam piecas izsoles tika atceltas vai nu tādēļ, ka netika sasniegta rezerves cena, vai tādēļ, ka izsolē kopējais solījuma apjoms bija mazāks par izsolīto apjomu. Ieskaitot šīs piecas izsoles, kopumā tika atceltas 12 no vairāk nekā 1480 izsolēm, kas notikušas kopš 2012. gada beigām. Pārskats par izsoļu līdzsvara cenām no 2013. gada līdz 2019. gada 30. jūnijam ir sniegts 1. attēlā.</w:t>
      </w:r>
    </w:p>
    <w:p>
      <w:pPr>
        <w:rPr>
          <w:rFonts w:ascii="Times New Roman" w:hAnsi="Times New Roman"/>
          <w:b/>
          <w:noProof/>
          <w:sz w:val="20"/>
          <w:szCs w:val="20"/>
        </w:rPr>
      </w:pPr>
    </w:p>
    <w:p>
      <w:pPr>
        <w:rPr>
          <w:rFonts w:ascii="Times New Roman" w:hAnsi="Times New Roman"/>
          <w:b/>
          <w:noProof/>
          <w:sz w:val="20"/>
          <w:szCs w:val="20"/>
        </w:rPr>
      </w:pPr>
      <w:r>
        <w:rPr>
          <w:rFonts w:ascii="Times New Roman" w:hAnsi="Times New Roman"/>
          <w:b/>
          <w:noProof/>
          <w:sz w:val="20"/>
          <w:szCs w:val="20"/>
        </w:rPr>
        <w:t>1. attēls. Vispārīgo kvotu izsoļu līdzsvara cenas no 2013. gada līdz 2019. gada 30. jūnijam</w:t>
      </w:r>
    </w:p>
    <w:p>
      <w:pPr>
        <w:spacing w:after="0"/>
        <w:jc w:val="both"/>
        <w:rPr>
          <w:rFonts w:ascii="Times New Roman" w:hAnsi="Times New Roman"/>
          <w:noProof/>
          <w:sz w:val="24"/>
          <w:szCs w:val="24"/>
        </w:rPr>
      </w:pPr>
      <w:r>
        <w:rPr>
          <w:rFonts w:ascii="Times New Roman" w:hAnsi="Times New Roman"/>
          <w:noProof/>
          <w:lang w:val="en-GB" w:eastAsia="en-GB"/>
        </w:rPr>
        <w:drawing>
          <wp:inline distT="0" distB="0" distL="0" distR="0">
            <wp:extent cx="5575300" cy="2790731"/>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8291" cy="2802239"/>
                    </a:xfrm>
                    <a:prstGeom prst="rect">
                      <a:avLst/>
                    </a:prstGeom>
                    <a:noFill/>
                  </pic:spPr>
                </pic:pic>
              </a:graphicData>
            </a:graphic>
          </wp:inline>
        </w:drawing>
      </w:r>
    </w:p>
    <w:p>
      <w:pPr>
        <w:spacing w:after="0"/>
        <w:jc w:val="both"/>
        <w:rPr>
          <w:rFonts w:ascii="Times New Roman" w:hAnsi="Times New Roman"/>
          <w:noProof/>
          <w:sz w:val="18"/>
          <w:szCs w:val="18"/>
        </w:rPr>
      </w:pPr>
      <w:r>
        <w:rPr>
          <w:rFonts w:ascii="Times New Roman" w:hAnsi="Times New Roman"/>
          <w:noProof/>
          <w:sz w:val="18"/>
          <w:szCs w:val="18"/>
        </w:rPr>
        <w:t xml:space="preserve">Avots: </w:t>
      </w:r>
      <w:r>
        <w:rPr>
          <w:rFonts w:ascii="Times New Roman" w:hAnsi="Times New Roman"/>
          <w:i/>
          <w:noProof/>
          <w:sz w:val="18"/>
          <w:szCs w:val="18"/>
        </w:rPr>
        <w:t>EEX</w:t>
      </w:r>
      <w:r>
        <w:rPr>
          <w:rFonts w:ascii="Times New Roman" w:hAnsi="Times New Roman"/>
          <w:noProof/>
          <w:sz w:val="18"/>
          <w:szCs w:val="18"/>
        </w:rPr>
        <w:t>.</w:t>
      </w:r>
    </w:p>
    <w:p>
      <w:pPr>
        <w:rPr>
          <w:rFonts w:ascii="Times New Roman" w:hAnsi="Times New Roman"/>
          <w:noProof/>
          <w:sz w:val="20"/>
          <w:szCs w:val="20"/>
        </w:rPr>
      </w:pPr>
      <w:r>
        <w:rPr>
          <w:rFonts w:ascii="Times New Roman" w:hAnsi="Times New Roman"/>
          <w:b/>
          <w:noProof/>
          <w:color w:val="00B050"/>
          <w:sz w:val="20"/>
          <w:szCs w:val="20"/>
        </w:rPr>
        <w:t>___</w:t>
      </w:r>
      <w:r>
        <w:rPr>
          <w:rFonts w:ascii="Times New Roman" w:hAnsi="Times New Roman"/>
          <w:noProof/>
          <w:sz w:val="20"/>
          <w:szCs w:val="20"/>
        </w:rPr>
        <w:t xml:space="preserve"> Izsoles līdzsvara cena</w:t>
      </w:r>
    </w:p>
    <w:p>
      <w:pPr>
        <w:jc w:val="both"/>
        <w:rPr>
          <w:rFonts w:ascii="Times New Roman" w:hAnsi="Times New Roman"/>
          <w:noProof/>
          <w:sz w:val="24"/>
          <w:szCs w:val="24"/>
        </w:rPr>
      </w:pPr>
      <w:r>
        <w:rPr>
          <w:rFonts w:ascii="Times New Roman" w:hAnsi="Times New Roman"/>
          <w:noProof/>
          <w:sz w:val="24"/>
          <w:szCs w:val="24"/>
        </w:rPr>
        <w:t>Vispārīgo kvotu izsoļu dalībnieku skaits no 2013. gada līdz 2019. gada 30. jūnijam ir norādīts 2. papildinājumā. Izsoles platformas īpašās tīmekļa vietnēs operatīvi publicē detalizētu izklāstu par katras izsoles rezultātiem. Sīkāka informācija par izsoļu norisi, tostarp dalību, seguma koeficientu un cenām, ir sniegta Komisijas tīmekļa vietnē publicētajos dalībvalstu ziņojumos</w:t>
      </w:r>
      <w:r>
        <w:rPr>
          <w:rFonts w:ascii="Times New Roman" w:hAnsi="Times New Roman"/>
          <w:noProof/>
          <w:sz w:val="24"/>
          <w:szCs w:val="24"/>
          <w:vertAlign w:val="superscript"/>
        </w:rPr>
        <w:footnoteReference w:id="40"/>
      </w:r>
      <w:r>
        <w:rPr>
          <w:rFonts w:ascii="Times New Roman" w:hAnsi="Times New Roman"/>
          <w:noProof/>
          <w:sz w:val="24"/>
          <w:szCs w:val="24"/>
        </w:rPr>
        <w:t>.</w:t>
      </w:r>
    </w:p>
    <w:p>
      <w:pPr>
        <w:jc w:val="both"/>
        <w:rPr>
          <w:rFonts w:ascii="Times New Roman" w:hAnsi="Times New Roman"/>
          <w:noProof/>
          <w:sz w:val="24"/>
          <w:szCs w:val="24"/>
        </w:rPr>
      </w:pPr>
      <w:r>
        <w:rPr>
          <w:rFonts w:ascii="Times New Roman" w:hAnsi="Times New Roman"/>
          <w:noProof/>
          <w:sz w:val="24"/>
          <w:szCs w:val="24"/>
        </w:rPr>
        <w:t>Kopējie dalībvalstu radītie ieņēmumi no izsolēm no 2012. gada līdz 2019. gada 30. jūnijam pārsniedza 42 miljardus EUR (sk. 2.1. tabulu 2. papildinājumā). Tikai 2018. gadā vien kopējie radītie ieņēmumi bija 14 miljardi EUR. ES ETS direktīvā ir noteikts, ka vismaz 50 % no izsoļu ieņēmumiem, tostarp visi ieņēmumi no kvotām, kas sadalītas solidaritātes un izaugsmes mērķiem, dalībvalstīm būtu jāizmanto mērķiem klimata un enerģētikas jomā. Saskaņā ar informāciju, ko Komisijai iesniegušas dalībvalstis, gandrīz 70 % no šiem ieņēmumiem dalībvalstis 2018. gadā iztērēja vai plānoja iztērēt konkrētiem mērķiem klimata un enerģētikas jomā. 2013.–2018. gadā šādiem mērķiem tika izlietoti aptuveni 80 % no ieņēmumiem no izsolēm.</w:t>
      </w:r>
    </w:p>
    <w:p>
      <w:pPr>
        <w:pStyle w:val="Heading4"/>
        <w:spacing w:before="0" w:after="200"/>
        <w:ind w:left="1080"/>
        <w:rPr>
          <w:noProof/>
        </w:rPr>
      </w:pPr>
      <w:bookmarkStart w:id="15" w:name="_Toc24103532"/>
      <w:r>
        <w:rPr>
          <w:noProof/>
        </w:rPr>
        <w:t>3.1.2.5. Atkāpe no prasības pilnīgi visas kvotas iegūt izsolēs attiecībā uz elektroenerģijas un siltuma ražošanu</w:t>
      </w:r>
      <w:bookmarkEnd w:id="15"/>
    </w:p>
    <w:p>
      <w:pPr>
        <w:jc w:val="both"/>
        <w:rPr>
          <w:rFonts w:ascii="Times New Roman" w:hAnsi="Times New Roman"/>
          <w:noProof/>
        </w:rPr>
      </w:pPr>
      <w:r>
        <w:rPr>
          <w:rFonts w:ascii="Times New Roman" w:hAnsi="Times New Roman"/>
          <w:noProof/>
          <w:lang w:val="en-GB" w:eastAsia="en-GB"/>
        </w:rPr>
        <mc:AlternateContent>
          <mc:Choice Requires="wps">
            <w:drawing>
              <wp:inline distT="0" distB="0" distL="0" distR="0">
                <wp:extent cx="5720487" cy="6429375"/>
                <wp:effectExtent l="0" t="0" r="13970" b="28575"/>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7" cy="6429375"/>
                        </a:xfrm>
                        <a:prstGeom prst="rect">
                          <a:avLst/>
                        </a:prstGeom>
                        <a:solidFill>
                          <a:sysClr val="window" lastClr="FFFFFF">
                            <a:lumMod val="85000"/>
                          </a:sysClr>
                        </a:solidFill>
                        <a:ln w="12700">
                          <a:solidFill>
                            <a:srgbClr val="000000">
                              <a:alpha val="70000"/>
                            </a:srgbClr>
                          </a:solidFill>
                          <a:miter lim="800000"/>
                          <a:headEnd/>
                          <a:tailEnd/>
                        </a:ln>
                      </wps:spPr>
                      <wps:txbx>
                        <w:txbxContent>
                          <w:p>
                            <w:pPr>
                              <w:pStyle w:val="FootnoteText"/>
                              <w:spacing w:after="200" w:line="276" w:lineRule="auto"/>
                              <w:jc w:val="both"/>
                              <w:rPr>
                                <w:sz w:val="24"/>
                                <w:szCs w:val="24"/>
                              </w:rPr>
                            </w:pPr>
                            <w:r>
                              <w:rPr>
                                <w:sz w:val="24"/>
                                <w:szCs w:val="24"/>
                              </w:rPr>
                              <w:t xml:space="preserve">ES ETS direktīvas 10.c pantā ir noteikta atkāpe no parastās kārtības, kas nosaka kvotu ieguvi izsoļu ceļā, lai dažās ES dalībvalstīs, kurās ir zemāki ienākumi, sekmētu investīcijas elektroenerģijas nozares modernizācijā. Šo atkāpi trešajā posmā izmanto 8 no 10 dalībvalstīm, kurām ir tādas tiesības*, proti, zināmu skaitu kvotu elektroenerģijas ražotājiem iedala bez maksas, , ja tie veic atbilstošus ieguldījumus. </w:t>
                            </w:r>
                          </w:p>
                          <w:p>
                            <w:pPr>
                              <w:pStyle w:val="FootnoteText"/>
                              <w:spacing w:after="200" w:line="276" w:lineRule="auto"/>
                              <w:jc w:val="both"/>
                              <w:rPr>
                                <w:sz w:val="24"/>
                                <w:szCs w:val="24"/>
                              </w:rPr>
                            </w:pPr>
                            <w:r>
                              <w:rPr>
                                <w:sz w:val="24"/>
                                <w:szCs w:val="24"/>
                              </w:rPr>
                              <w:t>Saskaņā ar 10.c pantu iedalītās bezmaksas kvotas atskaita no to kvotu skaita, kuras attiecīgā dalībvalsts citādi būtu izsolījusi. Atkarībā no atkāpes īstenošanas noteikumiem, kas pieņemti konkrētajā valstī, elektroenerģijas ražotāji var saņemt bezmaksas kvotas vai nu vērtībā, kas ekvivalenta ieguldījumiem, kurus tie veic no valsts investīciju plānā uzskaitītajiem ieguldījumiem, vai vērtībā, kas ekvivalenta maksājumiem, kurus elektroenerģijas ražotāji veikuši valsts fondā, no kura finansē šādus ieguldījumus. Tā kā kvotu bezmaksas iedale elektroenerģijas ražotājiem saskaņā ar ETS direktīvas 10.c pantu principā ietvertu valsts atbalstu, attiecībā uz valstu shēmām 10.c panta atkāpes īstenošanai ir saņemta atļauja saskaņā ar valsts atbalsta noteikumiem un tām piemēro Valsts atbalsta pamatnostādņu** prasības.</w:t>
                            </w:r>
                          </w:p>
                          <w:p>
                            <w:pPr>
                              <w:pStyle w:val="FootnoteText"/>
                              <w:spacing w:after="120" w:line="276" w:lineRule="auto"/>
                              <w:jc w:val="both"/>
                              <w:rPr>
                                <w:sz w:val="24"/>
                                <w:szCs w:val="24"/>
                              </w:rPr>
                            </w:pPr>
                            <w:r>
                              <w:rPr>
                                <w:sz w:val="24"/>
                                <w:szCs w:val="24"/>
                              </w:rPr>
                              <w:t>Ceturtajā posmā joprojām būs pieejama emisijas kvotu pagaidu bezmaksas iedale saskaņā ar 10.c pantu, taču ar uzlabotiem pārredzamības noteikumiem un iespēju atbilstīgajām dalībvalstīm pilnībā vai daļēji izmantot tai iedalītās kvotas saskaņā ar 10.c pantu, lai atbalstītu ieguldījumus Modernizācijas fonda ietvaros. Informācija, ko Komisijai sniegušas dalībvalstis, liecina, ka 10.c pantā paredzētā atkāpe nākamajā tirdzniecības periodā tiks izmantota ļoti reti. Septiņas no desmit dalībvalstīm, kam ir tiesības piemērot šo atkāpi, tostarp Polija un Čehijas Republika, kuras trešajā posmā visvairāk izmantoja pagaidu bezmaksas iedali, ir izvēlējušās turpmāk šo atkāpi nepiemērot.</w:t>
                            </w:r>
                          </w:p>
                          <w:p>
                            <w:pPr>
                              <w:spacing w:after="120"/>
                              <w:jc w:val="both"/>
                              <w:rPr>
                                <w:rFonts w:ascii="Times New Roman" w:hAnsi="Times New Roman"/>
                                <w:sz w:val="18"/>
                                <w:szCs w:val="18"/>
                              </w:rPr>
                            </w:pPr>
                            <w:r>
                              <w:rPr>
                                <w:rFonts w:ascii="Times New Roman" w:hAnsi="Times New Roman"/>
                                <w:sz w:val="18"/>
                                <w:szCs w:val="18"/>
                              </w:rPr>
                              <w:t>* Tiesības piemērot šo atkāpi ir Bulgārijai, Čehijai, Igaunijai, Kiprai, Latvijai, Lietuvai, Maltai, Polijai, Rumānijai un Ungārijai. Malta un Latvija nolēma trešajā posmā to neizmantot.</w:t>
                            </w:r>
                          </w:p>
                          <w:p>
                            <w:pPr>
                              <w:spacing w:after="120"/>
                              <w:jc w:val="both"/>
                              <w:rPr>
                                <w:rFonts w:ascii="Times New Roman" w:hAnsi="Times New Roman"/>
                                <w:sz w:val="18"/>
                                <w:szCs w:val="18"/>
                              </w:rPr>
                            </w:pPr>
                            <w:r>
                              <w:rPr>
                                <w:rFonts w:ascii="Times New Roman" w:hAnsi="Times New Roman"/>
                                <w:sz w:val="18"/>
                                <w:szCs w:val="18"/>
                              </w:rPr>
                              <w:t>** Pamatnostādnes par atsevišķiem valsts atbalsta pasākumiem saistībā ar siltumnīcefekta gāzu emisiju kvotu tirdzniecības sistēmu pēc 2012. gada (OV C 158, 5.6.2012., 4. lpp.).</w:t>
                            </w:r>
                          </w:p>
                        </w:txbxContent>
                      </wps:txbx>
                      <wps:bodyPr rot="0" vert="horz" wrap="square" lIns="91440" tIns="45720" rIns="91440" bIns="45720" anchor="t" anchorCtr="0">
                        <a:noAutofit/>
                      </wps:bodyPr>
                    </wps:wsp>
                  </a:graphicData>
                </a:graphic>
              </wp:inline>
            </w:drawing>
          </mc:Choice>
          <mc:Fallback>
            <w:pict>
              <v:shape id="_x0000_s1034" type="#_x0000_t202" style="width:450.45pt;height:5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" fillcolor="#d9d9d9" strokeweight="1pt">
                <v:stroke opacity="46003f"/>
                <v:textbox>
                  <w:txbxContent>
                    <w:p>
                      <w:pPr>
                        <w:pStyle w:val="FootnoteText"/>
                        <w:spacing w:after="200" w:line="276" w:lineRule="auto"/>
                        <w:jc w:val="both"/>
                        <w:rPr>
                          <w:sz w:val="24"/>
                          <w:szCs w:val="24"/>
                        </w:rPr>
                      </w:pPr>
                      <w:r>
                        <w:rPr>
                          <w:sz w:val="24"/>
                          <w:szCs w:val="24"/>
                        </w:rPr>
                        <w:t xml:space="preserve">ES ETS direktīvas 10.c pantā ir noteikta atkāpe no parastās kārtības, kas nosaka kvotu ieguvi izsoļu ceļā, lai dažās ES dalībvalstīs, kurās ir zemāki ienākumi, sekmētu investīcijas elektroenerģijas nozares modernizācijā. Šo atkāpi trešajā posmā izmanto 8 no 10 dalībvalstīm, kurām ir tādas tiesības*, proti, zināmu skaitu kvotu elektroenerģijas ražotājiem iedala bez maksas, , ja tie veic atbilstošus ieguldījumus. </w:t>
                      </w:r>
                    </w:p>
                    <w:p>
                      <w:pPr>
                        <w:pStyle w:val="FootnoteText"/>
                        <w:spacing w:after="200" w:line="276" w:lineRule="auto"/>
                        <w:jc w:val="both"/>
                        <w:rPr>
                          <w:sz w:val="24"/>
                          <w:szCs w:val="24"/>
                        </w:rPr>
                      </w:pPr>
                      <w:r>
                        <w:rPr>
                          <w:sz w:val="24"/>
                          <w:szCs w:val="24"/>
                        </w:rPr>
                        <w:t>Saskaņā ar 10.c pantu iedalītās bezmaksas kvotas atskaita no to kvotu skaita, kuras attiecīgā dalībvalsts citādi būtu izsolījusi. Atkarībā no atkāpes īstenošanas noteikumiem, kas pieņemti konkrētajā valstī, elektroenerģijas ražotāji var saņemt bezmaksas kvotas vai nu vērtībā, kas ekvivalenta ieguldījumiem, kurus tie veic no valsts investīciju plānā uzskaitītajiem ieguldījumiem, vai vērtībā, kas ekvivalenta maksājumiem, kurus elektroenerģijas ražotāji veikuši valsts fondā, no kura finansē šādus ieguldījumus. Tā kā kvotu bezmaksas iedale elektroenerģijas ražotājiem saskaņā ar ETS direktīvas 10.c pantu principā ietvertu valsts atbalstu, attiecībā uz valstu shēmām 10.c panta atkāpes īstenošanai ir saņemta atļauja saskaņā ar valsts atbalsta noteikumiem un tām piemēro Valsts atbalsta pamatnostādņu** prasības.</w:t>
                      </w:r>
                    </w:p>
                    <w:p>
                      <w:pPr>
                        <w:pStyle w:val="FootnoteText"/>
                        <w:spacing w:after="120" w:line="276" w:lineRule="auto"/>
                        <w:jc w:val="both"/>
                        <w:rPr>
                          <w:sz w:val="24"/>
                          <w:szCs w:val="24"/>
                        </w:rPr>
                      </w:pPr>
                      <w:r>
                        <w:rPr>
                          <w:sz w:val="24"/>
                          <w:szCs w:val="24"/>
                        </w:rPr>
                        <w:t>Ceturtajā posmā joprojām būs pieejama emisijas kvotu pagaidu bezmaksas iedale saskaņā ar 10.c pantu, taču ar uzlabotiem pārredzamības noteikumiem un iespēju atbilstīgajām dalībvalstīm pilnībā vai daļēji izmantot tai iedalītās kvotas saskaņā ar 10.c pantu, lai atbalstītu ieguldījumus Modernizācijas fonda ietvaros. Informācija, ko Komisijai sniegušas dalībvalstis, liecina, ka 10.c pantā paredzētā atkāpe nākamajā tirdzniecības periodā tiks izmantota ļoti reti. Septiņas no desmit dalībvalstīm, kam ir tiesības piemērot šo atkāpi, tostarp Polija un Čehijas Republika, kuras trešajā posmā visvairāk izmantoja pagaidu bezmaksas iedali, ir izvēlējušās turpmāk šo atkāpi nepiemērot.</w:t>
                      </w:r>
                    </w:p>
                    <w:p>
                      <w:pPr>
                        <w:spacing w:after="120"/>
                        <w:jc w:val="both"/>
                        <w:rPr>
                          <w:rFonts w:ascii="Times New Roman" w:hAnsi="Times New Roman"/>
                          <w:sz w:val="18"/>
                          <w:szCs w:val="18"/>
                        </w:rPr>
                      </w:pPr>
                      <w:r>
                        <w:rPr>
                          <w:rFonts w:ascii="Times New Roman" w:hAnsi="Times New Roman"/>
                          <w:sz w:val="18"/>
                          <w:szCs w:val="18"/>
                        </w:rPr>
                        <w:t>* Tiesības piemērot šo atkāpi ir Bulgārijai, Čehijai, Igaunijai, Kiprai, Latvijai, Lietuvai, Maltai, Polijai, Rumānijai un Ungārijai. Malta un Latvija nolēma trešajā posmā to neizmantot.</w:t>
                      </w:r>
                    </w:p>
                    <w:p>
                      <w:pPr>
                        <w:spacing w:after="120"/>
                        <w:jc w:val="both"/>
                        <w:rPr>
                          <w:rFonts w:ascii="Times New Roman" w:hAnsi="Times New Roman"/>
                          <w:sz w:val="18"/>
                          <w:szCs w:val="18"/>
                        </w:rPr>
                      </w:pPr>
                      <w:r>
                        <w:rPr>
                          <w:rFonts w:ascii="Times New Roman" w:hAnsi="Times New Roman"/>
                          <w:sz w:val="18"/>
                          <w:szCs w:val="18"/>
                        </w:rPr>
                        <w:t>** Pamatnostādnes par atsevišķiem valsts atbalsta pasākumiem saistībā ar siltumnīcefekta gāzu emisiju kvotu tirdzniecības sistēmu pēc 2012. gada (OV C 158, 5.6.2012., 4. lpp.).</w:t>
                      </w:r>
                    </w:p>
                  </w:txbxContent>
                </v:textbox>
                <w10:anchorlock/>
              </v:shape>
            </w:pict>
          </mc:Fallback>
        </mc:AlternateContent>
      </w:r>
    </w:p>
    <w:p>
      <w:pPr>
        <w:spacing w:after="160" w:line="259" w:lineRule="auto"/>
        <w:contextualSpacing/>
        <w:jc w:val="both"/>
        <w:rPr>
          <w:rFonts w:ascii="Times New Roman" w:hAnsi="Times New Roman"/>
          <w:noProof/>
          <w:sz w:val="24"/>
          <w:szCs w:val="24"/>
        </w:rPr>
      </w:pPr>
      <w:r>
        <w:rPr>
          <w:rFonts w:ascii="Times New Roman" w:hAnsi="Times New Roman"/>
          <w:noProof/>
        </w:rPr>
        <w:t>Kā liecina ziņojumi, no 2009. līdz 2018. gadam investīciju atbalsta kopējā vērtība sasniedz aptuveni 12</w:t>
      </w:r>
      <w:r>
        <w:rPr>
          <w:rFonts w:ascii="Times New Roman" w:hAnsi="Times New Roman"/>
          <w:noProof/>
          <w:sz w:val="24"/>
          <w:szCs w:val="24"/>
        </w:rPr>
        <w:t xml:space="preserve">,4 miljardus EUR. Aptuveni 82 % no šīs summas paredzēti, lai atjauninātu un modernizētu infrastruktūru, savukārt pārējās investīcijas ir tīrajās tehnoloģijās vai piegādes diversifikācijā. </w:t>
      </w:r>
    </w:p>
    <w:p>
      <w:pPr>
        <w:spacing w:after="160" w:line="259" w:lineRule="auto"/>
        <w:contextualSpacing/>
        <w:jc w:val="both"/>
        <w:rPr>
          <w:rFonts w:ascii="Times New Roman" w:hAnsi="Times New Roman"/>
          <w:noProof/>
          <w:sz w:val="24"/>
          <w:szCs w:val="24"/>
        </w:rPr>
      </w:pPr>
    </w:p>
    <w:p>
      <w:pPr>
        <w:jc w:val="both"/>
        <w:rPr>
          <w:rFonts w:ascii="Times New Roman" w:hAnsi="Times New Roman"/>
          <w:noProof/>
          <w:sz w:val="24"/>
          <w:szCs w:val="24"/>
        </w:rPr>
      </w:pPr>
      <w:r>
        <w:rPr>
          <w:rFonts w:ascii="Times New Roman" w:hAnsi="Times New Roman"/>
          <w:noProof/>
          <w:sz w:val="24"/>
          <w:szCs w:val="24"/>
        </w:rPr>
        <w:t>Elektroenerģijas ražotājiem 2018. gadā bez maksas iedalīto kvotu skaits ir norādīts pielikuma 1. papildinājuma 1.1. tabulā, savukārt maksimālais kvotu skaits gadā ir norādīts 1. papildinājuma 1,2. tabulā.</w:t>
      </w:r>
    </w:p>
    <w:p>
      <w:pPr>
        <w:jc w:val="both"/>
        <w:rPr>
          <w:rFonts w:ascii="Times New Roman" w:hAnsi="Times New Roman"/>
          <w:noProof/>
          <w:sz w:val="24"/>
          <w:szCs w:val="24"/>
        </w:rPr>
      </w:pPr>
      <w:r>
        <w:rPr>
          <w:rFonts w:ascii="Times New Roman" w:hAnsi="Times New Roman"/>
          <w:noProof/>
          <w:sz w:val="24"/>
          <w:szCs w:val="24"/>
        </w:rPr>
        <w:t>Neiedalītās kvotas var vai nu izsolīt, vai — saskaņā ar pārskatītās ES ETS direktīvas noteikumiem — iedalīt 2021.–2030. gadā saskaņā ar 10.c pantu veiktajām investīcijām, kas atlasītas konkursa kārtībā. 2. attēlā ir uzrādīts, cik daudz kvotu iedalīts 2013.–2018. gadā.</w:t>
      </w:r>
    </w:p>
    <w:p>
      <w:pPr>
        <w:jc w:val="both"/>
        <w:rPr>
          <w:rFonts w:ascii="Times New Roman" w:hAnsi="Times New Roman"/>
          <w:noProof/>
          <w:sz w:val="24"/>
          <w:szCs w:val="24"/>
        </w:rPr>
      </w:pPr>
    </w:p>
    <w:p>
      <w:pPr>
        <w:jc w:val="both"/>
        <w:rPr>
          <w:rFonts w:ascii="Times New Roman" w:hAnsi="Times New Roman"/>
          <w:b/>
          <w:noProof/>
        </w:rPr>
      </w:pPr>
      <w:r>
        <w:rPr>
          <w:rFonts w:ascii="Times New Roman" w:hAnsi="Times New Roman"/>
          <w:b/>
          <w:noProof/>
          <w:sz w:val="24"/>
          <w:szCs w:val="24"/>
        </w:rPr>
        <w:t xml:space="preserve"> </w:t>
      </w:r>
      <w:r>
        <w:rPr>
          <w:rFonts w:ascii="Times New Roman" w:hAnsi="Times New Roman"/>
          <w:b/>
          <w:noProof/>
        </w:rPr>
        <w:t>2. attēls. Bez maksas iedalītās kvotas saskaņā ar 10.c pantu</w:t>
      </w:r>
    </w:p>
    <w:p>
      <w:pPr>
        <w:spacing w:after="160" w:line="259" w:lineRule="auto"/>
        <w:contextualSpacing/>
        <w:rPr>
          <w:rFonts w:ascii="Times New Roman" w:hAnsi="Times New Roman"/>
          <w:noProof/>
          <w:sz w:val="24"/>
          <w:szCs w:val="24"/>
        </w:rPr>
      </w:pPr>
      <w:r>
        <w:rPr>
          <w:rFonts w:ascii="Times New Roman" w:hAnsi="Times New Roman"/>
          <w:noProof/>
          <w:lang w:val="en-GB" w:eastAsia="en-GB"/>
        </w:rPr>
        <w:drawing>
          <wp:inline distT="0" distB="0" distL="0" distR="0">
            <wp:extent cx="5694218" cy="2910011"/>
            <wp:effectExtent l="0" t="0" r="190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2132" cy="2914056"/>
                    </a:xfrm>
                    <a:prstGeom prst="rect">
                      <a:avLst/>
                    </a:prstGeom>
                    <a:noFill/>
                  </pic:spPr>
                </pic:pic>
              </a:graphicData>
            </a:graphic>
          </wp:inline>
        </w:drawing>
      </w:r>
    </w:p>
    <w:p>
      <w:pPr>
        <w:jc w:val="both"/>
        <w:rPr>
          <w:rFonts w:ascii="Times New Roman" w:hAnsi="Times New Roman"/>
          <w:noProof/>
          <w:sz w:val="18"/>
          <w:szCs w:val="18"/>
        </w:rPr>
      </w:pPr>
      <w:r>
        <w:rPr>
          <w:rFonts w:ascii="Times New Roman" w:hAnsi="Times New Roman"/>
          <w:noProof/>
          <w:sz w:val="18"/>
          <w:szCs w:val="18"/>
        </w:rPr>
        <w:t>Avots: Klimata politikas ģenerāldirektorāts.</w:t>
      </w:r>
    </w:p>
    <w:p>
      <w:pPr>
        <w:jc w:val="both"/>
        <w:rPr>
          <w:rFonts w:ascii="Times New Roman" w:hAnsi="Times New Roman"/>
          <w:b/>
          <w:noProof/>
          <w:sz w:val="24"/>
          <w:szCs w:val="24"/>
        </w:rPr>
      </w:pPr>
      <w:r>
        <w:rPr>
          <w:rFonts w:ascii="Times New Roman" w:hAnsi="Times New Roman"/>
          <w:noProof/>
          <w:sz w:val="24"/>
          <w:szCs w:val="24"/>
        </w:rPr>
        <w:t xml:space="preserve">2018. gada decembrī Polija informēja Komisiju, ka tā plāno 2019. gadā izsolīt 55,8 miljonus no savām kvotām, kas netika iedalītas saskaņā ar 10.c panta atkāpi. 2019. gada maijā Polija atkal paziņoja Komisijai par savu nodomu pieskaitīt 49,52 miljonus kvotu, kas netika iedalītas saskaņā ar 10.c pantu, apjomam, kurš Polijai ir jāizsola 2020. gadā. </w:t>
      </w:r>
    </w:p>
    <w:p>
      <w:pPr>
        <w:jc w:val="both"/>
        <w:rPr>
          <w:rFonts w:ascii="Times New Roman" w:hAnsi="Times New Roman"/>
          <w:b/>
          <w:noProof/>
          <w:sz w:val="24"/>
          <w:szCs w:val="24"/>
        </w:rPr>
      </w:pPr>
      <w:r>
        <w:rPr>
          <w:rFonts w:ascii="Times New Roman" w:hAnsi="Times New Roman"/>
          <w:noProof/>
          <w:sz w:val="24"/>
          <w:szCs w:val="24"/>
        </w:rPr>
        <w:t xml:space="preserve">3. attēlā ir uzrādīts, cik daudz no 10.c pantā paredzētajām kvotām ir iedalītas, pievienotas izsolāmajam apjomam vai palikušas neizmantotas (pagaidām nav ne iedalītas, ne pievienotas izsolāmajam apjomam). </w:t>
      </w:r>
    </w:p>
    <w:p>
      <w:pPr>
        <w:jc w:val="both"/>
        <w:rPr>
          <w:rFonts w:ascii="Times New Roman" w:hAnsi="Times New Roman"/>
          <w:b/>
          <w:noProof/>
        </w:rPr>
      </w:pPr>
    </w:p>
    <w:p>
      <w:pPr>
        <w:jc w:val="both"/>
        <w:rPr>
          <w:rFonts w:ascii="Times New Roman" w:hAnsi="Times New Roman"/>
          <w:b/>
          <w:noProof/>
        </w:rPr>
      </w:pPr>
    </w:p>
    <w:p>
      <w:pPr>
        <w:jc w:val="both"/>
        <w:rPr>
          <w:rFonts w:ascii="Times New Roman" w:hAnsi="Times New Roman"/>
          <w:b/>
          <w:noProof/>
        </w:rPr>
      </w:pPr>
    </w:p>
    <w:p>
      <w:pPr>
        <w:jc w:val="both"/>
        <w:rPr>
          <w:rFonts w:ascii="Times New Roman" w:hAnsi="Times New Roman"/>
          <w:b/>
          <w:noProof/>
        </w:rPr>
      </w:pPr>
    </w:p>
    <w:p>
      <w:pPr>
        <w:jc w:val="both"/>
        <w:rPr>
          <w:rFonts w:ascii="Times New Roman" w:hAnsi="Times New Roman"/>
          <w:b/>
          <w:noProof/>
        </w:rPr>
      </w:pPr>
    </w:p>
    <w:p>
      <w:pPr>
        <w:jc w:val="both"/>
        <w:rPr>
          <w:rFonts w:ascii="Times New Roman" w:hAnsi="Times New Roman"/>
          <w:b/>
          <w:noProof/>
        </w:rPr>
      </w:pPr>
    </w:p>
    <w:p>
      <w:pPr>
        <w:jc w:val="both"/>
        <w:rPr>
          <w:rFonts w:ascii="Times New Roman" w:hAnsi="Times New Roman"/>
          <w:b/>
          <w:noProof/>
        </w:rPr>
      </w:pPr>
    </w:p>
    <w:p>
      <w:pPr>
        <w:jc w:val="both"/>
        <w:rPr>
          <w:rFonts w:ascii="Times New Roman" w:hAnsi="Times New Roman"/>
          <w:b/>
          <w:noProof/>
        </w:rPr>
      </w:pPr>
    </w:p>
    <w:p>
      <w:pPr>
        <w:jc w:val="both"/>
        <w:rPr>
          <w:rFonts w:ascii="Times New Roman" w:hAnsi="Times New Roman"/>
          <w:b/>
          <w:noProof/>
        </w:rPr>
      </w:pPr>
    </w:p>
    <w:p>
      <w:pPr>
        <w:jc w:val="both"/>
        <w:rPr>
          <w:rFonts w:ascii="Times New Roman" w:hAnsi="Times New Roman"/>
          <w:b/>
          <w:noProof/>
        </w:rPr>
      </w:pPr>
    </w:p>
    <w:p>
      <w:pPr>
        <w:jc w:val="both"/>
        <w:rPr>
          <w:rFonts w:ascii="Times New Roman" w:hAnsi="Times New Roman"/>
          <w:b/>
          <w:noProof/>
        </w:rPr>
      </w:pPr>
    </w:p>
    <w:p>
      <w:pPr>
        <w:jc w:val="both"/>
        <w:rPr>
          <w:rFonts w:ascii="Times New Roman" w:hAnsi="Times New Roman"/>
          <w:noProof/>
          <w:sz w:val="24"/>
          <w:szCs w:val="24"/>
        </w:rPr>
      </w:pPr>
      <w:r>
        <w:rPr>
          <w:rFonts w:ascii="Times New Roman" w:hAnsi="Times New Roman"/>
          <w:b/>
          <w:noProof/>
        </w:rPr>
        <w:t>3. attēls. Kvotu sadalījums (iedalītās, izsolītās un atlikušās neizmantotās kvotas)</w:t>
      </w:r>
      <w:r>
        <w:rPr>
          <w:rStyle w:val="FootnoteReference"/>
          <w:rFonts w:ascii="Times New Roman" w:hAnsi="Times New Roman"/>
          <w:b/>
          <w:noProof/>
        </w:rPr>
        <w:footnoteReference w:id="41"/>
      </w:r>
    </w:p>
    <w:p>
      <w:pPr>
        <w:keepNext/>
        <w:spacing w:after="0" w:line="240" w:lineRule="auto"/>
        <w:rPr>
          <w:rFonts w:ascii="Times New Roman" w:hAnsi="Times New Roman"/>
          <w:noProof/>
          <w:sz w:val="24"/>
          <w:szCs w:val="24"/>
        </w:rPr>
      </w:pPr>
      <w:r>
        <w:rPr>
          <w:rFonts w:ascii="Times New Roman" w:hAnsi="Times New Roman"/>
          <w:noProof/>
          <w:lang w:val="en-GB" w:eastAsia="en-GB"/>
        </w:rPr>
        <w:drawing>
          <wp:inline distT="0" distB="0" distL="0" distR="0">
            <wp:extent cx="5583382" cy="284822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7766" cy="2850457"/>
                    </a:xfrm>
                    <a:prstGeom prst="rect">
                      <a:avLst/>
                    </a:prstGeom>
                    <a:noFill/>
                  </pic:spPr>
                </pic:pic>
              </a:graphicData>
            </a:graphic>
          </wp:inline>
        </w:drawing>
      </w:r>
    </w:p>
    <w:p>
      <w:pPr>
        <w:keepNext/>
        <w:spacing w:after="0" w:line="240" w:lineRule="auto"/>
        <w:rPr>
          <w:rFonts w:ascii="Times New Roman" w:hAnsi="Times New Roman"/>
          <w:noProof/>
          <w:sz w:val="18"/>
          <w:szCs w:val="18"/>
        </w:rPr>
      </w:pPr>
      <w:r>
        <w:rPr>
          <w:rFonts w:ascii="Times New Roman" w:hAnsi="Times New Roman"/>
          <w:noProof/>
          <w:sz w:val="18"/>
          <w:szCs w:val="18"/>
        </w:rPr>
        <w:t>Avots: Klimata politikas ģenerāldirektorāts.</w:t>
      </w:r>
    </w:p>
    <w:tbl>
      <w:tblPr>
        <w:tblStyle w:val="TableGrid5"/>
        <w:tblpPr w:leftFromText="180" w:rightFromText="180" w:vertAnchor="text" w:horzAnchor="page" w:tblpX="1794" w:tblpY="142"/>
        <w:tblW w:w="1669" w:type="pct"/>
        <w:tblLook w:val="04A0" w:firstRow="1" w:lastRow="0" w:firstColumn="1" w:lastColumn="0" w:noHBand="0" w:noVBand="1"/>
      </w:tblPr>
      <w:tblGrid>
        <w:gridCol w:w="537"/>
        <w:gridCol w:w="2548"/>
      </w:tblGrid>
      <w:tr>
        <w:trPr>
          <w:trHeight w:val="461"/>
        </w:trPr>
        <w:tc>
          <w:tcPr>
            <w:tcW w:w="870" w:type="pct"/>
            <w:shd w:val="clear" w:color="auto" w:fill="4F81BD"/>
          </w:tcPr>
          <w:p>
            <w:pPr>
              <w:rPr>
                <w:rFonts w:ascii="Times New Roman" w:hAnsi="Times New Roman"/>
                <w:noProof/>
              </w:rPr>
            </w:pPr>
          </w:p>
        </w:tc>
        <w:tc>
          <w:tcPr>
            <w:tcW w:w="4130" w:type="pct"/>
            <w:vAlign w:val="center"/>
          </w:tcPr>
          <w:p>
            <w:pPr>
              <w:rPr>
                <w:rFonts w:ascii="Times New Roman" w:hAnsi="Times New Roman"/>
                <w:noProof/>
                <w:sz w:val="18"/>
                <w:szCs w:val="18"/>
              </w:rPr>
            </w:pPr>
            <w:r>
              <w:rPr>
                <w:rFonts w:ascii="Times New Roman" w:hAnsi="Times New Roman"/>
                <w:noProof/>
                <w:sz w:val="18"/>
                <w:szCs w:val="18"/>
              </w:rPr>
              <w:t>Iedalītās kvotas</w:t>
            </w:r>
          </w:p>
        </w:tc>
      </w:tr>
      <w:tr>
        <w:trPr>
          <w:trHeight w:val="461"/>
        </w:trPr>
        <w:tc>
          <w:tcPr>
            <w:tcW w:w="870" w:type="pct"/>
            <w:shd w:val="clear" w:color="auto" w:fill="C00000"/>
          </w:tcPr>
          <w:p>
            <w:pPr>
              <w:jc w:val="both"/>
              <w:rPr>
                <w:rFonts w:ascii="Times New Roman" w:hAnsi="Times New Roman"/>
                <w:noProof/>
              </w:rPr>
            </w:pPr>
          </w:p>
        </w:tc>
        <w:tc>
          <w:tcPr>
            <w:tcW w:w="4130" w:type="pct"/>
            <w:vAlign w:val="center"/>
          </w:tcPr>
          <w:p>
            <w:pPr>
              <w:rPr>
                <w:rFonts w:ascii="Times New Roman" w:hAnsi="Times New Roman"/>
                <w:noProof/>
                <w:sz w:val="18"/>
                <w:szCs w:val="18"/>
              </w:rPr>
            </w:pPr>
            <w:r>
              <w:rPr>
                <w:rFonts w:ascii="Times New Roman" w:hAnsi="Times New Roman"/>
                <w:noProof/>
                <w:sz w:val="18"/>
                <w:szCs w:val="18"/>
              </w:rPr>
              <w:t>Izsolītās kvotas</w:t>
            </w:r>
          </w:p>
        </w:tc>
      </w:tr>
      <w:tr>
        <w:trPr>
          <w:trHeight w:val="461"/>
        </w:trPr>
        <w:tc>
          <w:tcPr>
            <w:tcW w:w="870" w:type="pct"/>
            <w:shd w:val="clear" w:color="auto" w:fill="9BBB59"/>
          </w:tcPr>
          <w:p>
            <w:pPr>
              <w:rPr>
                <w:rFonts w:ascii="Times New Roman" w:hAnsi="Times New Roman"/>
                <w:noProof/>
              </w:rPr>
            </w:pPr>
          </w:p>
        </w:tc>
        <w:tc>
          <w:tcPr>
            <w:tcW w:w="4130" w:type="pct"/>
            <w:vAlign w:val="center"/>
          </w:tcPr>
          <w:p>
            <w:pPr>
              <w:rPr>
                <w:rFonts w:ascii="Times New Roman" w:hAnsi="Times New Roman"/>
                <w:noProof/>
                <w:sz w:val="18"/>
                <w:szCs w:val="18"/>
              </w:rPr>
            </w:pPr>
            <w:r>
              <w:rPr>
                <w:rFonts w:ascii="Times New Roman" w:hAnsi="Times New Roman"/>
                <w:noProof/>
                <w:sz w:val="18"/>
                <w:szCs w:val="18"/>
              </w:rPr>
              <w:t>Atlikušās neizmantotās kvotas</w:t>
            </w:r>
          </w:p>
        </w:tc>
      </w:tr>
    </w:tbl>
    <w:p>
      <w:pPr>
        <w:keepNext/>
        <w:spacing w:line="240" w:lineRule="auto"/>
        <w:jc w:val="both"/>
        <w:rPr>
          <w:rFonts w:ascii="Times New Roman" w:hAnsi="Times New Roman"/>
          <w:noProof/>
          <w:sz w:val="24"/>
          <w:szCs w:val="24"/>
        </w:rPr>
      </w:pPr>
    </w:p>
    <w:p>
      <w:pPr>
        <w:keepNext/>
        <w:spacing w:line="240" w:lineRule="auto"/>
        <w:jc w:val="both"/>
        <w:rPr>
          <w:rFonts w:ascii="Times New Roman" w:hAnsi="Times New Roman"/>
          <w:noProof/>
          <w:sz w:val="24"/>
          <w:szCs w:val="24"/>
        </w:rPr>
      </w:pPr>
    </w:p>
    <w:p>
      <w:pPr>
        <w:keepNext/>
        <w:spacing w:line="240" w:lineRule="auto"/>
        <w:jc w:val="both"/>
        <w:rPr>
          <w:rFonts w:ascii="Times New Roman" w:hAnsi="Times New Roman"/>
          <w:noProof/>
          <w:sz w:val="24"/>
          <w:szCs w:val="24"/>
        </w:rPr>
      </w:pPr>
    </w:p>
    <w:p>
      <w:pPr>
        <w:jc w:val="both"/>
        <w:rPr>
          <w:rFonts w:ascii="Times New Roman" w:hAnsi="Times New Roman"/>
          <w:noProof/>
          <w:sz w:val="24"/>
          <w:szCs w:val="24"/>
        </w:rPr>
      </w:pPr>
    </w:p>
    <w:p>
      <w:pPr>
        <w:jc w:val="both"/>
        <w:rPr>
          <w:rFonts w:ascii="Times New Roman" w:hAnsi="Times New Roman"/>
          <w:noProof/>
          <w:sz w:val="24"/>
          <w:szCs w:val="24"/>
        </w:rPr>
      </w:pPr>
      <w:r>
        <w:rPr>
          <w:rFonts w:ascii="Times New Roman" w:hAnsi="Times New Roman"/>
          <w:noProof/>
          <w:sz w:val="24"/>
          <w:szCs w:val="24"/>
        </w:rPr>
        <w:t xml:space="preserve">6. tabulā ir uzrādīts to saskaņā ar 10.c pantu iedalīto kvotu skaits, kas izsolītas 2013.–2018. gadā, un tas, cik daudz kvotu netika izmantotas. </w:t>
      </w:r>
    </w:p>
    <w:p>
      <w:pPr>
        <w:keepNext/>
        <w:rPr>
          <w:rFonts w:ascii="Times New Roman" w:hAnsi="Times New Roman"/>
          <w:b/>
          <w:bCs/>
          <w:noProof/>
        </w:rPr>
      </w:pPr>
      <w:r>
        <w:rPr>
          <w:rFonts w:ascii="Times New Roman" w:hAnsi="Times New Roman"/>
          <w:b/>
          <w:bCs/>
          <w:noProof/>
        </w:rPr>
        <w:t>6. tabula. Rīcība ar neizmantotajām 10.c pantā paredzētajām kvotām 2013.–2018. gadā</w:t>
      </w:r>
      <w:r>
        <w:rPr>
          <w:rStyle w:val="FootnoteReference"/>
          <w:rFonts w:ascii="Times New Roman" w:hAnsi="Times New Roman"/>
          <w:b/>
          <w:bCs/>
          <w:noProof/>
        </w:rPr>
        <w:footnoteReference w:id="42"/>
      </w:r>
    </w:p>
    <w:tbl>
      <w:tblPr>
        <w:tblW w:w="885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805"/>
        <w:gridCol w:w="3561"/>
        <w:gridCol w:w="3488"/>
      </w:tblGrid>
      <w:tr>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Dalībvalsts</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 xml:space="preserve">Izsolīto 10.c pantā paredzēto </w:t>
            </w:r>
          </w:p>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kvotu skaits (miljonos)</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Atlikušo neizmantoto kvotu skaits (milj.)</w:t>
            </w:r>
          </w:p>
        </w:tc>
      </w:tr>
      <w:tr>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BG</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9,5</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0,8</w:t>
            </w:r>
          </w:p>
        </w:tc>
      </w:tr>
      <w:tr>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CY</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0,0</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0,0</w:t>
            </w:r>
          </w:p>
        </w:tc>
      </w:tr>
      <w:tr>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CZ</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0,3</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0,1</w:t>
            </w:r>
          </w:p>
        </w:tc>
      </w:tr>
      <w:tr>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EE</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2,1</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0,0</w:t>
            </w:r>
          </w:p>
        </w:tc>
      </w:tr>
      <w:tr>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LT</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1,1</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0,1</w:t>
            </w:r>
          </w:p>
        </w:tc>
      </w:tr>
      <w:tr>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PL</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55,8</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68,9</w:t>
            </w:r>
          </w:p>
        </w:tc>
      </w:tr>
      <w:tr>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RO</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15,4</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2,8</w:t>
            </w:r>
          </w:p>
        </w:tc>
      </w:tr>
      <w:tr>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HU</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0</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0,9</w:t>
            </w:r>
          </w:p>
        </w:tc>
      </w:tr>
      <w:tr>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Kopā</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84,2</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bCs/>
                <w:noProof/>
                <w:sz w:val="20"/>
                <w:szCs w:val="20"/>
              </w:rPr>
              <w:t>73,5</w:t>
            </w:r>
          </w:p>
        </w:tc>
      </w:tr>
    </w:tbl>
    <w:p>
      <w:pPr>
        <w:jc w:val="both"/>
        <w:rPr>
          <w:rFonts w:ascii="Times New Roman" w:hAnsi="Times New Roman"/>
          <w:noProof/>
          <w:sz w:val="18"/>
          <w:szCs w:val="18"/>
        </w:rPr>
      </w:pPr>
      <w:r>
        <w:rPr>
          <w:rFonts w:ascii="Times New Roman" w:hAnsi="Times New Roman"/>
          <w:noProof/>
          <w:sz w:val="18"/>
          <w:szCs w:val="18"/>
        </w:rPr>
        <w:t xml:space="preserve"> Avots: Klimata politikas ģenerāldirektorāts.</w:t>
      </w:r>
    </w:p>
    <w:p>
      <w:pPr>
        <w:jc w:val="both"/>
        <w:rPr>
          <w:rFonts w:ascii="Times New Roman" w:hAnsi="Times New Roman"/>
          <w:noProof/>
          <w:sz w:val="24"/>
          <w:szCs w:val="24"/>
        </w:rPr>
      </w:pPr>
      <w:r>
        <w:rPr>
          <w:rFonts w:ascii="Times New Roman" w:hAnsi="Times New Roman"/>
          <w:noProof/>
          <w:sz w:val="24"/>
          <w:szCs w:val="24"/>
        </w:rPr>
        <w:t>To neiedalīto kvotu skaits, kuras dalībvalstis ir izsolījušas (vai kuras ir plānots izsolīt) saskaņā ar 10.c panta atkāpi katrā no trešā posma gadiem, ir norādīts pielikuma 1. papildinājuma 1.3. tabulā.</w:t>
      </w:r>
    </w:p>
    <w:p>
      <w:pPr>
        <w:pStyle w:val="Heading3"/>
        <w:spacing w:before="0" w:after="200"/>
        <w:ind w:left="720"/>
        <w:rPr>
          <w:noProof/>
        </w:rPr>
      </w:pPr>
      <w:bookmarkStart w:id="16" w:name="_Toc24103533"/>
      <w:r>
        <w:rPr>
          <w:noProof/>
        </w:rPr>
        <w:t>3.1.3. Starptautiskie kredīti</w:t>
      </w:r>
      <w:bookmarkEnd w:id="16"/>
    </w:p>
    <w:p>
      <w:pPr>
        <w:jc w:val="both"/>
        <w:rPr>
          <w:rFonts w:ascii="Times New Roman" w:hAnsi="Times New Roman"/>
          <w:noProof/>
          <w:sz w:val="24"/>
          <w:szCs w:val="24"/>
        </w:rPr>
      </w:pPr>
      <w:r>
        <w:rPr>
          <w:rFonts w:ascii="Times New Roman" w:hAnsi="Times New Roman"/>
          <w:noProof/>
          <w:lang w:val="en-GB" w:eastAsia="en-GB"/>
        </w:rPr>
        <mc:AlternateContent>
          <mc:Choice Requires="wps">
            <w:drawing>
              <wp:inline distT="0" distB="0" distL="0" distR="0">
                <wp:extent cx="5742432" cy="2493818"/>
                <wp:effectExtent l="0" t="0" r="10795" b="2095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432" cy="2493818"/>
                        </a:xfrm>
                        <a:prstGeom prst="rect">
                          <a:avLst/>
                        </a:prstGeom>
                        <a:solidFill>
                          <a:schemeClr val="bg1">
                            <a:lumMod val="85000"/>
                          </a:schemeClr>
                        </a:solidFill>
                        <a:ln w="12700">
                          <a:solidFill>
                            <a:srgbClr val="000000"/>
                          </a:solidFill>
                          <a:miter lim="800000"/>
                          <a:headEnd/>
                          <a:tailEnd/>
                        </a:ln>
                      </wps:spPr>
                      <wps:txbx>
                        <w:txbxContent>
                          <w:p>
                            <w:pPr>
                              <w:jc w:val="both"/>
                              <w:rPr>
                                <w:rFonts w:ascii="Times New Roman" w:hAnsi="Times New Roman"/>
                                <w:sz w:val="24"/>
                                <w:szCs w:val="24"/>
                              </w:rPr>
                            </w:pPr>
                            <w:r>
                              <w:rPr>
                                <w:rFonts w:ascii="Times New Roman" w:hAnsi="Times New Roman"/>
                                <w:sz w:val="24"/>
                                <w:szCs w:val="24"/>
                              </w:rPr>
                              <w:t>ES ETS dalībnieki līdz 2020. gadam var izmantot starptautiskos kredītus no Kioto protokola tīras attīstības mehānisma (</w:t>
                            </w:r>
                            <w:r>
                              <w:rPr>
                                <w:rFonts w:ascii="Times New Roman" w:hAnsi="Times New Roman"/>
                                <w:i/>
                                <w:sz w:val="24"/>
                                <w:szCs w:val="24"/>
                              </w:rPr>
                              <w:t>CDM</w:t>
                            </w:r>
                            <w:r>
                              <w:rPr>
                                <w:rFonts w:ascii="Times New Roman" w:hAnsi="Times New Roman"/>
                                <w:sz w:val="24"/>
                                <w:szCs w:val="24"/>
                              </w:rPr>
                              <w:t>) un kopīgas īstenošanas (</w:t>
                            </w:r>
                            <w:r>
                              <w:rPr>
                                <w:rFonts w:ascii="Times New Roman" w:hAnsi="Times New Roman"/>
                                <w:i/>
                                <w:sz w:val="24"/>
                                <w:szCs w:val="24"/>
                              </w:rPr>
                              <w:t>JI</w:t>
                            </w:r>
                            <w:r>
                              <w:rPr>
                                <w:rFonts w:ascii="Times New Roman" w:hAnsi="Times New Roman"/>
                                <w:sz w:val="24"/>
                                <w:szCs w:val="24"/>
                              </w:rPr>
                              <w:t>), lai izpildītu daļu no savām ES ETS saistībām</w:t>
                            </w:r>
                            <w:r>
                              <w:rPr>
                                <w:rStyle w:val="FootnoteReference"/>
                                <w:rFonts w:ascii="Times New Roman" w:hAnsi="Times New Roman"/>
                                <w:sz w:val="24"/>
                                <w:szCs w:val="24"/>
                              </w:rPr>
                              <w:t>*</w:t>
                            </w:r>
                            <w:r>
                              <w:rPr>
                                <w:rFonts w:ascii="Times New Roman" w:hAnsi="Times New Roman"/>
                                <w:sz w:val="24"/>
                                <w:szCs w:val="24"/>
                              </w:rPr>
                              <w:t>, piemērojot kvalitatīvus un kvantitatīvus ierobežojumus. Šie kredīti ir finanšu instrumenti — katrs no tiem ir līdzvērtīgs tonnai CO</w:t>
                            </w:r>
                            <w:r>
                              <w:rPr>
                                <w:rFonts w:ascii="Times New Roman" w:hAnsi="Times New Roman"/>
                                <w:sz w:val="24"/>
                                <w:szCs w:val="24"/>
                                <w:vertAlign w:val="subscript"/>
                              </w:rPr>
                              <w:t>2</w:t>
                            </w:r>
                            <w:r>
                              <w:rPr>
                                <w:rFonts w:ascii="Times New Roman" w:hAnsi="Times New Roman"/>
                                <w:sz w:val="24"/>
                                <w:szCs w:val="24"/>
                              </w:rPr>
                              <w:t>, kas piesaistīta no atmosfēras vai kas netiek emitēta emisiju samazināšanas projekta rezultātā. Trešajā posmā kredītus vairs nenodod tieši — tos var apmainīt pret kvotām jebkurā laikā kalendārajā gadā.</w:t>
                            </w:r>
                            <w:r>
                              <w:rPr>
                                <w:sz w:val="24"/>
                                <w:szCs w:val="24"/>
                              </w:rPr>
                              <w:t xml:space="preserve"> </w:t>
                            </w:r>
                          </w:p>
                          <w:p>
                            <w:pPr>
                              <w:jc w:val="both"/>
                              <w:rPr>
                                <w:rFonts w:ascii="Times New Roman" w:hAnsi="Times New Roman"/>
                                <w:sz w:val="24"/>
                                <w:szCs w:val="24"/>
                              </w:rPr>
                            </w:pPr>
                            <w:r>
                              <w:rPr>
                                <w:rFonts w:ascii="Times New Roman" w:hAnsi="Times New Roman"/>
                                <w:sz w:val="24"/>
                                <w:szCs w:val="24"/>
                              </w:rPr>
                              <w:t>Saskaņā ar pārskatītās ES ETS direktīvas noteikumiem nākamajā tirdzniecības periodā starptautiskos kredītus vairs neizmantos ES ETS atbilstības vajadzībām.</w:t>
                            </w:r>
                          </w:p>
                          <w:p>
                            <w:pPr>
                              <w:jc w:val="both"/>
                              <w:rPr>
                                <w:rFonts w:ascii="Times New Roman" w:hAnsi="Times New Roman"/>
                                <w:sz w:val="18"/>
                                <w:szCs w:val="18"/>
                              </w:rPr>
                            </w:pPr>
                            <w:r>
                              <w:rPr>
                                <w:rFonts w:ascii="Times New Roman" w:hAnsi="Times New Roman"/>
                                <w:sz w:val="18"/>
                                <w:szCs w:val="18"/>
                              </w:rPr>
                              <w:t xml:space="preserve">* </w:t>
                            </w:r>
                            <w:r>
                              <w:rPr>
                                <w:rFonts w:ascii="Times New Roman" w:hAnsi="Times New Roman"/>
                                <w:i/>
                                <w:sz w:val="18"/>
                                <w:szCs w:val="18"/>
                              </w:rPr>
                              <w:t>CDM</w:t>
                            </w:r>
                            <w:r>
                              <w:rPr>
                                <w:rFonts w:ascii="Times New Roman" w:hAnsi="Times New Roman"/>
                                <w:sz w:val="18"/>
                                <w:szCs w:val="18"/>
                              </w:rPr>
                              <w:t xml:space="preserve"> un </w:t>
                            </w:r>
                            <w:r>
                              <w:rPr>
                                <w:rFonts w:ascii="Times New Roman" w:hAnsi="Times New Roman"/>
                                <w:i/>
                                <w:sz w:val="18"/>
                                <w:szCs w:val="18"/>
                              </w:rPr>
                              <w:t>JI</w:t>
                            </w:r>
                            <w:r>
                              <w:rPr>
                                <w:rFonts w:ascii="Times New Roman" w:hAnsi="Times New Roman"/>
                                <w:sz w:val="18"/>
                                <w:szCs w:val="18"/>
                              </w:rPr>
                              <w:t xml:space="preserve"> projekti rada Kioto oglekļa kredītus — attiecīgi sertificētas emisijas samazināšanas vienības (</w:t>
                            </w:r>
                            <w:r>
                              <w:rPr>
                                <w:rFonts w:ascii="Times New Roman" w:hAnsi="Times New Roman"/>
                                <w:i/>
                                <w:sz w:val="18"/>
                                <w:szCs w:val="18"/>
                              </w:rPr>
                              <w:t>CER</w:t>
                            </w:r>
                            <w:r>
                              <w:rPr>
                                <w:rFonts w:ascii="Times New Roman" w:hAnsi="Times New Roman"/>
                                <w:sz w:val="18"/>
                                <w:szCs w:val="18"/>
                              </w:rPr>
                              <w:t>) un emisijas samazināšanas vienības (</w:t>
                            </w:r>
                            <w:r>
                              <w:rPr>
                                <w:rFonts w:ascii="Times New Roman" w:hAnsi="Times New Roman"/>
                                <w:i/>
                                <w:sz w:val="18"/>
                                <w:szCs w:val="18"/>
                              </w:rPr>
                              <w:t>ERU</w:t>
                            </w:r>
                            <w:r>
                              <w:rPr>
                                <w:rFonts w:ascii="Times New Roman" w:hAnsi="Times New Roman"/>
                                <w:sz w:val="18"/>
                                <w:szCs w:val="18"/>
                              </w:rPr>
                              <w:t xml:space="preserve">). </w:t>
                            </w:r>
                          </w:p>
                        </w:txbxContent>
                      </wps:txbx>
                      <wps:bodyPr rot="0" vert="horz" wrap="square" lIns="91440" tIns="45720" rIns="91440" bIns="45720" anchor="t" anchorCtr="0">
                        <a:noAutofit/>
                      </wps:bodyPr>
                    </wps:wsp>
                  </a:graphicData>
                </a:graphic>
              </wp:inline>
            </w:drawing>
          </mc:Choice>
          <mc:Fallback>
            <w:pict>
              <v:shape id="_x0000_s1035" type="#_x0000_t202" style="width:452.15pt;height:19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" fillcolor="#d8d8d8 [2732]" strokeweight="1pt">
                <v:textbox>
                  <w:txbxContent>
                    <w:p>
                      <w:pPr>
                        <w:jc w:val="both"/>
                        <w:rPr>
                          <w:rFonts w:ascii="Times New Roman" w:hAnsi="Times New Roman"/>
                          <w:sz w:val="24"/>
                          <w:szCs w:val="24"/>
                        </w:rPr>
                      </w:pPr>
                      <w:r>
                        <w:rPr>
                          <w:rFonts w:ascii="Times New Roman" w:hAnsi="Times New Roman"/>
                          <w:sz w:val="24"/>
                          <w:szCs w:val="24"/>
                        </w:rPr>
                        <w:t>ES ETS dalībnieki līdz 2020. gadam var izmantot starptautiskos kredītus no Kioto protokola tīras attīstības mehānisma (</w:t>
                      </w:r>
                      <w:r>
                        <w:rPr>
                          <w:rFonts w:ascii="Times New Roman" w:hAnsi="Times New Roman"/>
                          <w:i/>
                          <w:sz w:val="24"/>
                          <w:szCs w:val="24"/>
                        </w:rPr>
                        <w:t>CDM</w:t>
                      </w:r>
                      <w:r>
                        <w:rPr>
                          <w:rFonts w:ascii="Times New Roman" w:hAnsi="Times New Roman"/>
                          <w:sz w:val="24"/>
                          <w:szCs w:val="24"/>
                        </w:rPr>
                        <w:t>) un kopīgas īstenošanas (</w:t>
                      </w:r>
                      <w:r>
                        <w:rPr>
                          <w:rFonts w:ascii="Times New Roman" w:hAnsi="Times New Roman"/>
                          <w:i/>
                          <w:sz w:val="24"/>
                          <w:szCs w:val="24"/>
                        </w:rPr>
                        <w:t>JI</w:t>
                      </w:r>
                      <w:r>
                        <w:rPr>
                          <w:rFonts w:ascii="Times New Roman" w:hAnsi="Times New Roman"/>
                          <w:sz w:val="24"/>
                          <w:szCs w:val="24"/>
                        </w:rPr>
                        <w:t>), lai izpildītu daļu no savām ES ETS saistībām</w:t>
                      </w:r>
                      <w:r>
                        <w:rPr>
                          <w:rStyle w:val="FootnoteReference"/>
                          <w:rFonts w:ascii="Times New Roman" w:hAnsi="Times New Roman"/>
                          <w:sz w:val="24"/>
                          <w:szCs w:val="24"/>
                        </w:rPr>
                        <w:t>*</w:t>
                      </w:r>
                      <w:r>
                        <w:rPr>
                          <w:rFonts w:ascii="Times New Roman" w:hAnsi="Times New Roman"/>
                          <w:sz w:val="24"/>
                          <w:szCs w:val="24"/>
                        </w:rPr>
                        <w:t>, piemērojot kvalitatīvus un kvantitatīvus ierobežojumus. Šie kredīti ir finanšu instrumenti — katrs no tiem ir līdzvērtīgs tonnai CO</w:t>
                      </w:r>
                      <w:r>
                        <w:rPr>
                          <w:rFonts w:ascii="Times New Roman" w:hAnsi="Times New Roman"/>
                          <w:sz w:val="24"/>
                          <w:szCs w:val="24"/>
                          <w:vertAlign w:val="subscript"/>
                        </w:rPr>
                        <w:t>2</w:t>
                      </w:r>
                      <w:r>
                        <w:rPr>
                          <w:rFonts w:ascii="Times New Roman" w:hAnsi="Times New Roman"/>
                          <w:sz w:val="24"/>
                          <w:szCs w:val="24"/>
                        </w:rPr>
                        <w:t>, kas piesaistīta no atmosfēras vai kas netiek emitēta emisiju samazināšanas projekta rezultātā. Trešajā posmā kredītus vairs nenodod tieši — tos var apmainīt pret kvotām jebkurā laikā kalendārajā gadā.</w:t>
                      </w:r>
                      <w:r>
                        <w:rPr>
                          <w:sz w:val="24"/>
                          <w:szCs w:val="24"/>
                        </w:rPr>
                        <w:t xml:space="preserve"> </w:t>
                      </w:r>
                    </w:p>
                    <w:p>
                      <w:pPr>
                        <w:jc w:val="both"/>
                        <w:rPr>
                          <w:rFonts w:ascii="Times New Roman" w:hAnsi="Times New Roman"/>
                          <w:sz w:val="24"/>
                          <w:szCs w:val="24"/>
                        </w:rPr>
                      </w:pPr>
                      <w:r>
                        <w:rPr>
                          <w:rFonts w:ascii="Times New Roman" w:hAnsi="Times New Roman"/>
                          <w:sz w:val="24"/>
                          <w:szCs w:val="24"/>
                        </w:rPr>
                        <w:t>Saskaņā ar pārskatītās ES ETS direktīvas noteikumiem nākamajā tirdzniecības periodā starptautiskos kredītus vairs neizmantos ES ETS atbilstības vajadzībām.</w:t>
                      </w:r>
                    </w:p>
                    <w:p>
                      <w:pPr>
                        <w:jc w:val="both"/>
                        <w:rPr>
                          <w:rFonts w:ascii="Times New Roman" w:hAnsi="Times New Roman"/>
                          <w:sz w:val="18"/>
                          <w:szCs w:val="18"/>
                        </w:rPr>
                      </w:pPr>
                      <w:r>
                        <w:rPr>
                          <w:rFonts w:ascii="Times New Roman" w:hAnsi="Times New Roman"/>
                          <w:sz w:val="18"/>
                          <w:szCs w:val="18"/>
                        </w:rPr>
                        <w:t xml:space="preserve">* </w:t>
                      </w:r>
                      <w:r>
                        <w:rPr>
                          <w:rFonts w:ascii="Times New Roman" w:hAnsi="Times New Roman"/>
                          <w:i/>
                          <w:sz w:val="18"/>
                          <w:szCs w:val="18"/>
                        </w:rPr>
                        <w:t>CDM</w:t>
                      </w:r>
                      <w:r>
                        <w:rPr>
                          <w:rFonts w:ascii="Times New Roman" w:hAnsi="Times New Roman"/>
                          <w:sz w:val="18"/>
                          <w:szCs w:val="18"/>
                        </w:rPr>
                        <w:t xml:space="preserve"> un </w:t>
                      </w:r>
                      <w:r>
                        <w:rPr>
                          <w:rFonts w:ascii="Times New Roman" w:hAnsi="Times New Roman"/>
                          <w:i/>
                          <w:sz w:val="18"/>
                          <w:szCs w:val="18"/>
                        </w:rPr>
                        <w:t>JI</w:t>
                      </w:r>
                      <w:r>
                        <w:rPr>
                          <w:rFonts w:ascii="Times New Roman" w:hAnsi="Times New Roman"/>
                          <w:sz w:val="18"/>
                          <w:szCs w:val="18"/>
                        </w:rPr>
                        <w:t xml:space="preserve"> projekti rada Kioto oglekļa kredītus — attiecīgi sertificētas emisijas samazināšanas vienības (</w:t>
                      </w:r>
                      <w:r>
                        <w:rPr>
                          <w:rFonts w:ascii="Times New Roman" w:hAnsi="Times New Roman"/>
                          <w:i/>
                          <w:sz w:val="18"/>
                          <w:szCs w:val="18"/>
                        </w:rPr>
                        <w:t>CER</w:t>
                      </w:r>
                      <w:r>
                        <w:rPr>
                          <w:rFonts w:ascii="Times New Roman" w:hAnsi="Times New Roman"/>
                          <w:sz w:val="18"/>
                          <w:szCs w:val="18"/>
                        </w:rPr>
                        <w:t>) un emisijas samazināšanas vienības (</w:t>
                      </w:r>
                      <w:r>
                        <w:rPr>
                          <w:rFonts w:ascii="Times New Roman" w:hAnsi="Times New Roman"/>
                          <w:i/>
                          <w:sz w:val="18"/>
                          <w:szCs w:val="18"/>
                        </w:rPr>
                        <w:t>ERU</w:t>
                      </w:r>
                      <w:r>
                        <w:rPr>
                          <w:rFonts w:ascii="Times New Roman" w:hAnsi="Times New Roman"/>
                          <w:sz w:val="18"/>
                          <w:szCs w:val="18"/>
                        </w:rPr>
                        <w:t xml:space="preserve">). </w:t>
                      </w:r>
                    </w:p>
                  </w:txbxContent>
                </v:textbox>
                <w10:anchorlock/>
              </v:shape>
            </w:pict>
          </mc:Fallback>
        </mc:AlternateContent>
      </w:r>
    </w:p>
    <w:p>
      <w:pPr>
        <w:jc w:val="both"/>
        <w:rPr>
          <w:rFonts w:ascii="Times New Roman" w:hAnsi="Times New Roman"/>
          <w:noProof/>
          <w:sz w:val="24"/>
          <w:szCs w:val="24"/>
        </w:rPr>
      </w:pPr>
      <w:r>
        <w:rPr>
          <w:rFonts w:ascii="Times New Roman" w:hAnsi="Times New Roman"/>
          <w:noProof/>
          <w:sz w:val="24"/>
          <w:szCs w:val="24"/>
        </w:rPr>
        <w:t>Kaut arī tas, cik tieši starptautisko kredītu izmantos otrajā un trešajā posmā (2008–2020), būs daļēji atkarīgs no verificēto emisiju daudzuma nākotnē, tirgus analītiķi lēš, ka tie būs aptuveni 1,6 miljardi kredītu. Līdz 2019. gada jūnija beigām izmantoto vai apmainīto starptautisko kredītu kopējais skaits bija aptuveni 1,51 miljards, un tas ir vairāk nekā 90 % no aplēstā maksimāli atļautā daudzuma</w:t>
      </w:r>
      <w:r>
        <w:rPr>
          <w:rFonts w:ascii="Times New Roman" w:hAnsi="Times New Roman"/>
          <w:noProof/>
        </w:rPr>
        <w:t>.</w:t>
      </w:r>
    </w:p>
    <w:p>
      <w:pPr>
        <w:spacing w:after="0"/>
        <w:jc w:val="both"/>
        <w:rPr>
          <w:rFonts w:ascii="Times New Roman" w:hAnsi="Times New Roman"/>
          <w:noProof/>
          <w:sz w:val="24"/>
          <w:szCs w:val="24"/>
        </w:rPr>
      </w:pPr>
      <w:r>
        <w:rPr>
          <w:rFonts w:ascii="Times New Roman" w:hAnsi="Times New Roman"/>
          <w:noProof/>
          <w:sz w:val="24"/>
          <w:szCs w:val="24"/>
        </w:rPr>
        <w:t>Pilnīgu pārskatu par starptautisko kredītu apmaiņu skatīt pielikuma 3. papildinājumā</w:t>
      </w:r>
      <w:r>
        <w:rPr>
          <w:rFonts w:ascii="Times New Roman" w:hAnsi="Times New Roman"/>
          <w:noProof/>
        </w:rPr>
        <w:t>.</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pStyle w:val="Heading2"/>
        <w:rPr>
          <w:i w:val="0"/>
          <w:noProof/>
        </w:rPr>
      </w:pPr>
      <w:bookmarkStart w:id="17" w:name="_Toc24103534"/>
      <w:r>
        <w:rPr>
          <w:i w:val="0"/>
          <w:noProof/>
        </w:rPr>
        <w:t>3.2. Pieprasījums: no apgrozības izņemtās kvotas</w:t>
      </w:r>
      <w:bookmarkEnd w:id="17"/>
    </w:p>
    <w:p>
      <w:pPr>
        <w:jc w:val="both"/>
        <w:rPr>
          <w:rFonts w:ascii="Times New Roman" w:hAnsi="Times New Roman"/>
          <w:noProof/>
          <w:sz w:val="24"/>
          <w:szCs w:val="24"/>
        </w:rPr>
      </w:pPr>
      <w:r>
        <w:rPr>
          <w:rFonts w:ascii="Times New Roman" w:hAnsi="Times New Roman"/>
          <w:noProof/>
          <w:sz w:val="24"/>
          <w:szCs w:val="24"/>
        </w:rPr>
        <w:t xml:space="preserve">Savienības reģistra informācija liecina, ka 2018. gadā emisijas no ES ETS iesaistītajām iekārtām ir samazinājušās par 4,1 % salīdzinājumā ar 2017. gadu. Kā parādīts 7. tabulā, emisiju samazināšanos galvenokārt ietekmēja elektroenerģijas un siltuma ražošana, savukārt rūpniecisko emisiju apjoms samazinājās tikai nedaudz. </w:t>
      </w:r>
    </w:p>
    <w:p>
      <w:pPr>
        <w:pStyle w:val="Caption"/>
        <w:keepNext/>
        <w:rPr>
          <w:rFonts w:ascii="Times New Roman" w:hAnsi="Times New Roman"/>
          <w:noProof/>
          <w:color w:val="000000"/>
          <w:sz w:val="22"/>
          <w:szCs w:val="22"/>
        </w:rPr>
      </w:pPr>
      <w:r>
        <w:rPr>
          <w:rFonts w:ascii="Times New Roman" w:hAnsi="Times New Roman"/>
          <w:noProof/>
          <w:sz w:val="22"/>
          <w:szCs w:val="22"/>
        </w:rPr>
        <w:t>7. tabula. Verificētās emisijas (miljonos tonnu CO</w:t>
      </w:r>
      <w:r>
        <w:rPr>
          <w:rFonts w:ascii="Times New Roman" w:hAnsi="Times New Roman"/>
          <w:noProof/>
          <w:sz w:val="22"/>
          <w:szCs w:val="22"/>
          <w:vertAlign w:val="subscript"/>
        </w:rPr>
        <w:t>2</w:t>
      </w:r>
      <w:r>
        <w:rPr>
          <w:rFonts w:ascii="Times New Roman" w:hAnsi="Times New Roman"/>
          <w:noProof/>
          <w:sz w:val="22"/>
          <w:szCs w:val="22"/>
        </w:rPr>
        <w:t xml:space="preserve"> ekvivalenta)</w:t>
      </w:r>
      <w:r>
        <w:rPr>
          <w:rStyle w:val="FootnoteReference"/>
          <w:rFonts w:ascii="Times New Roman" w:hAnsi="Times New Roman"/>
          <w:noProof/>
          <w:sz w:val="22"/>
          <w:szCs w:val="22"/>
        </w:rPr>
        <w:footnoteReference w:id="43"/>
      </w:r>
    </w:p>
    <w:tbl>
      <w:tblPr>
        <w:tblW w:w="4992" w:type="pct"/>
        <w:tblInd w:w="108" w:type="dxa"/>
        <w:tblLayout w:type="fixed"/>
        <w:tblCellMar>
          <w:left w:w="0" w:type="dxa"/>
          <w:right w:w="0" w:type="dxa"/>
        </w:tblCellMar>
        <w:tblLook w:val="04A0" w:firstRow="1" w:lastRow="0" w:firstColumn="1" w:lastColumn="0" w:noHBand="0" w:noVBand="1"/>
      </w:tblPr>
      <w:tblGrid>
        <w:gridCol w:w="2077"/>
        <w:gridCol w:w="895"/>
        <w:gridCol w:w="881"/>
        <w:gridCol w:w="882"/>
        <w:gridCol w:w="882"/>
        <w:gridCol w:w="881"/>
        <w:gridCol w:w="882"/>
        <w:gridCol w:w="879"/>
        <w:gridCol w:w="875"/>
      </w:tblGrid>
      <w:tr>
        <w:trPr>
          <w:trHeight w:val="474"/>
        </w:trPr>
        <w:tc>
          <w:tcPr>
            <w:tcW w:w="1137"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b/>
                <w:bCs/>
                <w:noProof/>
                <w:color w:val="000000"/>
                <w:sz w:val="20"/>
                <w:szCs w:val="20"/>
              </w:rPr>
            </w:pPr>
            <w:r>
              <w:rPr>
                <w:rFonts w:ascii="Times New Roman" w:hAnsi="Times New Roman"/>
                <w:b/>
                <w:bCs/>
                <w:noProof/>
                <w:sz w:val="20"/>
                <w:szCs w:val="20"/>
              </w:rPr>
              <w:t>Gads</w:t>
            </w:r>
          </w:p>
        </w:tc>
        <w:tc>
          <w:tcPr>
            <w:tcW w:w="490"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b/>
                <w:noProof/>
                <w:sz w:val="20"/>
                <w:szCs w:val="20"/>
              </w:rPr>
            </w:pPr>
            <w:r>
              <w:rPr>
                <w:rFonts w:ascii="Times New Roman" w:hAnsi="Times New Roman"/>
                <w:b/>
                <w:noProof/>
                <w:sz w:val="20"/>
                <w:szCs w:val="20"/>
              </w:rPr>
              <w:t>2011</w:t>
            </w:r>
          </w:p>
        </w:tc>
        <w:tc>
          <w:tcPr>
            <w:tcW w:w="482"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b/>
                <w:noProof/>
                <w:sz w:val="20"/>
                <w:szCs w:val="20"/>
              </w:rPr>
            </w:pPr>
            <w:r>
              <w:rPr>
                <w:rFonts w:ascii="Times New Roman" w:hAnsi="Times New Roman"/>
                <w:b/>
                <w:noProof/>
                <w:sz w:val="20"/>
                <w:szCs w:val="20"/>
              </w:rPr>
              <w:t>2012</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b/>
                <w:noProof/>
                <w:sz w:val="20"/>
                <w:szCs w:val="20"/>
              </w:rPr>
            </w:pPr>
            <w:r>
              <w:rPr>
                <w:rFonts w:ascii="Times New Roman" w:hAnsi="Times New Roman"/>
                <w:b/>
                <w:noProof/>
                <w:sz w:val="20"/>
                <w:szCs w:val="20"/>
              </w:rPr>
              <w:t>2013</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b/>
                <w:noProof/>
                <w:sz w:val="20"/>
                <w:szCs w:val="20"/>
              </w:rPr>
            </w:pPr>
            <w:r>
              <w:rPr>
                <w:rFonts w:ascii="Times New Roman" w:hAnsi="Times New Roman"/>
                <w:b/>
                <w:noProof/>
                <w:sz w:val="20"/>
                <w:szCs w:val="20"/>
              </w:rPr>
              <w:t>2014</w:t>
            </w:r>
          </w:p>
        </w:tc>
        <w:tc>
          <w:tcPr>
            <w:tcW w:w="482"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b/>
                <w:noProof/>
                <w:sz w:val="20"/>
                <w:szCs w:val="20"/>
              </w:rPr>
            </w:pPr>
            <w:r>
              <w:rPr>
                <w:rFonts w:ascii="Times New Roman" w:hAnsi="Times New Roman"/>
                <w:b/>
                <w:noProof/>
                <w:sz w:val="20"/>
                <w:szCs w:val="20"/>
              </w:rPr>
              <w:t>2015</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b/>
                <w:noProof/>
                <w:sz w:val="20"/>
                <w:szCs w:val="20"/>
              </w:rPr>
            </w:pPr>
            <w:r>
              <w:rPr>
                <w:rFonts w:ascii="Times New Roman" w:hAnsi="Times New Roman"/>
                <w:b/>
                <w:noProof/>
                <w:sz w:val="20"/>
                <w:szCs w:val="20"/>
              </w:rPr>
              <w:t>2016</w:t>
            </w:r>
          </w:p>
        </w:tc>
        <w:tc>
          <w:tcPr>
            <w:tcW w:w="48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b/>
                <w:noProof/>
                <w:sz w:val="20"/>
                <w:szCs w:val="20"/>
              </w:rPr>
            </w:pPr>
            <w:r>
              <w:rPr>
                <w:rFonts w:ascii="Times New Roman" w:hAnsi="Times New Roman"/>
                <w:b/>
                <w:noProof/>
                <w:sz w:val="20"/>
                <w:szCs w:val="20"/>
              </w:rPr>
              <w:t>2017</w:t>
            </w:r>
          </w:p>
        </w:tc>
        <w:tc>
          <w:tcPr>
            <w:tcW w:w="479" w:type="pct"/>
            <w:tcBorders>
              <w:top w:val="double" w:sz="4" w:space="0" w:color="auto"/>
              <w:left w:val="nil"/>
              <w:bottom w:val="double" w:sz="4" w:space="0" w:color="auto"/>
              <w:right w:val="double" w:sz="4" w:space="0" w:color="auto"/>
            </w:tcBorders>
            <w:vAlign w:val="center"/>
          </w:tcPr>
          <w:p>
            <w:pPr>
              <w:jc w:val="center"/>
              <w:rPr>
                <w:rFonts w:ascii="Times New Roman" w:hAnsi="Times New Roman"/>
                <w:b/>
                <w:noProof/>
                <w:sz w:val="20"/>
                <w:szCs w:val="20"/>
              </w:rPr>
            </w:pPr>
            <w:r>
              <w:rPr>
                <w:rFonts w:ascii="Times New Roman" w:hAnsi="Times New Roman"/>
                <w:b/>
                <w:noProof/>
                <w:sz w:val="20"/>
                <w:szCs w:val="20"/>
              </w:rPr>
              <w:t>2018</w:t>
            </w:r>
          </w:p>
        </w:tc>
      </w:tr>
      <w:tr>
        <w:trPr>
          <w:trHeight w:val="474"/>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FF0000"/>
                <w:sz w:val="20"/>
                <w:szCs w:val="20"/>
              </w:rPr>
            </w:pPr>
            <w:r>
              <w:rPr>
                <w:rFonts w:ascii="Times New Roman" w:hAnsi="Times New Roman"/>
                <w:b/>
                <w:bCs/>
                <w:noProof/>
                <w:sz w:val="20"/>
                <w:szCs w:val="20"/>
              </w:rPr>
              <w:t>Verificētās kopējās emisijas</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sz w:val="20"/>
                <w:szCs w:val="20"/>
              </w:rPr>
            </w:pPr>
            <w:r>
              <w:rPr>
                <w:rFonts w:ascii="Times New Roman" w:hAnsi="Times New Roman"/>
                <w:noProof/>
                <w:sz w:val="20"/>
                <w:szCs w:val="20"/>
              </w:rPr>
              <w:t>1904</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sz w:val="20"/>
                <w:szCs w:val="20"/>
              </w:rPr>
            </w:pPr>
            <w:r>
              <w:rPr>
                <w:rFonts w:ascii="Times New Roman" w:hAnsi="Times New Roman"/>
                <w:noProof/>
                <w:sz w:val="20"/>
                <w:szCs w:val="20"/>
              </w:rPr>
              <w:t>1867</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sz w:val="20"/>
                <w:szCs w:val="20"/>
              </w:rPr>
            </w:pPr>
            <w:r>
              <w:rPr>
                <w:rFonts w:ascii="Times New Roman" w:hAnsi="Times New Roman"/>
                <w:noProof/>
                <w:sz w:val="20"/>
                <w:szCs w:val="20"/>
              </w:rPr>
              <w:t>1908</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sz w:val="20"/>
                <w:szCs w:val="20"/>
              </w:rPr>
            </w:pPr>
            <w:r>
              <w:rPr>
                <w:rFonts w:ascii="Times New Roman" w:hAnsi="Times New Roman"/>
                <w:noProof/>
                <w:sz w:val="20"/>
                <w:szCs w:val="20"/>
              </w:rPr>
              <w:t>1814</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sz w:val="20"/>
                <w:szCs w:val="20"/>
              </w:rPr>
            </w:pPr>
            <w:r>
              <w:rPr>
                <w:rFonts w:ascii="Times New Roman" w:hAnsi="Times New Roman"/>
                <w:noProof/>
                <w:sz w:val="20"/>
                <w:szCs w:val="20"/>
              </w:rPr>
              <w:t>1803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sz w:val="20"/>
                <w:szCs w:val="20"/>
              </w:rPr>
            </w:pPr>
            <w:r>
              <w:rPr>
                <w:rFonts w:ascii="Times New Roman" w:hAnsi="Times New Roman"/>
                <w:noProof/>
                <w:sz w:val="20"/>
                <w:szCs w:val="20"/>
              </w:rPr>
              <w:t>1750</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sz w:val="20"/>
                <w:szCs w:val="20"/>
              </w:rPr>
            </w:pPr>
            <w:r>
              <w:rPr>
                <w:rFonts w:ascii="Times New Roman" w:hAnsi="Times New Roman"/>
                <w:noProof/>
                <w:sz w:val="20"/>
                <w:szCs w:val="20"/>
              </w:rPr>
              <w:t>1755</w:t>
            </w:r>
          </w:p>
        </w:tc>
        <w:tc>
          <w:tcPr>
            <w:tcW w:w="479" w:type="pct"/>
            <w:tcBorders>
              <w:top w:val="nil"/>
              <w:left w:val="nil"/>
              <w:bottom w:val="double" w:sz="4" w:space="0" w:color="auto"/>
              <w:right w:val="double" w:sz="4" w:space="0" w:color="auto"/>
            </w:tcBorders>
            <w:vAlign w:val="center"/>
          </w:tcPr>
          <w:p>
            <w:pPr>
              <w:jc w:val="center"/>
              <w:rPr>
                <w:rFonts w:ascii="Times New Roman" w:hAnsi="Times New Roman"/>
                <w:noProof/>
                <w:sz w:val="20"/>
                <w:szCs w:val="20"/>
              </w:rPr>
            </w:pPr>
            <w:r>
              <w:rPr>
                <w:rFonts w:ascii="Times New Roman" w:hAnsi="Times New Roman"/>
                <w:noProof/>
                <w:sz w:val="20"/>
                <w:szCs w:val="20"/>
              </w:rPr>
              <w:t>1682</w:t>
            </w:r>
          </w:p>
        </w:tc>
      </w:tr>
      <w:t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bCs/>
                <w:noProof/>
                <w:sz w:val="20"/>
                <w:szCs w:val="20"/>
              </w:rPr>
              <w:t>Izmaiņas salīdzinājumā ar (x-1). gadu</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FF0000"/>
                <w:sz w:val="20"/>
                <w:szCs w:val="20"/>
              </w:rPr>
            </w:pPr>
            <w:r>
              <w:rPr>
                <w:rFonts w:ascii="Times New Roman" w:hAnsi="Times New Roman"/>
                <w:noProof/>
                <w:sz w:val="20"/>
                <w:szCs w:val="20"/>
              </w:rPr>
              <w:t>-1,8 %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FF0000"/>
                <w:sz w:val="20"/>
                <w:szCs w:val="20"/>
              </w:rPr>
            </w:pPr>
            <w:r>
              <w:rPr>
                <w:rFonts w:ascii="Times New Roman" w:hAnsi="Times New Roman"/>
                <w:noProof/>
                <w:sz w:val="20"/>
                <w:szCs w:val="20"/>
              </w:rPr>
              <w:t>-2 %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FF0000"/>
                <w:sz w:val="20"/>
                <w:szCs w:val="20"/>
              </w:rPr>
            </w:pPr>
            <w:r>
              <w:rPr>
                <w:rFonts w:ascii="Times New Roman" w:hAnsi="Times New Roman"/>
                <w:noProof/>
                <w:sz w:val="20"/>
                <w:szCs w:val="20"/>
              </w:rPr>
              <w:t>2,2 %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-4,9 %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-0,6 %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-2,9 %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0,2 %</w:t>
            </w:r>
          </w:p>
        </w:tc>
        <w:tc>
          <w:tcPr>
            <w:tcW w:w="47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-4,1 %</w:t>
            </w:r>
          </w:p>
        </w:tc>
      </w:tr>
      <w:tr>
        <w:trPr>
          <w:trHeight w:val="558"/>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bCs/>
                <w:noProof/>
                <w:sz w:val="20"/>
                <w:szCs w:val="20"/>
              </w:rPr>
              <w:t>Verificētās emisijas, ko rada elektroenerģijas un siltuma ražošana</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1190</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1184</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1125</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1037</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1032</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992</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985</w:t>
            </w:r>
          </w:p>
        </w:tc>
        <w:tc>
          <w:tcPr>
            <w:tcW w:w="47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913</w:t>
            </w:r>
          </w:p>
        </w:tc>
      </w:tr>
      <w:t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bCs/>
                <w:noProof/>
                <w:sz w:val="20"/>
                <w:szCs w:val="20"/>
              </w:rPr>
              <w:t>Izmaiņas salīdzinājumā ar (x-1). gadu</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-0,5 %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-5,0 %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-7,8 %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-0,5 %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-3,8 %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-0,7 %</w:t>
            </w:r>
          </w:p>
        </w:tc>
        <w:tc>
          <w:tcPr>
            <w:tcW w:w="479" w:type="pct"/>
            <w:tcBorders>
              <w:top w:val="nil"/>
              <w:left w:val="nil"/>
              <w:bottom w:val="double" w:sz="4" w:space="0" w:color="auto"/>
              <w:right w:val="double" w:sz="4" w:space="0" w:color="auto"/>
            </w:tcBorders>
            <w:vAlign w:val="center"/>
          </w:tcPr>
          <w:p>
            <w:pPr>
              <w:jc w:val="center"/>
              <w:rPr>
                <w:rFonts w:ascii="Times New Roman" w:hAnsi="Times New Roman"/>
                <w:noProof/>
                <w:color w:val="000000" w:themeColor="text1"/>
                <w:sz w:val="20"/>
                <w:szCs w:val="20"/>
              </w:rPr>
            </w:pPr>
            <w:r>
              <w:rPr>
                <w:rFonts w:ascii="Times New Roman" w:hAnsi="Times New Roman"/>
                <w:noProof/>
                <w:sz w:val="20"/>
                <w:szCs w:val="20"/>
              </w:rPr>
              <w:t>-7,3 %</w:t>
            </w:r>
          </w:p>
        </w:tc>
      </w:tr>
      <w:tr>
        <w:trPr>
          <w:trHeight w:val="582"/>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bCs/>
                <w:noProof/>
                <w:sz w:val="20"/>
                <w:szCs w:val="20"/>
              </w:rPr>
              <w:t>Verificētās emisijas, ko rada rūpnieciskās iekārtas</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715</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683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783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777</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771</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758</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769</w:t>
            </w:r>
          </w:p>
        </w:tc>
        <w:tc>
          <w:tcPr>
            <w:tcW w:w="479" w:type="pct"/>
            <w:tcBorders>
              <w:top w:val="nil"/>
              <w:left w:val="nil"/>
              <w:bottom w:val="double" w:sz="4" w:space="0" w:color="auto"/>
              <w:right w:val="double" w:sz="4" w:space="0" w:color="auto"/>
            </w:tcBorders>
            <w:vAlign w:val="center"/>
          </w:tcPr>
          <w:p>
            <w:pPr>
              <w:jc w:val="center"/>
              <w:rPr>
                <w:rFonts w:ascii="Times New Roman" w:hAnsi="Times New Roman"/>
                <w:noProof/>
                <w:color w:val="000000" w:themeColor="text1"/>
                <w:sz w:val="20"/>
                <w:szCs w:val="20"/>
              </w:rPr>
            </w:pPr>
            <w:r>
              <w:rPr>
                <w:rFonts w:ascii="Times New Roman" w:hAnsi="Times New Roman"/>
                <w:noProof/>
                <w:sz w:val="20"/>
                <w:szCs w:val="20"/>
              </w:rPr>
              <w:t>769</w:t>
            </w:r>
          </w:p>
        </w:tc>
      </w:tr>
      <w:t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bCs/>
                <w:noProof/>
                <w:sz w:val="20"/>
                <w:szCs w:val="20"/>
              </w:rPr>
              <w:t>Izmaiņas salīdzinājumā ar (x-1). gadu</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-4,5 %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14,7 %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-0,9 %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-0,7 %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-1,7 %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themeColor="text1"/>
                <w:sz w:val="20"/>
                <w:szCs w:val="20"/>
              </w:rPr>
            </w:pPr>
            <w:r>
              <w:rPr>
                <w:rFonts w:ascii="Times New Roman" w:hAnsi="Times New Roman"/>
                <w:noProof/>
                <w:sz w:val="20"/>
                <w:szCs w:val="20"/>
              </w:rPr>
              <w:t>1,4 %</w:t>
            </w:r>
          </w:p>
        </w:tc>
        <w:tc>
          <w:tcPr>
            <w:tcW w:w="479" w:type="pct"/>
            <w:tcBorders>
              <w:top w:val="nil"/>
              <w:left w:val="nil"/>
              <w:bottom w:val="double" w:sz="4" w:space="0" w:color="auto"/>
              <w:right w:val="double" w:sz="4" w:space="0" w:color="auto"/>
            </w:tcBorders>
            <w:vAlign w:val="center"/>
          </w:tcPr>
          <w:p>
            <w:pPr>
              <w:jc w:val="center"/>
              <w:rPr>
                <w:rFonts w:ascii="Times New Roman" w:hAnsi="Times New Roman"/>
                <w:noProof/>
                <w:color w:val="000000" w:themeColor="text1"/>
                <w:sz w:val="20"/>
                <w:szCs w:val="20"/>
              </w:rPr>
            </w:pPr>
            <w:r>
              <w:rPr>
                <w:rFonts w:ascii="Times New Roman" w:hAnsi="Times New Roman"/>
                <w:noProof/>
                <w:sz w:val="20"/>
                <w:szCs w:val="20"/>
              </w:rPr>
              <w:t>-0,1 %</w:t>
            </w:r>
          </w:p>
        </w:tc>
      </w:tr>
      <w:tr>
        <w:trPr>
          <w:trHeight w:val="774"/>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bCs/>
                <w:noProof/>
                <w:sz w:val="20"/>
                <w:szCs w:val="20"/>
              </w:rPr>
              <w:br/>
              <w:t>ES28 reālā IKP izaugsmes rādītājs</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FF0000"/>
                <w:sz w:val="20"/>
                <w:szCs w:val="20"/>
              </w:rPr>
            </w:pPr>
            <w:r>
              <w:rPr>
                <w:rFonts w:ascii="Times New Roman" w:hAnsi="Times New Roman"/>
                <w:noProof/>
                <w:sz w:val="20"/>
                <w:szCs w:val="20"/>
              </w:rPr>
              <w:t>1,8 %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FF0000"/>
                <w:sz w:val="20"/>
                <w:szCs w:val="20"/>
              </w:rPr>
            </w:pPr>
            <w:r>
              <w:rPr>
                <w:rFonts w:ascii="Times New Roman" w:hAnsi="Times New Roman"/>
                <w:noProof/>
                <w:sz w:val="20"/>
                <w:szCs w:val="20"/>
              </w:rPr>
              <w:t>-0,4 %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FF0000"/>
                <w:sz w:val="20"/>
                <w:szCs w:val="20"/>
              </w:rPr>
            </w:pPr>
            <w:r>
              <w:rPr>
                <w:rFonts w:ascii="Times New Roman" w:hAnsi="Times New Roman"/>
                <w:noProof/>
                <w:sz w:val="20"/>
                <w:szCs w:val="20"/>
              </w:rPr>
              <w:t>0,3 %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r>
              <w:rPr>
                <w:rFonts w:ascii="Times New Roman" w:hAnsi="Times New Roman"/>
                <w:noProof/>
                <w:sz w:val="20"/>
                <w:szCs w:val="20"/>
              </w:rPr>
              <w:t>1,8 %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r>
              <w:rPr>
                <w:rFonts w:ascii="Times New Roman" w:hAnsi="Times New Roman"/>
                <w:noProof/>
                <w:sz w:val="20"/>
                <w:szCs w:val="20"/>
              </w:rPr>
              <w:t>2,3 %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r>
              <w:rPr>
                <w:rFonts w:ascii="Times New Roman" w:hAnsi="Times New Roman"/>
                <w:noProof/>
                <w:sz w:val="20"/>
                <w:szCs w:val="20"/>
              </w:rPr>
              <w:t>2,0 %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r>
              <w:rPr>
                <w:rFonts w:ascii="Times New Roman" w:hAnsi="Times New Roman"/>
                <w:noProof/>
                <w:sz w:val="20"/>
                <w:szCs w:val="20"/>
              </w:rPr>
              <w:t>2,5 %</w:t>
            </w:r>
          </w:p>
        </w:tc>
        <w:tc>
          <w:tcPr>
            <w:tcW w:w="47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2,0 %</w:t>
            </w:r>
          </w:p>
        </w:tc>
      </w:tr>
    </w:tbl>
    <w:p>
      <w:pPr>
        <w:autoSpaceDE w:val="0"/>
        <w:autoSpaceDN w:val="0"/>
        <w:adjustRightInd w:val="0"/>
        <w:spacing w:after="0"/>
        <w:rPr>
          <w:rStyle w:val="Hyperlink"/>
          <w:rFonts w:ascii="Times New Roman" w:hAnsi="Times New Roman"/>
          <w:bCs/>
          <w:noProof/>
          <w:color w:val="auto"/>
          <w:sz w:val="18"/>
          <w:szCs w:val="18"/>
        </w:rPr>
      </w:pPr>
      <w:r>
        <w:rPr>
          <w:rFonts w:ascii="Times New Roman" w:hAnsi="Times New Roman"/>
          <w:noProof/>
          <w:sz w:val="18"/>
          <w:szCs w:val="18"/>
        </w:rPr>
        <w:t xml:space="preserve">Avots: </w:t>
      </w:r>
      <w:r>
        <w:rPr>
          <w:rFonts w:ascii="Times New Roman" w:hAnsi="Times New Roman"/>
          <w:i/>
          <w:iCs/>
          <w:noProof/>
          <w:sz w:val="18"/>
          <w:szCs w:val="18"/>
        </w:rPr>
        <w:t>EUTL</w:t>
      </w:r>
      <w:r>
        <w:rPr>
          <w:rFonts w:ascii="Times New Roman" w:hAnsi="Times New Roman"/>
          <w:noProof/>
          <w:sz w:val="18"/>
          <w:szCs w:val="18"/>
        </w:rPr>
        <w:t xml:space="preserve">, IKP dati, kā paziņots </w:t>
      </w:r>
      <w:hyperlink r:id="rId19" w:history="1">
        <w:r>
          <w:rPr>
            <w:rStyle w:val="Hyperlink"/>
            <w:rFonts w:ascii="Times New Roman" w:hAnsi="Times New Roman"/>
            <w:bCs/>
            <w:noProof/>
            <w:sz w:val="18"/>
            <w:szCs w:val="18"/>
          </w:rPr>
          <w:t>http://epp.eurostat.ec.europa.eu/tgm/table.do?tab=table&amp;init=1&amp;plugin=1&amp;language=en&amp;pcode=tec00115</w:t>
        </w:r>
      </w:hyperlink>
      <w:r>
        <w:rPr>
          <w:rStyle w:val="Hyperlink"/>
          <w:rFonts w:ascii="Times New Roman" w:hAnsi="Times New Roman"/>
          <w:bCs/>
          <w:noProof/>
          <w:sz w:val="18"/>
          <w:szCs w:val="18"/>
        </w:rPr>
        <w:t xml:space="preserve"> </w:t>
      </w:r>
    </w:p>
    <w:p>
      <w:pPr>
        <w:autoSpaceDE w:val="0"/>
        <w:autoSpaceDN w:val="0"/>
        <w:adjustRightInd w:val="0"/>
        <w:spacing w:after="0"/>
        <w:rPr>
          <w:rStyle w:val="Hyperlink"/>
          <w:rFonts w:ascii="Times New Roman" w:hAnsi="Times New Roman"/>
          <w:bCs/>
          <w:noProof/>
          <w:color w:val="auto"/>
          <w:sz w:val="18"/>
          <w:szCs w:val="18"/>
        </w:rPr>
      </w:pPr>
      <w:r>
        <w:rPr>
          <w:rStyle w:val="Hyperlink"/>
          <w:rFonts w:ascii="Times New Roman" w:hAnsi="Times New Roman"/>
          <w:bCs/>
          <w:noProof/>
          <w:sz w:val="18"/>
          <w:szCs w:val="18"/>
        </w:rPr>
        <w:t xml:space="preserve">(skatīts 2019. gada jūlijā). </w:t>
      </w:r>
      <w:r>
        <w:rPr>
          <w:rStyle w:val="Hyperlink"/>
          <w:rFonts w:ascii="Times New Roman" w:hAnsi="Times New Roman"/>
          <w:bCs/>
          <w:noProof/>
          <w:sz w:val="18"/>
          <w:szCs w:val="18"/>
          <w:u w:val="none"/>
        </w:rPr>
        <w:t>Par verificētajām aviācijas emisijām ir ziņots atsevišķi 4. nodaļā.</w:t>
      </w:r>
    </w:p>
    <w:p>
      <w:pPr>
        <w:autoSpaceDE w:val="0"/>
        <w:autoSpaceDN w:val="0"/>
        <w:adjustRightInd w:val="0"/>
        <w:spacing w:after="0"/>
        <w:rPr>
          <w:rFonts w:ascii="Times New Roman" w:hAnsi="Times New Roman"/>
          <w:noProof/>
        </w:rPr>
      </w:pPr>
    </w:p>
    <w:p>
      <w:pPr>
        <w:jc w:val="both"/>
        <w:rPr>
          <w:rFonts w:ascii="Times New Roman" w:hAnsi="Times New Roman"/>
          <w:noProof/>
          <w:sz w:val="24"/>
          <w:szCs w:val="24"/>
        </w:rPr>
      </w:pPr>
      <w:r>
        <w:rPr>
          <w:rFonts w:ascii="Times New Roman" w:hAnsi="Times New Roman"/>
          <w:noProof/>
          <w:sz w:val="24"/>
          <w:szCs w:val="24"/>
        </w:rPr>
        <w:t>Pielikuma 5. papildinājuma 5.1. tabulā ir dots pārskats par ETS verificētajām emisijām no iekārtām pa siltumnīcefekta gāzu veidiem (</w:t>
      </w:r>
      <w:r>
        <w:rPr>
          <w:rFonts w:ascii="Times New Roman" w:hAnsi="Times New Roman"/>
          <w:bCs/>
          <w:noProof/>
          <w:color w:val="262626"/>
          <w:sz w:val="24"/>
          <w:szCs w:val="24"/>
        </w:rPr>
        <w:t>CO</w:t>
      </w:r>
      <w:r>
        <w:rPr>
          <w:rFonts w:ascii="Times New Roman" w:hAnsi="Times New Roman"/>
          <w:bCs/>
          <w:noProof/>
          <w:color w:val="262626"/>
          <w:sz w:val="24"/>
          <w:szCs w:val="24"/>
          <w:bdr w:val="none" w:sz="0" w:space="0" w:color="auto" w:frame="1"/>
          <w:vertAlign w:val="subscript"/>
        </w:rPr>
        <w:t>2</w:t>
      </w:r>
      <w:r>
        <w:rPr>
          <w:rFonts w:ascii="Times New Roman" w:hAnsi="Times New Roman"/>
          <w:noProof/>
          <w:sz w:val="24"/>
          <w:szCs w:val="24"/>
        </w:rPr>
        <w:t xml:space="preserve">, </w:t>
      </w:r>
      <w:r>
        <w:rPr>
          <w:rFonts w:ascii="Times New Roman" w:hAnsi="Times New Roman"/>
          <w:bCs/>
          <w:noProof/>
          <w:color w:val="262626"/>
          <w:sz w:val="24"/>
          <w:szCs w:val="24"/>
        </w:rPr>
        <w:t>N</w:t>
      </w:r>
      <w:r>
        <w:rPr>
          <w:rFonts w:ascii="Times New Roman" w:hAnsi="Times New Roman"/>
          <w:bCs/>
          <w:noProof/>
          <w:color w:val="262626"/>
          <w:sz w:val="24"/>
          <w:szCs w:val="24"/>
          <w:bdr w:val="none" w:sz="0" w:space="0" w:color="auto" w:frame="1"/>
          <w:vertAlign w:val="subscript"/>
        </w:rPr>
        <w:t>2</w:t>
      </w:r>
      <w:r>
        <w:rPr>
          <w:rFonts w:ascii="Times New Roman" w:hAnsi="Times New Roman"/>
          <w:bCs/>
          <w:noProof/>
          <w:color w:val="262626"/>
          <w:sz w:val="24"/>
          <w:szCs w:val="24"/>
        </w:rPr>
        <w:t>O</w:t>
      </w:r>
      <w:r>
        <w:rPr>
          <w:rFonts w:ascii="Times New Roman" w:hAnsi="Times New Roman"/>
          <w:noProof/>
          <w:sz w:val="24"/>
          <w:szCs w:val="24"/>
        </w:rPr>
        <w:t xml:space="preserve"> un </w:t>
      </w:r>
      <w:r>
        <w:rPr>
          <w:rFonts w:ascii="Times New Roman" w:hAnsi="Times New Roman"/>
          <w:i/>
          <w:noProof/>
          <w:sz w:val="24"/>
          <w:szCs w:val="24"/>
        </w:rPr>
        <w:t>PFC</w:t>
      </w:r>
      <w:r>
        <w:rPr>
          <w:rFonts w:ascii="Times New Roman" w:hAnsi="Times New Roman"/>
          <w:noProof/>
          <w:sz w:val="24"/>
          <w:szCs w:val="24"/>
        </w:rPr>
        <w:t>).</w:t>
      </w:r>
    </w:p>
    <w:p>
      <w:pPr>
        <w:jc w:val="both"/>
        <w:rPr>
          <w:rFonts w:ascii="Times New Roman" w:hAnsi="Times New Roman"/>
          <w:noProof/>
          <w:sz w:val="24"/>
          <w:szCs w:val="24"/>
        </w:rPr>
      </w:pPr>
      <w:r>
        <w:rPr>
          <w:rFonts w:ascii="Times New Roman" w:hAnsi="Times New Roman"/>
          <w:noProof/>
          <w:sz w:val="24"/>
          <w:szCs w:val="24"/>
        </w:rPr>
        <w:t>2018. gadā brīvprātīgi tika anulētas 36 559 kvotas. Kopumā līdz 2019. gada jūnija beigām tika reģistrētas 345 893 brīvprātīgi anulētas kvotas.</w:t>
      </w:r>
    </w:p>
    <w:p>
      <w:pPr>
        <w:jc w:val="both"/>
        <w:rPr>
          <w:rFonts w:ascii="Times New Roman" w:hAnsi="Times New Roman"/>
          <w:noProof/>
          <w:sz w:val="24"/>
          <w:szCs w:val="24"/>
        </w:rPr>
      </w:pPr>
    </w:p>
    <w:p>
      <w:pPr>
        <w:jc w:val="both"/>
        <w:rPr>
          <w:rFonts w:ascii="Times New Roman" w:hAnsi="Times New Roman"/>
          <w:noProof/>
          <w:sz w:val="24"/>
          <w:szCs w:val="24"/>
        </w:rPr>
      </w:pPr>
    </w:p>
    <w:p>
      <w:pPr>
        <w:pStyle w:val="Heading2"/>
        <w:rPr>
          <w:i w:val="0"/>
          <w:noProof/>
        </w:rPr>
      </w:pPr>
      <w:bookmarkStart w:id="18" w:name="_Toc24103535"/>
      <w:r>
        <w:rPr>
          <w:i w:val="0"/>
          <w:noProof/>
        </w:rPr>
        <w:t>3.3. Piedāvājuma un pieprasījuma līdzsvarošana</w:t>
      </w:r>
      <w:bookmarkEnd w:id="18"/>
      <w:r>
        <w:rPr>
          <w:i w:val="0"/>
          <w:noProof/>
        </w:rPr>
        <w:t xml:space="preserve"> </w:t>
      </w:r>
    </w:p>
    <w:p>
      <w:pPr>
        <w:jc w:val="both"/>
        <w:rPr>
          <w:rFonts w:ascii="Times New Roman" w:hAnsi="Times New Roman"/>
          <w:noProof/>
          <w:sz w:val="24"/>
          <w:szCs w:val="24"/>
        </w:rPr>
      </w:pPr>
      <w:r>
        <w:rPr>
          <w:rFonts w:ascii="Times New Roman" w:hAnsi="Times New Roman"/>
          <w:noProof/>
          <w:sz w:val="24"/>
          <w:szCs w:val="24"/>
        </w:rPr>
        <w:t xml:space="preserve">Trešā posma sākumā, 2013. gadā, ES ETS bija vērojama liela strukturālā nelīdzsvarotība starp kvotu piedāvājumu un pieprasījumu — 2,1 miljarda kvotu apmērā. Šis pārpalikums pašreizējā tirdzniecības perioda gaitā ir samazinājies, 2014. gadā saglabājoties nemainīgs un būtiski samazinoties līdz 1,78 miljardiem kvotu 2015. gadā, 1,69 miljardiem kvotu 2016. gadā un 1,65 miljardiem kvotu 2017. gadā. 2018. gadā joprojām bija 1,65 miljardu kvotu pārpalikums. </w:t>
      </w:r>
    </w:p>
    <w:p>
      <w:pPr>
        <w:jc w:val="both"/>
        <w:rPr>
          <w:rFonts w:ascii="Times New Roman" w:hAnsi="Times New Roman"/>
          <w:b/>
          <w:noProof/>
          <w:sz w:val="24"/>
          <w:szCs w:val="24"/>
        </w:rPr>
      </w:pPr>
      <w:r>
        <w:rPr>
          <w:rFonts w:ascii="Times New Roman" w:hAnsi="Times New Roman"/>
          <w:noProof/>
          <w:sz w:val="24"/>
          <w:szCs w:val="24"/>
        </w:rPr>
        <w:t xml:space="preserve">4. attēlā ir atspoguļots, kā mainījies pārpalikums Eiropas oglekļa tirgū līdz 2018. gada beigām. </w:t>
      </w:r>
    </w:p>
    <w:p>
      <w:pPr>
        <w:jc w:val="both"/>
        <w:rPr>
          <w:rFonts w:ascii="Times New Roman" w:hAnsi="Times New Roman"/>
          <w:b/>
          <w:noProof/>
        </w:rPr>
      </w:pPr>
      <w:r>
        <w:rPr>
          <w:rFonts w:ascii="Times New Roman" w:hAnsi="Times New Roman"/>
          <w:b/>
          <w:noProof/>
        </w:rPr>
        <w:t>4. attēls. Pārpalikuma dinamika Eiropas oglekļa tirgū 2013.–2018. gadā</w:t>
      </w:r>
    </w:p>
    <w:p>
      <w:pPr>
        <w:spacing w:after="0"/>
        <w:jc w:val="both"/>
        <w:rPr>
          <w:rFonts w:ascii="Times New Roman" w:hAnsi="Times New Roman"/>
          <w:noProof/>
          <w:sz w:val="24"/>
          <w:szCs w:val="24"/>
        </w:rPr>
      </w:pPr>
      <w:r>
        <w:rPr>
          <w:rFonts w:ascii="Times New Roman" w:hAnsi="Times New Roman"/>
          <w:b/>
          <w:noProof/>
          <w:lang w:val="en-GB" w:eastAsia="en-GB"/>
        </w:rPr>
        <w:drawing>
          <wp:inline distT="0" distB="0" distL="0" distR="0">
            <wp:extent cx="5562600" cy="310210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5604" cy="3103776"/>
                    </a:xfrm>
                    <a:prstGeom prst="rect">
                      <a:avLst/>
                    </a:prstGeom>
                    <a:noFill/>
                  </pic:spPr>
                </pic:pic>
              </a:graphicData>
            </a:graphic>
          </wp:inline>
        </w:drawing>
      </w:r>
    </w:p>
    <w:p>
      <w:pPr>
        <w:jc w:val="both"/>
        <w:rPr>
          <w:rFonts w:ascii="Times New Roman" w:hAnsi="Times New Roman"/>
          <w:noProof/>
          <w:sz w:val="18"/>
          <w:szCs w:val="18"/>
        </w:rPr>
      </w:pPr>
      <w:r>
        <w:rPr>
          <w:rFonts w:ascii="Times New Roman" w:hAnsi="Times New Roman"/>
          <w:noProof/>
          <w:sz w:val="18"/>
          <w:szCs w:val="18"/>
        </w:rPr>
        <w:t>Avots: Klimata politikas ģenerāldirektorāts.</w:t>
      </w:r>
    </w:p>
    <w:p>
      <w:pPr>
        <w:jc w:val="both"/>
        <w:rPr>
          <w:rFonts w:ascii="Times New Roman" w:hAnsi="Times New Roman"/>
          <w:noProof/>
          <w:sz w:val="24"/>
          <w:szCs w:val="24"/>
        </w:rPr>
      </w:pPr>
      <w:r>
        <w:rPr>
          <w:rFonts w:ascii="Times New Roman" w:hAnsi="Times New Roman"/>
          <w:noProof/>
          <w:sz w:val="24"/>
          <w:szCs w:val="24"/>
        </w:rPr>
        <w:t>Lai mazinātu kvotu piedāvājuma un pieprasījuma strukturālo nelīdzsvarotību, 2015. gadā tika izveidota tirgus stabilitātes rezerve (TSR)</w:t>
      </w:r>
      <w:r>
        <w:rPr>
          <w:rStyle w:val="FootnoteReference"/>
          <w:rFonts w:ascii="Times New Roman" w:hAnsi="Times New Roman"/>
          <w:noProof/>
          <w:sz w:val="24"/>
          <w:szCs w:val="24"/>
        </w:rPr>
        <w:footnoteReference w:id="44"/>
      </w:r>
      <w:r>
        <w:rPr>
          <w:rFonts w:ascii="Times New Roman" w:hAnsi="Times New Roman"/>
          <w:noProof/>
          <w:sz w:val="24"/>
          <w:szCs w:val="24"/>
        </w:rPr>
        <w:t xml:space="preserve"> nolūkā padarīt elastīgāku emisijas kvotu piedāvājumu izsolēs. </w:t>
      </w:r>
      <w:r>
        <w:rPr>
          <w:rFonts w:ascii="Times New Roman" w:hAnsi="Times New Roman"/>
          <w:bCs/>
          <w:iCs/>
          <w:noProof/>
          <w:sz w:val="24"/>
          <w:szCs w:val="24"/>
        </w:rPr>
        <w:t>Saistībā ar ES ETS pārskatīšanu</w:t>
      </w:r>
      <w:r>
        <w:rPr>
          <w:rFonts w:ascii="Times New Roman" w:eastAsia="Times New Roman" w:hAnsi="Times New Roman"/>
          <w:bCs/>
          <w:iCs/>
          <w:noProof/>
          <w:sz w:val="24"/>
          <w:szCs w:val="24"/>
          <w:vertAlign w:val="superscript"/>
        </w:rPr>
        <w:footnoteReference w:id="45"/>
      </w:r>
      <w:r>
        <w:rPr>
          <w:rFonts w:ascii="Times New Roman" w:hAnsi="Times New Roman"/>
          <w:bCs/>
          <w:iCs/>
          <w:noProof/>
          <w:sz w:val="24"/>
          <w:szCs w:val="24"/>
        </w:rPr>
        <w:t xml:space="preserve"> tika izdarītas svarīgas izmaiņas TSR darbībā</w:t>
      </w:r>
      <w:r>
        <w:rPr>
          <w:rFonts w:ascii="Times New Roman" w:hAnsi="Times New Roman"/>
          <w:bCs/>
          <w:iCs/>
          <w:noProof/>
        </w:rPr>
        <w:t xml:space="preserve">, kā izklāstīts tālāk izcēlumā. </w:t>
      </w:r>
      <w:r>
        <w:rPr>
          <w:rFonts w:ascii="Times New Roman" w:hAnsi="Times New Roman"/>
          <w:noProof/>
        </w:rPr>
        <w:t>TSR sāka darboties 2019. gada sākumā.</w:t>
      </w:r>
    </w:p>
    <w:p>
      <w:pPr>
        <w:jc w:val="both"/>
        <w:rPr>
          <w:rFonts w:ascii="Times New Roman" w:hAnsi="Times New Roman"/>
          <w:noProof/>
          <w:sz w:val="24"/>
          <w:szCs w:val="24"/>
        </w:rPr>
      </w:pPr>
    </w:p>
    <w:p>
      <w:pPr>
        <w:rPr>
          <w:rFonts w:ascii="Times New Roman" w:hAnsi="Times New Roman"/>
          <w:noProof/>
        </w:rPr>
      </w:pPr>
      <w:r>
        <w:rPr>
          <w:rFonts w:ascii="Times New Roman" w:hAnsi="Times New Roman"/>
          <w:noProof/>
          <w:lang w:val="en-GB" w:eastAsia="en-GB"/>
        </w:rPr>
        <mc:AlternateContent>
          <mc:Choice Requires="wps">
            <w:drawing>
              <wp:inline distT="0" distB="0" distL="0" distR="0">
                <wp:extent cx="5731510" cy="6269182"/>
                <wp:effectExtent l="0" t="0" r="21590" b="1778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269182"/>
                        </a:xfrm>
                        <a:prstGeom prst="rect">
                          <a:avLst/>
                        </a:prstGeom>
                        <a:solidFill>
                          <a:sysClr val="window" lastClr="FFFFFF">
                            <a:lumMod val="85000"/>
                          </a:sysClr>
                        </a:solidFill>
                        <a:ln w="12700">
                          <a:solidFill>
                            <a:srgbClr val="000000"/>
                          </a:solidFill>
                          <a:miter lim="800000"/>
                          <a:headEnd/>
                          <a:tailEnd/>
                        </a:ln>
                      </wps:spPr>
                      <wps:txbx>
                        <w:txbxContent>
                          <w:p>
                            <w:pPr>
                              <w:jc w:val="both"/>
                              <w:rPr>
                                <w:rFonts w:ascii="Times New Roman" w:hAnsi="Times New Roman"/>
                                <w:sz w:val="24"/>
                                <w:szCs w:val="24"/>
                              </w:rPr>
                            </w:pPr>
                            <w:r>
                              <w:rPr>
                                <w:rFonts w:ascii="Times New Roman" w:hAnsi="Times New Roman"/>
                                <w:sz w:val="24"/>
                                <w:szCs w:val="24"/>
                              </w:rPr>
                              <w:t>Svarīgs TSR darbības elements ir apgrozībā esošo kvotu kopskaits (</w:t>
                            </w:r>
                            <w:r>
                              <w:rPr>
                                <w:rFonts w:ascii="Times New Roman" w:hAnsi="Times New Roman"/>
                                <w:i/>
                                <w:sz w:val="24"/>
                                <w:szCs w:val="24"/>
                              </w:rPr>
                              <w:t>TNAC</w:t>
                            </w:r>
                            <w:r>
                              <w:rPr>
                                <w:rFonts w:ascii="Times New Roman" w:hAnsi="Times New Roman"/>
                                <w:sz w:val="24"/>
                                <w:szCs w:val="24"/>
                              </w:rPr>
                              <w:t xml:space="preserve">). Kvotas ieskaitīs rezervē, ja </w:t>
                            </w:r>
                            <w:r>
                              <w:rPr>
                                <w:rFonts w:ascii="Times New Roman" w:hAnsi="Times New Roman"/>
                                <w:i/>
                                <w:iCs/>
                                <w:sz w:val="24"/>
                                <w:szCs w:val="24"/>
                              </w:rPr>
                              <w:t>TNAC</w:t>
                            </w:r>
                            <w:r>
                              <w:rPr>
                                <w:rFonts w:ascii="Times New Roman" w:hAnsi="Times New Roman"/>
                                <w:sz w:val="24"/>
                                <w:szCs w:val="24"/>
                              </w:rPr>
                              <w:t xml:space="preserve"> pārsniegs iepriekš noteiktu augšējo robežvērtību (833 miljoni kvotu), un atbrīvos no rezerves, ja </w:t>
                            </w:r>
                            <w:r>
                              <w:rPr>
                                <w:rFonts w:ascii="Times New Roman" w:hAnsi="Times New Roman"/>
                                <w:i/>
                                <w:iCs/>
                                <w:sz w:val="24"/>
                                <w:szCs w:val="24"/>
                              </w:rPr>
                              <w:t>TNAC</w:t>
                            </w:r>
                            <w:r>
                              <w:rPr>
                                <w:rFonts w:ascii="Times New Roman" w:hAnsi="Times New Roman"/>
                                <w:sz w:val="24"/>
                                <w:szCs w:val="24"/>
                              </w:rPr>
                              <w:t xml:space="preserve"> būs mazāks par iepriekš noteiktu apakšējo robežvērtību (mazāk par 400 miljoniem kvotu)*. Tādējādi tirgus stabilitātes rezervē uzņem vai no tās atbrīvo kvotas, ja </w:t>
                            </w:r>
                            <w:r>
                              <w:rPr>
                                <w:rFonts w:ascii="Times New Roman" w:hAnsi="Times New Roman"/>
                                <w:i/>
                                <w:sz w:val="24"/>
                                <w:szCs w:val="24"/>
                              </w:rPr>
                              <w:t>TNAC</w:t>
                            </w:r>
                            <w:r>
                              <w:rPr>
                                <w:rFonts w:ascii="Times New Roman" w:hAnsi="Times New Roman"/>
                                <w:sz w:val="24"/>
                                <w:szCs w:val="24"/>
                              </w:rPr>
                              <w:t xml:space="preserve"> rādītājs ir ārpus iepriekš noteikta diapazona. Rezervē tiks iekļautas arī 2014.–2016. gadā atliktās kvotas** un tā dēvētās neiedalītās *** kvotas. </w:t>
                            </w:r>
                          </w:p>
                          <w:p>
                            <w:pPr>
                              <w:jc w:val="both"/>
                              <w:rPr>
                                <w:rFonts w:ascii="Times New Roman" w:hAnsi="Times New Roman"/>
                                <w:sz w:val="24"/>
                                <w:szCs w:val="24"/>
                              </w:rPr>
                            </w:pPr>
                            <w:r>
                              <w:rPr>
                                <w:rFonts w:ascii="Times New Roman" w:hAnsi="Times New Roman"/>
                                <w:sz w:val="24"/>
                                <w:szCs w:val="24"/>
                              </w:rPr>
                              <w:t>Apgrozībā esošo kvotu kopskaitu, pēc kura nosaka TSR ieskaitāmo un no tās atbrīvojamo kvotu daudzumu, aprēķina pēc šādas formulas:</w:t>
                            </w:r>
                          </w:p>
                          <w:p>
                            <w:pPr>
                              <w:jc w:val="both"/>
                              <w:rPr>
                                <w:rFonts w:ascii="Times New Roman" w:hAnsi="Times New Roman"/>
                                <w:sz w:val="24"/>
                                <w:szCs w:val="24"/>
                              </w:rPr>
                            </w:pPr>
                            <w:r>
                              <w:rPr>
                                <w:rFonts w:ascii="Times New Roman" w:hAnsi="Times New Roman"/>
                                <w:i/>
                                <w:sz w:val="24"/>
                                <w:szCs w:val="24"/>
                              </w:rPr>
                              <w:t>TNAC</w:t>
                            </w:r>
                            <w:r>
                              <w:rPr>
                                <w:rFonts w:ascii="Times New Roman" w:hAnsi="Times New Roman"/>
                                <w:sz w:val="24"/>
                                <w:szCs w:val="24"/>
                              </w:rPr>
                              <w:t> = piedāvājums – (pieprasījums + kvotas TSR).</w:t>
                            </w:r>
                          </w:p>
                          <w:p>
                            <w:pPr>
                              <w:rPr>
                                <w:rFonts w:ascii="Times New Roman" w:hAnsi="Times New Roman"/>
                                <w:sz w:val="24"/>
                                <w:szCs w:val="24"/>
                              </w:rPr>
                            </w:pPr>
                            <w:r>
                              <w:rPr>
                                <w:rFonts w:ascii="Times New Roman" w:hAnsi="Times New Roman"/>
                                <w:sz w:val="24"/>
                                <w:szCs w:val="24"/>
                              </w:rPr>
                              <w:t>Formulā izmantotie piedāvājuma un pieprasījuma komponenti ir detalizēti aprakstīti pielikuma 4. papildinājuma 4.1. tabulā.</w:t>
                            </w:r>
                          </w:p>
                          <w:p>
                            <w:pPr>
                              <w:jc w:val="both"/>
                              <w:rPr>
                                <w:rFonts w:ascii="Times New Roman" w:hAnsi="Times New Roman"/>
                                <w:sz w:val="24"/>
                                <w:szCs w:val="24"/>
                              </w:rPr>
                            </w:pPr>
                            <w:r>
                              <w:rPr>
                                <w:rFonts w:ascii="Times New Roman" w:hAnsi="Times New Roman"/>
                                <w:sz w:val="24"/>
                                <w:szCs w:val="24"/>
                              </w:rPr>
                              <w:t xml:space="preserve">Ar pārskatīto ES ETS direktīvu ir ieviestas divas būtiskas izmaiņas TSR darbībā. Pirmkārt, 2019.–2023. gadā rezervēs iekļaujamo </w:t>
                            </w:r>
                            <w:r>
                              <w:rPr>
                                <w:rFonts w:ascii="Times New Roman" w:hAnsi="Times New Roman"/>
                                <w:i/>
                                <w:sz w:val="24"/>
                                <w:szCs w:val="24"/>
                              </w:rPr>
                              <w:t>TNAC</w:t>
                            </w:r>
                            <w:r>
                              <w:rPr>
                                <w:rFonts w:ascii="Times New Roman" w:hAnsi="Times New Roman"/>
                                <w:sz w:val="24"/>
                                <w:szCs w:val="24"/>
                              </w:rPr>
                              <w:t xml:space="preserve"> procentuālo daļu dubulto — no 12 % līdz 24 %. Tas būtiski paātrina pārpalikuma samazināšanas tempu. Otrkārt, no 2023.</w:t>
                            </w:r>
                            <w:r>
                              <w:rPr>
                                <w:rFonts w:ascii="Times New Roman" w:hAnsi="Times New Roman"/>
                              </w:rPr>
                              <w:t xml:space="preserve"> gada TSR kvotas, kas pārsniedz iepriekšējā gada izsoles apjomu, vairs nebūs derīgas. </w:t>
                            </w:r>
                          </w:p>
                          <w:p>
                            <w:pPr>
                              <w:jc w:val="both"/>
                              <w:rPr>
                                <w:rFonts w:ascii="Times New Roman" w:hAnsi="Times New Roman"/>
                                <w:sz w:val="18"/>
                                <w:szCs w:val="18"/>
                              </w:rPr>
                            </w:pPr>
                            <w:r>
                              <w:rPr>
                                <w:rFonts w:ascii="Times New Roman" w:hAnsi="Times New Roman"/>
                                <w:sz w:val="18"/>
                                <w:szCs w:val="18"/>
                              </w:rPr>
                              <w:t>* Vai tad, ja tiks pieņemti pasākumi saskaņā ar ES ETS direktīvas 29.a pantu.</w:t>
                            </w:r>
                          </w:p>
                          <w:p>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Eiropas Parlamenta un Padomes Lēmums Nr. 1359/2013/ES (2013. gada 17. decembris), ar ko groza Direktīvu 2003/87/EK, precizējot noteikumus par siltumnīcefekta gāzu emisijas kvotu izsoļu grafiku (OV L 343, 19.12.2013., 1. lpp.).</w:t>
                            </w:r>
                          </w:p>
                          <w:p>
                            <w:pPr>
                              <w:jc w:val="both"/>
                              <w:rPr>
                                <w:rFonts w:ascii="Times New Roman" w:hAnsi="Times New Roman"/>
                                <w:sz w:val="18"/>
                                <w:szCs w:val="18"/>
                              </w:rPr>
                            </w:pPr>
                            <w:r>
                              <w:rPr>
                                <w:rFonts w:ascii="Times New Roman" w:hAnsi="Times New Roman"/>
                                <w:sz w:val="18"/>
                                <w:szCs w:val="18"/>
                              </w:rPr>
                              <w:t xml:space="preserve">***Neiedalītās kvotas ir kvotas, kas nav iedalītas saskaņā ar ES ETS direktīvas 10.a panta 7. punktu (proti, kvotas, kas paliek jaunu iekārtu rezervē), un kvotas, kas rodas, piemērojot 10.a panta 19. un 20. punktu (proti, kvotas, kuras bija paredzēts iedalīt bez maksas iekārtām, bet kuras nav iedalītas , jo ir (daļēji) pārtraukta darbība vai būtiski samazināta jauda). </w:t>
                            </w:r>
                            <w:r>
                              <w:rPr>
                                <w:rFonts w:ascii="Times New Roman" w:hAnsi="Times New Roman"/>
                                <w:i/>
                                <w:sz w:val="18"/>
                                <w:szCs w:val="18"/>
                              </w:rPr>
                              <w:t>De facto</w:t>
                            </w:r>
                            <w:r>
                              <w:rPr>
                                <w:rFonts w:ascii="Times New Roman" w:hAnsi="Times New Roman"/>
                                <w:sz w:val="18"/>
                                <w:szCs w:val="18"/>
                              </w:rPr>
                              <w:t xml:space="preserve"> “neiedalītās” kvotas, kas rodas no attiecīgā oglekļa emisiju pārvirzes koeficienta piemērošanas nozarēm, kuras pašreizējā periodā nav iekļautas oglekļa emisiju pārvirzes sarakstā, kā arī kvotas, kas nav iedalītas saskaņā ar ETS direktīvas 10.c pantu, nav paredzēts ieskaitīt tirgus stabilitātes rezervē saskaņā ar Lēmuma (ES) 2015/1814 1. panta 3. punktu. Tāpēc šīs kvotas nav aptvertas (sk. ES ETS direktīvas ceturtā posma pārskatīšanas priekšlikumam pievienotā ietekmes novērtējuma 225. lpp. (SWD(2015) 135 final)).</w:t>
                            </w:r>
                          </w:p>
                          <w:p>
                            <w:pPr>
                              <w:rPr>
                                <w:rFonts w:ascii="Times New Roman" w:hAnsi="Times New Roman"/>
                                <w:sz w:val="18"/>
                                <w:szCs w:val="18"/>
                              </w:rPr>
                            </w:pPr>
                          </w:p>
                        </w:txbxContent>
                      </wps:txbx>
                      <wps:bodyPr rot="0" vert="horz" wrap="square" lIns="91440" tIns="45720" rIns="91440" bIns="45720" anchor="t" anchorCtr="0">
                        <a:noAutofit/>
                      </wps:bodyPr>
                    </wps:wsp>
                  </a:graphicData>
                </a:graphic>
              </wp:inline>
            </w:drawing>
          </mc:Choice>
          <mc:Fallback>
            <w:pict>
              <v:shape id="_x0000_s1036" type="#_x0000_t202" style="width:451.3pt;height:49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" fillcolor="#d9d9d9" strokeweight="1pt">
                <v:textbox>
                  <w:txbxContent>
                    <w:p>
                      <w:pPr>
                        <w:jc w:val="both"/>
                        <w:rPr>
                          <w:rFonts w:ascii="Times New Roman" w:hAnsi="Times New Roman"/>
                          <w:sz w:val="24"/>
                          <w:szCs w:val="24"/>
                        </w:rPr>
                      </w:pPr>
                      <w:r>
                        <w:rPr>
                          <w:rFonts w:ascii="Times New Roman" w:hAnsi="Times New Roman"/>
                          <w:sz w:val="24"/>
                          <w:szCs w:val="24"/>
                        </w:rPr>
                        <w:t>Svarīgs TSR darbības elements ir apgrozībā esošo kvotu kopskaits (</w:t>
                      </w:r>
                      <w:r>
                        <w:rPr>
                          <w:rFonts w:ascii="Times New Roman" w:hAnsi="Times New Roman"/>
                          <w:i/>
                          <w:sz w:val="24"/>
                          <w:szCs w:val="24"/>
                        </w:rPr>
                        <w:t>TNAC</w:t>
                      </w:r>
                      <w:r>
                        <w:rPr>
                          <w:rFonts w:ascii="Times New Roman" w:hAnsi="Times New Roman"/>
                          <w:sz w:val="24"/>
                          <w:szCs w:val="24"/>
                        </w:rPr>
                        <w:t xml:space="preserve">). Kvotas ieskaitīs rezervē, ja </w:t>
                      </w:r>
                      <w:r>
                        <w:rPr>
                          <w:rFonts w:ascii="Times New Roman" w:hAnsi="Times New Roman"/>
                          <w:i/>
                          <w:iCs/>
                          <w:sz w:val="24"/>
                          <w:szCs w:val="24"/>
                        </w:rPr>
                        <w:t>TNAC</w:t>
                      </w:r>
                      <w:r>
                        <w:rPr>
                          <w:rFonts w:ascii="Times New Roman" w:hAnsi="Times New Roman"/>
                          <w:sz w:val="24"/>
                          <w:szCs w:val="24"/>
                        </w:rPr>
                        <w:t xml:space="preserve"> pārsniegs iepriekš noteiktu augšējo robežvērtību (833 miljoni kvotu), un atbrīvos no rezerves, ja </w:t>
                      </w:r>
                      <w:r>
                        <w:rPr>
                          <w:rFonts w:ascii="Times New Roman" w:hAnsi="Times New Roman"/>
                          <w:i/>
                          <w:iCs/>
                          <w:sz w:val="24"/>
                          <w:szCs w:val="24"/>
                        </w:rPr>
                        <w:t>TNAC</w:t>
                      </w:r>
                      <w:r>
                        <w:rPr>
                          <w:rFonts w:ascii="Times New Roman" w:hAnsi="Times New Roman"/>
                          <w:sz w:val="24"/>
                          <w:szCs w:val="24"/>
                        </w:rPr>
                        <w:t xml:space="preserve"> būs mazāks par iepriekš noteiktu apakšējo robežvērtību (mazāk par 400 miljoniem kvotu)*. Tādējādi tirgus stabilitātes rezervē uzņem vai no tās atbrīvo kvotas, ja </w:t>
                      </w:r>
                      <w:r>
                        <w:rPr>
                          <w:rFonts w:ascii="Times New Roman" w:hAnsi="Times New Roman"/>
                          <w:i/>
                          <w:sz w:val="24"/>
                          <w:szCs w:val="24"/>
                        </w:rPr>
                        <w:t>TNAC</w:t>
                      </w:r>
                      <w:r>
                        <w:rPr>
                          <w:rFonts w:ascii="Times New Roman" w:hAnsi="Times New Roman"/>
                          <w:sz w:val="24"/>
                          <w:szCs w:val="24"/>
                        </w:rPr>
                        <w:t xml:space="preserve"> rādītājs ir ārpus iepriekš noteikta diapazona. Rezervē tiks iekļautas arī 2014.–2016. gadā atliktās kvotas** un tā dēvētās neiedalītās *** kvotas. </w:t>
                      </w:r>
                    </w:p>
                    <w:p>
                      <w:pPr>
                        <w:jc w:val="both"/>
                        <w:rPr>
                          <w:rFonts w:ascii="Times New Roman" w:hAnsi="Times New Roman"/>
                          <w:sz w:val="24"/>
                          <w:szCs w:val="24"/>
                        </w:rPr>
                      </w:pPr>
                      <w:r>
                        <w:rPr>
                          <w:rFonts w:ascii="Times New Roman" w:hAnsi="Times New Roman"/>
                          <w:sz w:val="24"/>
                          <w:szCs w:val="24"/>
                        </w:rPr>
                        <w:t>Apgrozībā esošo kvotu kopskaitu, pēc kura nosaka TSR ieskaitāmo un no tās atbrīvojamo kvotu daudzumu, aprēķina pēc šādas formulas:</w:t>
                      </w:r>
                    </w:p>
                    <w:p>
                      <w:pPr>
                        <w:jc w:val="both"/>
                        <w:rPr>
                          <w:rFonts w:ascii="Times New Roman" w:hAnsi="Times New Roman"/>
                          <w:sz w:val="24"/>
                          <w:szCs w:val="24"/>
                        </w:rPr>
                      </w:pPr>
                      <w:r>
                        <w:rPr>
                          <w:rFonts w:ascii="Times New Roman" w:hAnsi="Times New Roman"/>
                          <w:i/>
                          <w:sz w:val="24"/>
                          <w:szCs w:val="24"/>
                        </w:rPr>
                        <w:t>TNAC</w:t>
                      </w:r>
                      <w:r>
                        <w:rPr>
                          <w:rFonts w:ascii="Times New Roman" w:hAnsi="Times New Roman"/>
                          <w:sz w:val="24"/>
                          <w:szCs w:val="24"/>
                        </w:rPr>
                        <w:t> = piedāvājums – (pieprasījums + kvotas TSR).</w:t>
                      </w:r>
                    </w:p>
                    <w:p>
                      <w:pPr>
                        <w:rPr>
                          <w:rFonts w:ascii="Times New Roman" w:hAnsi="Times New Roman"/>
                          <w:sz w:val="24"/>
                          <w:szCs w:val="24"/>
                        </w:rPr>
                      </w:pPr>
                      <w:r>
                        <w:rPr>
                          <w:rFonts w:ascii="Times New Roman" w:hAnsi="Times New Roman"/>
                          <w:sz w:val="24"/>
                          <w:szCs w:val="24"/>
                        </w:rPr>
                        <w:t>Formulā izmantotie piedāvājuma un pieprasījuma komponenti ir detalizēti aprakstīti pielikuma 4. papildinājuma 4.1. tabulā.</w:t>
                      </w:r>
                    </w:p>
                    <w:p>
                      <w:pPr>
                        <w:jc w:val="both"/>
                        <w:rPr>
                          <w:rFonts w:ascii="Times New Roman" w:hAnsi="Times New Roman"/>
                          <w:sz w:val="24"/>
                          <w:szCs w:val="24"/>
                        </w:rPr>
                      </w:pPr>
                      <w:r>
                        <w:rPr>
                          <w:rFonts w:ascii="Times New Roman" w:hAnsi="Times New Roman"/>
                          <w:sz w:val="24"/>
                          <w:szCs w:val="24"/>
                        </w:rPr>
                        <w:t xml:space="preserve">Ar pārskatīto ES ETS direktīvu ir ieviestas divas būtiskas izmaiņas TSR darbībā. Pirmkārt, 2019.–2023. gadā rezervēs iekļaujamo </w:t>
                      </w:r>
                      <w:r>
                        <w:rPr>
                          <w:rFonts w:ascii="Times New Roman" w:hAnsi="Times New Roman"/>
                          <w:i/>
                          <w:sz w:val="24"/>
                          <w:szCs w:val="24"/>
                        </w:rPr>
                        <w:t>TNAC</w:t>
                      </w:r>
                      <w:r>
                        <w:rPr>
                          <w:rFonts w:ascii="Times New Roman" w:hAnsi="Times New Roman"/>
                          <w:sz w:val="24"/>
                          <w:szCs w:val="24"/>
                        </w:rPr>
                        <w:t xml:space="preserve"> procentuālo daļu dubulto — no 12 % līdz 24 %. Tas būtiski paātrina pārpalikuma samazināšanas tempu. Otrkārt, no 2023.</w:t>
                      </w:r>
                      <w:r>
                        <w:rPr>
                          <w:rFonts w:ascii="Times New Roman" w:hAnsi="Times New Roman"/>
                        </w:rPr>
                        <w:t xml:space="preserve"> gada TSR kvotas, kas pārsniedz iepriekšējā gada izsoles apjomu, vairs nebūs derīgas. </w:t>
                      </w:r>
                    </w:p>
                    <w:p>
                      <w:pPr>
                        <w:jc w:val="both"/>
                        <w:rPr>
                          <w:rFonts w:ascii="Times New Roman" w:hAnsi="Times New Roman"/>
                          <w:sz w:val="18"/>
                          <w:szCs w:val="18"/>
                        </w:rPr>
                      </w:pPr>
                      <w:r>
                        <w:rPr>
                          <w:rFonts w:ascii="Times New Roman" w:hAnsi="Times New Roman"/>
                          <w:sz w:val="18"/>
                          <w:szCs w:val="18"/>
                        </w:rPr>
                        <w:t>* Vai tad, ja tiks pieņemti pasākumi saskaņā ar ES ETS direktīvas 29.a pantu.</w:t>
                      </w:r>
                    </w:p>
                    <w:p>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Eiropas Parlamenta un Padomes Lēmums Nr. 1359/2013/ES (2013. gada 17. decembris), ar ko groza Direktīvu 2003/87/EK, precizējot noteikumus par siltumnīcefekta gāzu emisijas kvotu izsoļu grafiku (OV L 343, 19.12.2013., 1. lpp.).</w:t>
                      </w:r>
                    </w:p>
                    <w:p>
                      <w:pPr>
                        <w:jc w:val="both"/>
                        <w:rPr>
                          <w:rFonts w:ascii="Times New Roman" w:hAnsi="Times New Roman"/>
                          <w:sz w:val="18"/>
                          <w:szCs w:val="18"/>
                        </w:rPr>
                      </w:pPr>
                      <w:r>
                        <w:rPr>
                          <w:rFonts w:ascii="Times New Roman" w:hAnsi="Times New Roman"/>
                          <w:sz w:val="18"/>
                          <w:szCs w:val="18"/>
                        </w:rPr>
                        <w:t xml:space="preserve">***Neiedalītās kvotas ir kvotas, kas nav iedalītas saskaņā ar ES ETS direktīvas 10.a panta 7. punktu (proti, kvotas, kas paliek jaunu iekārtu rezervē), un kvotas, kas rodas, piemērojot 10.a panta 19. un 20. punktu (proti, kvotas, kuras bija paredzēts iedalīt bez maksas iekārtām, bet kuras nav iedalītas , jo ir (daļēji) pārtraukta darbība vai būtiski samazināta jauda). </w:t>
                      </w:r>
                      <w:r>
                        <w:rPr>
                          <w:rFonts w:ascii="Times New Roman" w:hAnsi="Times New Roman"/>
                          <w:i/>
                          <w:sz w:val="18"/>
                          <w:szCs w:val="18"/>
                        </w:rPr>
                        <w:t>De facto</w:t>
                      </w:r>
                      <w:r>
                        <w:rPr>
                          <w:rFonts w:ascii="Times New Roman" w:hAnsi="Times New Roman"/>
                          <w:sz w:val="18"/>
                          <w:szCs w:val="18"/>
                        </w:rPr>
                        <w:t xml:space="preserve"> “neiedalītās” kvotas, kas rodas no attiecīgā oglekļa emisiju pārvirzes koeficienta piemērošanas nozarēm, kuras pašreizējā periodā nav iekļautas oglekļa emisiju pārvirzes sarakstā, kā arī kvotas, kas nav iedalītas saskaņā ar ETS direktīvas 10.c pantu, nav paredzēts ieskaitīt tirgus stabilitātes rezervē saskaņā ar Lēmuma (ES) 2015/1814 1. panta 3. punktu. Tāpēc šīs kvotas nav aptvertas (sk. ES ETS direktīvas ceturtā posma pārskatīšanas priekšlikumam pievienotā ietekmes novērtējuma 225. lpp. (SWD(2015) 135 final)).</w:t>
                      </w:r>
                    </w:p>
                    <w:p>
                      <w:pPr>
                        <w:rPr>
                          <w:rFonts w:ascii="Times New Roman" w:hAnsi="Times New Roman"/>
                          <w:sz w:val="18"/>
                          <w:szCs w:val="18"/>
                        </w:rPr>
                      </w:pPr>
                    </w:p>
                  </w:txbxContent>
                </v:textbox>
                <w10:anchorlock/>
              </v:shape>
            </w:pict>
          </mc:Fallback>
        </mc:AlternateContent>
      </w:r>
    </w:p>
    <w:p>
      <w:pPr>
        <w:jc w:val="both"/>
        <w:rPr>
          <w:rFonts w:ascii="Times New Roman" w:hAnsi="Times New Roman"/>
          <w:noProof/>
          <w:sz w:val="24"/>
          <w:szCs w:val="24"/>
        </w:rPr>
      </w:pPr>
      <w:r>
        <w:rPr>
          <w:rFonts w:ascii="Times New Roman" w:hAnsi="Times New Roman"/>
          <w:noProof/>
          <w:sz w:val="24"/>
          <w:szCs w:val="24"/>
        </w:rPr>
        <w:t xml:space="preserve">Ziņojums par oglekļa tirgu ļauj konsolidēt piedāvājuma un pieprasījuma rādītājus, kurus publicē saskaņā ar ziņošanas pienākuma laika grafiku, kas noteikts atbilstoši ES ETS direktīvai un tās īstenošanas noteikumiem. </w:t>
      </w:r>
    </w:p>
    <w:p>
      <w:pPr>
        <w:jc w:val="both"/>
        <w:rPr>
          <w:rFonts w:ascii="Times New Roman" w:hAnsi="Times New Roman"/>
          <w:noProof/>
        </w:rPr>
      </w:pPr>
      <w:r>
        <w:rPr>
          <w:rFonts w:ascii="Times New Roman" w:hAnsi="Times New Roman"/>
          <w:noProof/>
          <w:sz w:val="24"/>
          <w:szCs w:val="24"/>
        </w:rPr>
        <w:t>5. attēlā ir atspoguļots piedāvājuma un pieprasījuma sastāvs 2018. gadā. Attiecīgie dati ir publicēti arī TSR vajadzībām sagatavotajā trešajā paziņojumā par apgrozībā esošo kvotu kopskaitu (</w:t>
      </w:r>
      <w:r>
        <w:rPr>
          <w:rFonts w:ascii="Times New Roman" w:hAnsi="Times New Roman"/>
          <w:i/>
          <w:iCs/>
          <w:noProof/>
          <w:sz w:val="24"/>
          <w:szCs w:val="24"/>
        </w:rPr>
        <w:t>TNAC</w:t>
      </w:r>
      <w:r>
        <w:rPr>
          <w:rFonts w:ascii="Times New Roman" w:hAnsi="Times New Roman"/>
          <w:noProof/>
        </w:rPr>
        <w:t>)</w:t>
      </w:r>
      <w:r>
        <w:rPr>
          <w:rFonts w:ascii="Times New Roman" w:hAnsi="Times New Roman"/>
          <w:noProof/>
          <w:vertAlign w:val="superscript"/>
        </w:rPr>
        <w:footnoteReference w:id="46"/>
      </w:r>
      <w:r>
        <w:rPr>
          <w:rFonts w:ascii="Times New Roman" w:hAnsi="Times New Roman"/>
          <w:noProof/>
        </w:rPr>
        <w:t>.</w:t>
      </w:r>
    </w:p>
    <w:p>
      <w:pPr>
        <w:jc w:val="both"/>
        <w:rPr>
          <w:rFonts w:ascii="Times New Roman" w:hAnsi="Times New Roman"/>
          <w:noProof/>
        </w:rPr>
      </w:pPr>
    </w:p>
    <w:p>
      <w:pPr>
        <w:jc w:val="both"/>
        <w:rPr>
          <w:rFonts w:ascii="Times New Roman" w:hAnsi="Times New Roman"/>
          <w:noProof/>
        </w:rPr>
      </w:pPr>
      <w:r>
        <w:rPr>
          <w:rFonts w:ascii="Times New Roman" w:hAnsi="Times New Roman"/>
          <w:b/>
          <w:noProof/>
        </w:rPr>
        <w:t>5. attēls. Kumulatīvā piedāvājuma un pieprasījuma sastāvs līdz 2018. gada beigām</w:t>
      </w:r>
    </w:p>
    <w:p>
      <w:pPr>
        <w:rPr>
          <w:rFonts w:ascii="Times New Roman" w:hAnsi="Times New Roman"/>
          <w:noProof/>
          <w:sz w:val="20"/>
          <w:szCs w:val="20"/>
        </w:rPr>
      </w:pPr>
      <w:r>
        <w:rPr>
          <w:rFonts w:ascii="Times New Roman" w:hAnsi="Times New Roman"/>
          <w:b/>
          <w:bCs/>
          <w:noProof/>
          <w:sz w:val="20"/>
          <w:szCs w:val="20"/>
        </w:rPr>
        <w:t>Piedāvājums</w:t>
      </w:r>
      <w:r>
        <w:rPr>
          <w:rFonts w:ascii="Times New Roman" w:hAnsi="Times New Roman"/>
          <w:noProof/>
          <w:sz w:val="20"/>
          <w:szCs w:val="20"/>
        </w:rPr>
        <w:t xml:space="preserve"> (kumulatīvs, milj.)</w:t>
      </w:r>
      <w:r>
        <w:rPr>
          <w:rFonts w:ascii="Times New Roman" w:hAnsi="Times New Roman"/>
          <w:noProof/>
          <w:sz w:val="20"/>
          <w:szCs w:val="20"/>
        </w:rPr>
        <w:tab/>
        <w:t xml:space="preserve">                   </w:t>
      </w:r>
      <w:r>
        <w:rPr>
          <w:rFonts w:ascii="Times New Roman" w:hAnsi="Times New Roman"/>
          <w:b/>
          <w:bCs/>
          <w:noProof/>
          <w:sz w:val="20"/>
          <w:szCs w:val="20"/>
        </w:rPr>
        <w:t xml:space="preserve">Pieprasījums </w:t>
      </w:r>
      <w:r>
        <w:rPr>
          <w:rFonts w:ascii="Times New Roman" w:hAnsi="Times New Roman"/>
          <w:noProof/>
          <w:sz w:val="20"/>
          <w:szCs w:val="20"/>
        </w:rPr>
        <w:t>(kumulatīvs, milj.)</w:t>
      </w:r>
    </w:p>
    <w:p>
      <w:pPr>
        <w:spacing w:after="0"/>
        <w:rPr>
          <w:rFonts w:ascii="Times New Roman" w:hAnsi="Times New Roman"/>
          <w:noProof/>
        </w:rPr>
      </w:pPr>
      <w:r>
        <w:rPr>
          <w:rFonts w:ascii="Times New Roman" w:hAnsi="Times New Roman"/>
          <w:noProof/>
          <w:lang w:val="en-GB" w:eastAsia="en-GB"/>
        </w:rPr>
        <w:drawing>
          <wp:inline distT="0" distB="0" distL="0" distR="0">
            <wp:extent cx="2260315" cy="3174715"/>
            <wp:effectExtent l="0" t="0" r="6985" b="698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Times New Roman" w:hAnsi="Times New Roman"/>
          <w:noProof/>
          <w:lang w:val="en-GB" w:eastAsia="en-GB"/>
        </w:rPr>
        <w:drawing>
          <wp:inline distT="0" distB="0" distL="0" distR="0">
            <wp:extent cx="2167255" cy="3170381"/>
            <wp:effectExtent l="0" t="0" r="4445" b="1143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rPr>
          <w:rFonts w:ascii="Times New Roman" w:hAnsi="Times New Roman"/>
          <w:noProof/>
          <w:sz w:val="18"/>
          <w:szCs w:val="18"/>
        </w:rPr>
      </w:pPr>
      <w:r>
        <w:rPr>
          <w:rFonts w:ascii="Times New Roman" w:hAnsi="Times New Roman"/>
          <w:noProof/>
          <w:sz w:val="18"/>
          <w:szCs w:val="18"/>
        </w:rPr>
        <w:t>Avots: Klimata politikas ģenerāldirektorāts.</w:t>
      </w:r>
    </w:p>
    <w:tbl>
      <w:tblPr>
        <w:tblW w:w="4051" w:type="dxa"/>
        <w:jc w:val="center"/>
        <w:tblLook w:val="04A0" w:firstRow="1" w:lastRow="0" w:firstColumn="1" w:lastColumn="0" w:noHBand="0" w:noVBand="1"/>
      </w:tblPr>
      <w:tblGrid>
        <w:gridCol w:w="551"/>
        <w:gridCol w:w="3500"/>
      </w:tblGrid>
      <w:tr>
        <w:trPr>
          <w:trHeight w:val="310"/>
          <w:jc w:val="center"/>
        </w:trPr>
        <w:tc>
          <w:tcPr>
            <w:tcW w:w="551" w:type="dxa"/>
            <w:tcBorders>
              <w:top w:val="nil"/>
              <w:left w:val="nil"/>
              <w:bottom w:val="nil"/>
              <w:right w:val="nil"/>
            </w:tcBorders>
            <w:shd w:val="clear" w:color="auto" w:fill="4BACC6" w:themeFill="accent5"/>
            <w:noWrap/>
            <w:vAlign w:val="center"/>
          </w:tcPr>
          <w:p>
            <w:pPr>
              <w:spacing w:line="240" w:lineRule="auto"/>
              <w:rPr>
                <w:rFonts w:ascii="Times New Roman" w:eastAsia="Times New Roman" w:hAnsi="Times New Roman"/>
                <w:noProof/>
                <w:color w:val="000000"/>
                <w:sz w:val="24"/>
                <w:szCs w:val="24"/>
              </w:rPr>
            </w:pPr>
            <w:r>
              <w:rPr>
                <w:rFonts w:ascii="Times New Roman" w:hAnsi="Times New Roman"/>
                <w:noProof/>
              </w:rPr>
              <w:t> </w:t>
            </w:r>
          </w:p>
        </w:tc>
        <w:tc>
          <w:tcPr>
            <w:tcW w:w="3500" w:type="dxa"/>
            <w:tcBorders>
              <w:top w:val="nil"/>
              <w:left w:val="nil"/>
              <w:bottom w:val="nil"/>
              <w:right w:val="nil"/>
            </w:tcBorders>
            <w:shd w:val="clear" w:color="000000" w:fill="FFFFFF"/>
            <w:noWrap/>
            <w:vAlign w:val="center"/>
          </w:tcPr>
          <w:p>
            <w:pPr>
              <w:spacing w:line="240" w:lineRule="auto"/>
              <w:rPr>
                <w:rFonts w:ascii="Times New Roman" w:eastAsia="Times New Roman" w:hAnsi="Times New Roman"/>
                <w:noProof/>
                <w:color w:val="000000"/>
                <w:sz w:val="20"/>
                <w:szCs w:val="20"/>
              </w:rPr>
            </w:pPr>
            <w:r>
              <w:rPr>
                <w:rFonts w:ascii="Times New Roman" w:hAnsi="Times New Roman"/>
                <w:noProof/>
                <w:sz w:val="20"/>
                <w:szCs w:val="20"/>
              </w:rPr>
              <w:t>Izsolēs piedāvātās kvotas</w:t>
            </w:r>
          </w:p>
        </w:tc>
      </w:tr>
      <w:tr>
        <w:trPr>
          <w:trHeight w:val="310"/>
          <w:jc w:val="center"/>
        </w:trPr>
        <w:tc>
          <w:tcPr>
            <w:tcW w:w="551" w:type="dxa"/>
            <w:tcBorders>
              <w:top w:val="nil"/>
              <w:left w:val="nil"/>
              <w:bottom w:val="nil"/>
              <w:right w:val="nil"/>
            </w:tcBorders>
            <w:shd w:val="clear" w:color="auto" w:fill="C0504D" w:themeFill="accent2"/>
            <w:noWrap/>
            <w:vAlign w:val="center"/>
          </w:tcPr>
          <w:p>
            <w:pPr>
              <w:spacing w:after="0" w:line="240" w:lineRule="auto"/>
              <w:rPr>
                <w:rFonts w:ascii="Times New Roman" w:eastAsia="Times New Roman" w:hAnsi="Times New Roman"/>
                <w:noProof/>
                <w:color w:val="000000"/>
                <w:sz w:val="24"/>
                <w:szCs w:val="24"/>
              </w:rPr>
            </w:pPr>
            <w:r>
              <w:rPr>
                <w:rFonts w:ascii="Times New Roman" w:hAnsi="Times New Roman"/>
                <w:noProof/>
              </w:rPr>
              <w:t> </w:t>
            </w:r>
          </w:p>
        </w:tc>
        <w:tc>
          <w:tcPr>
            <w:tcW w:w="3500" w:type="dxa"/>
            <w:tcBorders>
              <w:top w:val="nil"/>
              <w:left w:val="nil"/>
              <w:bottom w:val="nil"/>
              <w:right w:val="nil"/>
            </w:tcBorders>
            <w:shd w:val="clear" w:color="000000" w:fill="FFFFFF"/>
            <w:noWrap/>
            <w:vAlign w:val="center"/>
          </w:tcPr>
          <w:p>
            <w:pPr>
              <w:spacing w:after="0" w:line="240" w:lineRule="auto"/>
              <w:rPr>
                <w:rFonts w:ascii="Times New Roman" w:eastAsia="Times New Roman" w:hAnsi="Times New Roman"/>
                <w:noProof/>
                <w:color w:val="000000"/>
                <w:sz w:val="20"/>
                <w:szCs w:val="20"/>
              </w:rPr>
            </w:pPr>
            <w:r>
              <w:rPr>
                <w:rFonts w:ascii="Times New Roman" w:hAnsi="Times New Roman"/>
                <w:noProof/>
                <w:sz w:val="20"/>
                <w:szCs w:val="20"/>
              </w:rPr>
              <w:t>Bezmaksas kvotas</w:t>
            </w:r>
          </w:p>
        </w:tc>
      </w:tr>
      <w:tr>
        <w:trPr>
          <w:trHeight w:val="310"/>
          <w:jc w:val="center"/>
        </w:trPr>
        <w:tc>
          <w:tcPr>
            <w:tcW w:w="551" w:type="dxa"/>
            <w:tcBorders>
              <w:top w:val="nil"/>
              <w:left w:val="nil"/>
              <w:bottom w:val="nil"/>
              <w:right w:val="nil"/>
            </w:tcBorders>
            <w:shd w:val="clear" w:color="auto" w:fill="9BBB59" w:themeFill="accent3"/>
            <w:noWrap/>
            <w:vAlign w:val="center"/>
          </w:tcPr>
          <w:p>
            <w:pPr>
              <w:spacing w:after="0" w:line="240" w:lineRule="auto"/>
              <w:rPr>
                <w:rFonts w:ascii="Times New Roman" w:eastAsia="Times New Roman" w:hAnsi="Times New Roman"/>
                <w:noProof/>
                <w:color w:val="000000"/>
                <w:sz w:val="24"/>
                <w:szCs w:val="24"/>
              </w:rPr>
            </w:pPr>
            <w:r>
              <w:rPr>
                <w:rFonts w:ascii="Times New Roman" w:hAnsi="Times New Roman"/>
                <w:noProof/>
              </w:rPr>
              <w:t> </w:t>
            </w:r>
          </w:p>
        </w:tc>
        <w:tc>
          <w:tcPr>
            <w:tcW w:w="3500" w:type="dxa"/>
            <w:tcBorders>
              <w:top w:val="nil"/>
              <w:left w:val="nil"/>
              <w:bottom w:val="nil"/>
              <w:right w:val="nil"/>
            </w:tcBorders>
            <w:shd w:val="clear" w:color="000000" w:fill="FFFFFF"/>
            <w:noWrap/>
            <w:vAlign w:val="center"/>
          </w:tcPr>
          <w:p>
            <w:pPr>
              <w:spacing w:after="0" w:line="240" w:lineRule="auto"/>
              <w:rPr>
                <w:rFonts w:ascii="Times New Roman" w:eastAsia="Times New Roman" w:hAnsi="Times New Roman"/>
                <w:noProof/>
                <w:color w:val="000000"/>
                <w:sz w:val="20"/>
                <w:szCs w:val="20"/>
              </w:rPr>
            </w:pPr>
            <w:r>
              <w:rPr>
                <w:rFonts w:ascii="Times New Roman" w:hAnsi="Times New Roman"/>
                <w:noProof/>
                <w:sz w:val="20"/>
                <w:szCs w:val="20"/>
              </w:rPr>
              <w:t>Bezmaksas kvotas (</w:t>
            </w:r>
            <w:r>
              <w:rPr>
                <w:rFonts w:ascii="Times New Roman" w:hAnsi="Times New Roman"/>
                <w:i/>
                <w:noProof/>
                <w:sz w:val="20"/>
                <w:szCs w:val="20"/>
              </w:rPr>
              <w:t>NER</w:t>
            </w:r>
            <w:r>
              <w:rPr>
                <w:rFonts w:ascii="Times New Roman" w:hAnsi="Times New Roman"/>
                <w:noProof/>
                <w:sz w:val="20"/>
                <w:szCs w:val="20"/>
              </w:rPr>
              <w:t>)</w:t>
            </w:r>
          </w:p>
        </w:tc>
      </w:tr>
      <w:tr>
        <w:trPr>
          <w:trHeight w:val="310"/>
          <w:jc w:val="center"/>
        </w:trPr>
        <w:tc>
          <w:tcPr>
            <w:tcW w:w="551" w:type="dxa"/>
            <w:tcBorders>
              <w:top w:val="nil"/>
              <w:left w:val="nil"/>
              <w:bottom w:val="nil"/>
              <w:right w:val="nil"/>
            </w:tcBorders>
            <w:shd w:val="clear" w:color="auto" w:fill="8064A2" w:themeFill="accent4"/>
            <w:noWrap/>
            <w:vAlign w:val="center"/>
          </w:tcPr>
          <w:p>
            <w:pPr>
              <w:spacing w:after="0" w:line="240" w:lineRule="auto"/>
              <w:rPr>
                <w:rFonts w:ascii="Times New Roman" w:eastAsia="Times New Roman" w:hAnsi="Times New Roman"/>
                <w:noProof/>
                <w:color w:val="000000"/>
                <w:sz w:val="24"/>
                <w:szCs w:val="24"/>
              </w:rPr>
            </w:pPr>
            <w:r>
              <w:rPr>
                <w:rFonts w:ascii="Times New Roman" w:hAnsi="Times New Roman"/>
                <w:noProof/>
              </w:rPr>
              <w:t> </w:t>
            </w:r>
          </w:p>
        </w:tc>
        <w:tc>
          <w:tcPr>
            <w:tcW w:w="3500" w:type="dxa"/>
            <w:tcBorders>
              <w:top w:val="nil"/>
              <w:left w:val="nil"/>
              <w:bottom w:val="nil"/>
              <w:right w:val="nil"/>
            </w:tcBorders>
            <w:shd w:val="clear" w:color="000000" w:fill="FFFFFF"/>
            <w:noWrap/>
            <w:vAlign w:val="center"/>
          </w:tcPr>
          <w:p>
            <w:pPr>
              <w:spacing w:after="0" w:line="240" w:lineRule="auto"/>
              <w:rPr>
                <w:rFonts w:ascii="Times New Roman" w:eastAsia="Times New Roman" w:hAnsi="Times New Roman"/>
                <w:noProof/>
                <w:color w:val="000000"/>
                <w:sz w:val="20"/>
                <w:szCs w:val="20"/>
              </w:rPr>
            </w:pPr>
            <w:r>
              <w:rPr>
                <w:rFonts w:ascii="Times New Roman" w:hAnsi="Times New Roman"/>
                <w:noProof/>
                <w:sz w:val="20"/>
                <w:szCs w:val="20"/>
              </w:rPr>
              <w:t>Bezmaksas kvotas (10.c pants)</w:t>
            </w:r>
          </w:p>
        </w:tc>
      </w:tr>
      <w:tr>
        <w:trPr>
          <w:trHeight w:val="310"/>
          <w:jc w:val="center"/>
        </w:trPr>
        <w:tc>
          <w:tcPr>
            <w:tcW w:w="551" w:type="dxa"/>
            <w:tcBorders>
              <w:top w:val="nil"/>
              <w:left w:val="nil"/>
              <w:bottom w:val="nil"/>
              <w:right w:val="nil"/>
            </w:tcBorders>
            <w:shd w:val="clear" w:color="auto" w:fill="1F497D" w:themeFill="text2"/>
            <w:noWrap/>
            <w:vAlign w:val="center"/>
          </w:tcPr>
          <w:p>
            <w:pPr>
              <w:spacing w:after="0" w:line="240" w:lineRule="auto"/>
              <w:rPr>
                <w:rFonts w:ascii="Times New Roman" w:eastAsia="Times New Roman" w:hAnsi="Times New Roman"/>
                <w:noProof/>
                <w:color w:val="000000"/>
                <w:sz w:val="24"/>
                <w:szCs w:val="24"/>
              </w:rPr>
            </w:pPr>
            <w:r>
              <w:rPr>
                <w:rFonts w:ascii="Times New Roman" w:hAnsi="Times New Roman"/>
                <w:noProof/>
              </w:rPr>
              <w:t> </w:t>
            </w:r>
          </w:p>
        </w:tc>
        <w:tc>
          <w:tcPr>
            <w:tcW w:w="3500" w:type="dxa"/>
            <w:tcBorders>
              <w:top w:val="nil"/>
              <w:left w:val="nil"/>
              <w:bottom w:val="nil"/>
              <w:right w:val="nil"/>
            </w:tcBorders>
            <w:shd w:val="clear" w:color="000000" w:fill="FFFFFF"/>
            <w:noWrap/>
            <w:vAlign w:val="center"/>
          </w:tcPr>
          <w:p>
            <w:pPr>
              <w:spacing w:after="0" w:line="240" w:lineRule="auto"/>
              <w:rPr>
                <w:rFonts w:ascii="Times New Roman" w:eastAsia="Times New Roman" w:hAnsi="Times New Roman"/>
                <w:noProof/>
                <w:color w:val="000000"/>
                <w:sz w:val="20"/>
                <w:szCs w:val="20"/>
              </w:rPr>
            </w:pPr>
            <w:r>
              <w:rPr>
                <w:rFonts w:ascii="Times New Roman" w:hAnsi="Times New Roman"/>
                <w:noProof/>
                <w:sz w:val="20"/>
                <w:szCs w:val="20"/>
              </w:rPr>
              <w:t>Apmainītie starptautiskie kredīti</w:t>
            </w:r>
          </w:p>
        </w:tc>
      </w:tr>
      <w:tr>
        <w:trPr>
          <w:trHeight w:val="310"/>
          <w:jc w:val="center"/>
        </w:trPr>
        <w:tc>
          <w:tcPr>
            <w:tcW w:w="551" w:type="dxa"/>
            <w:tcBorders>
              <w:top w:val="nil"/>
              <w:left w:val="nil"/>
              <w:bottom w:val="nil"/>
              <w:right w:val="nil"/>
            </w:tcBorders>
            <w:shd w:val="clear" w:color="auto" w:fill="F79646" w:themeFill="accent6"/>
            <w:noWrap/>
            <w:vAlign w:val="center"/>
          </w:tcPr>
          <w:p>
            <w:pPr>
              <w:spacing w:after="0" w:line="240" w:lineRule="auto"/>
              <w:rPr>
                <w:rFonts w:ascii="Times New Roman" w:eastAsia="Times New Roman" w:hAnsi="Times New Roman"/>
                <w:noProof/>
                <w:color w:val="000000"/>
                <w:sz w:val="24"/>
                <w:szCs w:val="24"/>
              </w:rPr>
            </w:pPr>
            <w:r>
              <w:rPr>
                <w:rFonts w:ascii="Times New Roman" w:hAnsi="Times New Roman"/>
                <w:noProof/>
              </w:rPr>
              <w:t> </w:t>
            </w:r>
          </w:p>
        </w:tc>
        <w:tc>
          <w:tcPr>
            <w:tcW w:w="3500" w:type="dxa"/>
            <w:tcBorders>
              <w:top w:val="nil"/>
              <w:left w:val="nil"/>
              <w:bottom w:val="nil"/>
              <w:right w:val="nil"/>
            </w:tcBorders>
            <w:shd w:val="clear" w:color="000000" w:fill="FFFFFF"/>
            <w:noWrap/>
            <w:vAlign w:val="center"/>
          </w:tcPr>
          <w:p>
            <w:pPr>
              <w:spacing w:after="0" w:line="240" w:lineRule="auto"/>
              <w:rPr>
                <w:rFonts w:ascii="Times New Roman" w:eastAsia="Times New Roman" w:hAnsi="Times New Roman"/>
                <w:noProof/>
                <w:color w:val="000000"/>
                <w:sz w:val="20"/>
                <w:szCs w:val="20"/>
              </w:rPr>
            </w:pPr>
            <w:r>
              <w:rPr>
                <w:rFonts w:ascii="Times New Roman" w:hAnsi="Times New Roman"/>
                <w:noProof/>
                <w:sz w:val="20"/>
                <w:szCs w:val="20"/>
              </w:rPr>
              <w:t xml:space="preserve">EIB monetizētās </w:t>
            </w:r>
            <w:r>
              <w:rPr>
                <w:rFonts w:ascii="Times New Roman" w:hAnsi="Times New Roman"/>
                <w:i/>
                <w:noProof/>
                <w:sz w:val="20"/>
                <w:szCs w:val="20"/>
              </w:rPr>
              <w:t>NER300</w:t>
            </w:r>
            <w:r>
              <w:rPr>
                <w:rFonts w:ascii="Times New Roman" w:hAnsi="Times New Roman"/>
                <w:noProof/>
                <w:sz w:val="20"/>
                <w:szCs w:val="20"/>
              </w:rPr>
              <w:t xml:space="preserve"> kvotas</w:t>
            </w:r>
          </w:p>
        </w:tc>
      </w:tr>
      <w:tr>
        <w:trPr>
          <w:trHeight w:val="310"/>
          <w:jc w:val="center"/>
        </w:trPr>
        <w:tc>
          <w:tcPr>
            <w:tcW w:w="551" w:type="dxa"/>
            <w:tcBorders>
              <w:top w:val="nil"/>
              <w:left w:val="nil"/>
              <w:bottom w:val="nil"/>
              <w:right w:val="nil"/>
            </w:tcBorders>
            <w:shd w:val="clear" w:color="auto" w:fill="632423" w:themeFill="accent2" w:themeFillShade="80"/>
            <w:noWrap/>
            <w:vAlign w:val="center"/>
          </w:tcPr>
          <w:p>
            <w:pPr>
              <w:spacing w:after="0" w:line="240" w:lineRule="auto"/>
              <w:rPr>
                <w:rFonts w:ascii="Times New Roman" w:eastAsia="Times New Roman" w:hAnsi="Times New Roman"/>
                <w:noProof/>
                <w:color w:val="000000"/>
                <w:sz w:val="24"/>
                <w:szCs w:val="24"/>
              </w:rPr>
            </w:pPr>
          </w:p>
        </w:tc>
        <w:tc>
          <w:tcPr>
            <w:tcW w:w="3500" w:type="dxa"/>
            <w:tcBorders>
              <w:top w:val="nil"/>
              <w:left w:val="nil"/>
              <w:bottom w:val="nil"/>
              <w:right w:val="nil"/>
            </w:tcBorders>
            <w:shd w:val="clear" w:color="000000" w:fill="FFFFFF"/>
            <w:noWrap/>
            <w:vAlign w:val="center"/>
          </w:tcPr>
          <w:p>
            <w:pPr>
              <w:spacing w:after="0" w:line="240" w:lineRule="auto"/>
              <w:rPr>
                <w:rFonts w:ascii="Times New Roman" w:eastAsia="Times New Roman" w:hAnsi="Times New Roman"/>
                <w:noProof/>
                <w:color w:val="000000"/>
                <w:sz w:val="20"/>
                <w:szCs w:val="20"/>
              </w:rPr>
            </w:pPr>
            <w:r>
              <w:rPr>
                <w:rFonts w:ascii="Times New Roman" w:hAnsi="Times New Roman"/>
                <w:noProof/>
                <w:sz w:val="20"/>
                <w:szCs w:val="20"/>
              </w:rPr>
              <w:t>Agrīnās izsoles</w:t>
            </w:r>
          </w:p>
        </w:tc>
      </w:tr>
      <w:tr>
        <w:trPr>
          <w:trHeight w:val="310"/>
          <w:jc w:val="center"/>
        </w:trPr>
        <w:tc>
          <w:tcPr>
            <w:tcW w:w="551" w:type="dxa"/>
            <w:tcBorders>
              <w:top w:val="nil"/>
              <w:left w:val="nil"/>
              <w:bottom w:val="nil"/>
              <w:right w:val="nil"/>
            </w:tcBorders>
            <w:shd w:val="clear" w:color="auto" w:fill="4F81BD" w:themeFill="accent1"/>
            <w:noWrap/>
            <w:vAlign w:val="center"/>
          </w:tcPr>
          <w:p>
            <w:pPr>
              <w:spacing w:after="0" w:line="240" w:lineRule="auto"/>
              <w:rPr>
                <w:rFonts w:ascii="Times New Roman" w:eastAsia="Times New Roman" w:hAnsi="Times New Roman"/>
                <w:noProof/>
                <w:color w:val="000000"/>
                <w:sz w:val="24"/>
                <w:szCs w:val="24"/>
              </w:rPr>
            </w:pPr>
            <w:r>
              <w:rPr>
                <w:rFonts w:ascii="Times New Roman" w:hAnsi="Times New Roman"/>
                <w:noProof/>
              </w:rPr>
              <w:t> </w:t>
            </w:r>
          </w:p>
        </w:tc>
        <w:tc>
          <w:tcPr>
            <w:tcW w:w="3500" w:type="dxa"/>
            <w:tcBorders>
              <w:top w:val="nil"/>
              <w:left w:val="nil"/>
              <w:bottom w:val="nil"/>
              <w:right w:val="nil"/>
            </w:tcBorders>
            <w:shd w:val="clear" w:color="000000" w:fill="FFFFFF"/>
            <w:noWrap/>
            <w:vAlign w:val="center"/>
          </w:tcPr>
          <w:p>
            <w:pPr>
              <w:spacing w:after="0" w:line="240" w:lineRule="auto"/>
              <w:rPr>
                <w:rFonts w:ascii="Times New Roman" w:eastAsia="Times New Roman" w:hAnsi="Times New Roman"/>
                <w:noProof/>
                <w:color w:val="000000"/>
                <w:sz w:val="20"/>
                <w:szCs w:val="20"/>
              </w:rPr>
            </w:pPr>
            <w:r>
              <w:rPr>
                <w:rFonts w:ascii="Times New Roman" w:hAnsi="Times New Roman"/>
                <w:noProof/>
                <w:sz w:val="20"/>
                <w:szCs w:val="20"/>
              </w:rPr>
              <w:t>Uzkrātās kvotas</w:t>
            </w:r>
          </w:p>
        </w:tc>
      </w:tr>
    </w:tbl>
    <w:tbl>
      <w:tblPr>
        <w:tblpPr w:leftFromText="180" w:rightFromText="180" w:vertAnchor="text" w:horzAnchor="page" w:tblpX="6517" w:tblpY="-2342"/>
        <w:tblW w:w="3380" w:type="dxa"/>
        <w:tblLook w:val="04A0" w:firstRow="1" w:lastRow="0" w:firstColumn="1" w:lastColumn="0" w:noHBand="0" w:noVBand="1"/>
      </w:tblPr>
      <w:tblGrid>
        <w:gridCol w:w="460"/>
        <w:gridCol w:w="2920"/>
      </w:tblGrid>
      <w:tr>
        <w:trPr>
          <w:trHeight w:val="342"/>
        </w:trPr>
        <w:tc>
          <w:tcPr>
            <w:tcW w:w="460" w:type="dxa"/>
            <w:tcBorders>
              <w:top w:val="nil"/>
              <w:left w:val="nil"/>
              <w:bottom w:val="nil"/>
              <w:right w:val="nil"/>
            </w:tcBorders>
            <w:shd w:val="clear" w:color="auto" w:fill="3374C3"/>
            <w:noWrap/>
            <w:vAlign w:val="center"/>
            <w:hideMark/>
          </w:tcPr>
          <w:p>
            <w:pPr>
              <w:spacing w:after="0" w:line="240" w:lineRule="auto"/>
              <w:rPr>
                <w:rFonts w:ascii="Times New Roman" w:eastAsia="Times New Roman" w:hAnsi="Times New Roman"/>
                <w:noProof/>
                <w:color w:val="000000"/>
                <w:sz w:val="24"/>
                <w:szCs w:val="24"/>
              </w:rPr>
            </w:pPr>
            <w:r>
              <w:rPr>
                <w:rFonts w:ascii="Times New Roman" w:hAnsi="Times New Roman"/>
                <w:noProof/>
              </w:rPr>
              <w:t> </w:t>
            </w:r>
          </w:p>
        </w:tc>
        <w:tc>
          <w:tcPr>
            <w:tcW w:w="2920" w:type="dxa"/>
            <w:tcBorders>
              <w:top w:val="nil"/>
              <w:left w:val="nil"/>
              <w:bottom w:val="nil"/>
              <w:right w:val="nil"/>
            </w:tcBorders>
            <w:shd w:val="clear" w:color="000000" w:fill="FFFFFF"/>
            <w:noWrap/>
            <w:vAlign w:val="center"/>
            <w:hideMark/>
          </w:tcPr>
          <w:p>
            <w:pPr>
              <w:spacing w:after="0" w:line="240" w:lineRule="auto"/>
              <w:rPr>
                <w:rFonts w:ascii="Times New Roman" w:eastAsia="Times New Roman" w:hAnsi="Times New Roman"/>
                <w:noProof/>
                <w:color w:val="000000"/>
                <w:sz w:val="20"/>
                <w:szCs w:val="20"/>
              </w:rPr>
            </w:pPr>
            <w:r>
              <w:rPr>
                <w:rFonts w:ascii="Times New Roman" w:hAnsi="Times New Roman"/>
                <w:noProof/>
                <w:sz w:val="20"/>
                <w:szCs w:val="20"/>
              </w:rPr>
              <w:t>Verificētās emisijas</w:t>
            </w:r>
          </w:p>
        </w:tc>
      </w:tr>
      <w:tr>
        <w:trPr>
          <w:trHeight w:val="342"/>
        </w:trPr>
        <w:tc>
          <w:tcPr>
            <w:tcW w:w="460" w:type="dxa"/>
            <w:tcBorders>
              <w:top w:val="nil"/>
              <w:left w:val="nil"/>
              <w:bottom w:val="nil"/>
              <w:right w:val="nil"/>
            </w:tcBorders>
            <w:shd w:val="clear" w:color="auto" w:fill="C2D69B"/>
            <w:noWrap/>
            <w:vAlign w:val="center"/>
            <w:hideMark/>
          </w:tcPr>
          <w:p>
            <w:pPr>
              <w:spacing w:after="0" w:line="240" w:lineRule="auto"/>
              <w:rPr>
                <w:rFonts w:ascii="Times New Roman" w:eastAsia="Times New Roman" w:hAnsi="Times New Roman"/>
                <w:noProof/>
                <w:color w:val="000000"/>
                <w:sz w:val="24"/>
                <w:szCs w:val="24"/>
              </w:rPr>
            </w:pPr>
            <w:r>
              <w:rPr>
                <w:rFonts w:ascii="Times New Roman" w:hAnsi="Times New Roman"/>
                <w:noProof/>
              </w:rPr>
              <w:t> </w:t>
            </w:r>
          </w:p>
        </w:tc>
        <w:tc>
          <w:tcPr>
            <w:tcW w:w="2920" w:type="dxa"/>
            <w:tcBorders>
              <w:top w:val="nil"/>
              <w:left w:val="nil"/>
              <w:bottom w:val="nil"/>
              <w:right w:val="nil"/>
            </w:tcBorders>
            <w:shd w:val="clear" w:color="000000" w:fill="FFFFFF"/>
            <w:noWrap/>
            <w:vAlign w:val="center"/>
            <w:hideMark/>
          </w:tcPr>
          <w:p>
            <w:pPr>
              <w:spacing w:after="0" w:line="240" w:lineRule="auto"/>
              <w:rPr>
                <w:rFonts w:ascii="Times New Roman" w:eastAsia="Times New Roman" w:hAnsi="Times New Roman"/>
                <w:noProof/>
                <w:color w:val="000000"/>
                <w:sz w:val="20"/>
                <w:szCs w:val="20"/>
              </w:rPr>
            </w:pPr>
            <w:r>
              <w:rPr>
                <w:rFonts w:ascii="Times New Roman" w:hAnsi="Times New Roman"/>
                <w:noProof/>
                <w:sz w:val="20"/>
                <w:szCs w:val="20"/>
              </w:rPr>
              <w:t>Anulētās kvotas</w:t>
            </w:r>
          </w:p>
        </w:tc>
      </w:tr>
    </w:tbl>
    <w:p>
      <w:pPr>
        <w:jc w:val="both"/>
        <w:rPr>
          <w:rFonts w:ascii="Times New Roman" w:hAnsi="Times New Roman"/>
          <w:noProof/>
          <w:sz w:val="24"/>
          <w:szCs w:val="24"/>
        </w:rPr>
      </w:pPr>
    </w:p>
    <w:p>
      <w:pPr>
        <w:jc w:val="both"/>
        <w:rPr>
          <w:rFonts w:ascii="Times New Roman" w:hAnsi="Times New Roman"/>
          <w:noProof/>
          <w:sz w:val="24"/>
          <w:szCs w:val="24"/>
        </w:rPr>
      </w:pPr>
      <w:r>
        <w:rPr>
          <w:rFonts w:ascii="Times New Roman" w:hAnsi="Times New Roman"/>
          <w:noProof/>
          <w:sz w:val="24"/>
          <w:szCs w:val="24"/>
        </w:rPr>
        <w:t>Gatavojoties TSR darbības uzsākšanai 2019. gadā, Komisija, sākot no 2017. gada maija vidus</w:t>
      </w:r>
      <w:r>
        <w:rPr>
          <w:rFonts w:ascii="Times New Roman" w:hAnsi="Times New Roman"/>
          <w:noProof/>
          <w:sz w:val="24"/>
          <w:szCs w:val="24"/>
          <w:vertAlign w:val="superscript"/>
        </w:rPr>
        <w:footnoteReference w:id="47"/>
      </w:r>
      <w:r>
        <w:rPr>
          <w:rFonts w:ascii="Times New Roman" w:hAnsi="Times New Roman"/>
          <w:noProof/>
          <w:sz w:val="24"/>
          <w:szCs w:val="24"/>
        </w:rPr>
        <w:t xml:space="preserve">, regulāri publicē iepriekšējā gada </w:t>
      </w:r>
      <w:r>
        <w:rPr>
          <w:rFonts w:ascii="Times New Roman" w:hAnsi="Times New Roman"/>
          <w:i/>
          <w:noProof/>
          <w:sz w:val="24"/>
          <w:szCs w:val="24"/>
        </w:rPr>
        <w:t>TNAC</w:t>
      </w:r>
      <w:r>
        <w:rPr>
          <w:rFonts w:ascii="Times New Roman" w:hAnsi="Times New Roman"/>
          <w:noProof/>
          <w:sz w:val="24"/>
          <w:szCs w:val="24"/>
        </w:rPr>
        <w:t xml:space="preserve">. 2019. gada maijā </w:t>
      </w:r>
      <w:r>
        <w:rPr>
          <w:rFonts w:ascii="Times New Roman" w:hAnsi="Times New Roman"/>
          <w:i/>
          <w:noProof/>
          <w:sz w:val="24"/>
          <w:szCs w:val="24"/>
        </w:rPr>
        <w:t>TNAC</w:t>
      </w:r>
      <w:r>
        <w:rPr>
          <w:rFonts w:ascii="Times New Roman" w:hAnsi="Times New Roman"/>
          <w:noProof/>
          <w:sz w:val="24"/>
          <w:szCs w:val="24"/>
        </w:rPr>
        <w:t xml:space="preserve"> publicēts trešo reizi, un tas bija 1 654 909 824 kvotas</w:t>
      </w:r>
      <w:r>
        <w:rPr>
          <w:rFonts w:ascii="Times New Roman" w:hAnsi="Times New Roman"/>
          <w:noProof/>
          <w:sz w:val="24"/>
          <w:szCs w:val="24"/>
          <w:vertAlign w:val="superscript"/>
        </w:rPr>
        <w:footnoteReference w:id="48"/>
      </w:r>
      <w:r>
        <w:rPr>
          <w:rFonts w:ascii="Times New Roman" w:hAnsi="Times New Roman"/>
          <w:noProof/>
          <w:sz w:val="24"/>
          <w:szCs w:val="24"/>
        </w:rPr>
        <w:t>. Pēc 2019. gada publikācijas turpinās kvotu iekļaušana TSR, samazinot 2019. un 2020. gadā izsolāmos apjomus.</w:t>
      </w:r>
    </w:p>
    <w:p>
      <w:pPr>
        <w:jc w:val="both"/>
        <w:rPr>
          <w:rFonts w:ascii="Times New Roman" w:hAnsi="Times New Roman"/>
          <w:noProof/>
          <w:sz w:val="24"/>
          <w:szCs w:val="24"/>
        </w:rPr>
      </w:pPr>
      <w:r>
        <w:rPr>
          <w:rFonts w:ascii="Times New Roman" w:hAnsi="Times New Roman"/>
          <w:noProof/>
          <w:sz w:val="24"/>
          <w:szCs w:val="24"/>
        </w:rPr>
        <w:t xml:space="preserve">Tādējādi, balstoties uz 2017. un 2018. gada </w:t>
      </w:r>
      <w:r>
        <w:rPr>
          <w:rFonts w:ascii="Times New Roman" w:hAnsi="Times New Roman"/>
          <w:i/>
          <w:noProof/>
          <w:sz w:val="24"/>
          <w:szCs w:val="24"/>
        </w:rPr>
        <w:t>TNAC</w:t>
      </w:r>
      <w:r>
        <w:rPr>
          <w:rFonts w:ascii="Times New Roman" w:hAnsi="Times New Roman"/>
          <w:noProof/>
          <w:sz w:val="24"/>
          <w:szCs w:val="24"/>
        </w:rPr>
        <w:t xml:space="preserve"> un pārskatītajiem tiesību aktiem, 2019. gadā izsolāmais apjoms tika samazināts gandrīz par 40 % vai aptuveni 397 miljoniem kvotu. Attiecīgi tiks samazināts arī 2020. gadā izsolāmais apjoms</w:t>
      </w:r>
      <w:r>
        <w:rPr>
          <w:rFonts w:ascii="Times New Roman" w:hAnsi="Times New Roman"/>
          <w:noProof/>
          <w:sz w:val="24"/>
          <w:szCs w:val="24"/>
          <w:vertAlign w:val="superscript"/>
        </w:rPr>
        <w:footnoteReference w:id="49"/>
      </w:r>
      <w:r>
        <w:rPr>
          <w:rFonts w:ascii="Times New Roman" w:hAnsi="Times New Roman"/>
          <w:noProof/>
          <w:sz w:val="24"/>
          <w:szCs w:val="24"/>
        </w:rPr>
        <w:t>. Tādēļ 2019. gadā tiks izsolīts par aptuveni</w:t>
      </w:r>
      <w:r>
        <w:rPr>
          <w:rFonts w:ascii="Times New Roman" w:hAnsi="Times New Roman"/>
          <w:noProof/>
        </w:rPr>
        <w:t xml:space="preserve"> </w:t>
      </w:r>
      <w:r>
        <w:rPr>
          <w:rFonts w:ascii="Times New Roman" w:hAnsi="Times New Roman"/>
          <w:noProof/>
          <w:sz w:val="24"/>
          <w:szCs w:val="24"/>
        </w:rPr>
        <w:t>30 %</w:t>
      </w:r>
      <w:r>
        <w:rPr>
          <w:rFonts w:ascii="Times New Roman" w:hAnsi="Times New Roman"/>
          <w:noProof/>
          <w:sz w:val="24"/>
          <w:szCs w:val="24"/>
          <w:vertAlign w:val="superscript"/>
        </w:rPr>
        <w:footnoteReference w:id="50"/>
      </w:r>
      <w:r>
        <w:rPr>
          <w:rFonts w:ascii="Times New Roman" w:hAnsi="Times New Roman"/>
          <w:noProof/>
          <w:sz w:val="24"/>
          <w:szCs w:val="24"/>
        </w:rPr>
        <w:t xml:space="preserve"> mazāk kvotu</w:t>
      </w:r>
      <w:r>
        <w:rPr>
          <w:rFonts w:ascii="Times New Roman" w:hAnsi="Times New Roman"/>
          <w:noProof/>
          <w:sz w:val="24"/>
          <w:szCs w:val="24"/>
          <w:vertAlign w:val="superscript"/>
        </w:rPr>
        <w:footnoteReference w:id="51"/>
      </w:r>
      <w:r>
        <w:rPr>
          <w:rFonts w:ascii="Times New Roman" w:hAnsi="Times New Roman"/>
          <w:noProof/>
          <w:sz w:val="24"/>
          <w:szCs w:val="24"/>
        </w:rPr>
        <w:t xml:space="preserve"> nekā 2018. gadā. Pielikuma 8. papildinājumā ir sniegta informācija par dalībvalstu ieguldījumu TSR par visu 2019. gadu, kā arī par periodu no 2020. gada janvāra līdz augustam.</w:t>
      </w:r>
    </w:p>
    <w:p>
      <w:pPr>
        <w:pStyle w:val="Heading1"/>
        <w:spacing w:before="0" w:after="200"/>
        <w:rPr>
          <w:noProof/>
        </w:rPr>
      </w:pPr>
      <w:bookmarkStart w:id="19" w:name="_Toc24103536"/>
      <w:r>
        <w:rPr>
          <w:noProof/>
        </w:rPr>
        <w:t>4. AVIĀCIJA</w:t>
      </w:r>
      <w:bookmarkEnd w:id="19"/>
    </w:p>
    <w:p>
      <w:pPr>
        <w:jc w:val="both"/>
        <w:rPr>
          <w:rFonts w:ascii="Times New Roman" w:hAnsi="Times New Roman"/>
          <w:noProof/>
        </w:rPr>
      </w:pPr>
      <w:r>
        <w:rPr>
          <w:rFonts w:ascii="Times New Roman" w:hAnsi="Times New Roman"/>
          <w:noProof/>
          <w:lang w:val="en-GB" w:eastAsia="en-GB"/>
        </w:rPr>
        <mc:AlternateContent>
          <mc:Choice Requires="wps">
            <w:drawing>
              <wp:inline distT="0" distB="0" distL="0" distR="0">
                <wp:extent cx="5727802" cy="3962400"/>
                <wp:effectExtent l="0" t="0" r="25400"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802" cy="3962400"/>
                        </a:xfrm>
                        <a:prstGeom prst="rect">
                          <a:avLst/>
                        </a:prstGeom>
                        <a:solidFill>
                          <a:sysClr val="window" lastClr="FFFFFF">
                            <a:lumMod val="85000"/>
                          </a:sysClr>
                        </a:solidFill>
                        <a:ln w="12700">
                          <a:solidFill>
                            <a:srgbClr val="000000"/>
                          </a:solidFill>
                          <a:miter lim="800000"/>
                          <a:headEnd/>
                          <a:tailEnd/>
                        </a:ln>
                      </wps:spPr>
                      <wps:txbx>
                        <w:txbxContent>
                          <w:p>
                            <w:pPr>
                              <w:jc w:val="both"/>
                              <w:rPr>
                                <w:rFonts w:ascii="Times New Roman" w:hAnsi="Times New Roman"/>
                                <w:sz w:val="24"/>
                                <w:szCs w:val="24"/>
                              </w:rPr>
                            </w:pPr>
                            <w:r>
                              <w:rPr>
                                <w:rFonts w:ascii="Times New Roman" w:hAnsi="Times New Roman"/>
                              </w:rPr>
                              <w:t xml:space="preserve">Aviācijas nozare ir iekļauta ES ETS kopš 2012. gada. Sākotnējie tiesību akti attiecās uz visiem </w:t>
                            </w:r>
                            <w:r>
                              <w:rPr>
                                <w:rFonts w:ascii="Times New Roman" w:hAnsi="Times New Roman"/>
                                <w:sz w:val="24"/>
                                <w:szCs w:val="24"/>
                              </w:rPr>
                              <w:t>lidojumiem uz Eiropas Ekonomikas zonu (EEZ) un no tās. Tomēr 2012.–2016. gada periodā ES šīs saistības ierobežoja, proti, tās piemēroja tikai lidojumiem Eiropas Ekonomikas zonā, lai tā atbalstītu Starptautiskās Civilās aviācijas organizācijas (</w:t>
                            </w:r>
                            <w:r>
                              <w:rPr>
                                <w:rFonts w:ascii="Times New Roman" w:hAnsi="Times New Roman"/>
                                <w:i/>
                                <w:sz w:val="24"/>
                                <w:szCs w:val="24"/>
                              </w:rPr>
                              <w:t>ICAO</w:t>
                            </w:r>
                            <w:r>
                              <w:rPr>
                                <w:rFonts w:ascii="Times New Roman" w:hAnsi="Times New Roman"/>
                                <w:sz w:val="24"/>
                                <w:szCs w:val="24"/>
                              </w:rPr>
                              <w:t xml:space="preserve">) globālā pasākuma izstrādi, kura nolūks ir samazināt aviācijas emisijas. </w:t>
                            </w:r>
                          </w:p>
                          <w:p>
                            <w:pPr>
                              <w:jc w:val="both"/>
                              <w:rPr>
                                <w:rFonts w:ascii="Times New Roman" w:hAnsi="Times New Roman"/>
                                <w:sz w:val="24"/>
                                <w:szCs w:val="24"/>
                              </w:rPr>
                            </w:pPr>
                            <w:r>
                              <w:rPr>
                                <w:rFonts w:ascii="Times New Roman" w:hAnsi="Times New Roman"/>
                                <w:sz w:val="24"/>
                                <w:szCs w:val="24"/>
                              </w:rPr>
                              <w:t xml:space="preserve">2016. gada oktobrī </w:t>
                            </w:r>
                            <w:r>
                              <w:rPr>
                                <w:rFonts w:ascii="Times New Roman" w:hAnsi="Times New Roman"/>
                                <w:i/>
                                <w:sz w:val="24"/>
                                <w:szCs w:val="24"/>
                              </w:rPr>
                              <w:t>ICAO</w:t>
                            </w:r>
                            <w:r>
                              <w:rPr>
                                <w:rFonts w:ascii="Times New Roman" w:hAnsi="Times New Roman"/>
                                <w:sz w:val="24"/>
                                <w:szCs w:val="24"/>
                              </w:rPr>
                              <w:t xml:space="preserve"> asambleja vienojās par rezolūciju par starptautiskās aviācijas radīto CO</w:t>
                            </w:r>
                            <w:r>
                              <w:rPr>
                                <w:rFonts w:ascii="Times New Roman" w:hAnsi="Times New Roman"/>
                                <w:sz w:val="24"/>
                                <w:szCs w:val="24"/>
                                <w:vertAlign w:val="subscript"/>
                              </w:rPr>
                              <w:t>2</w:t>
                            </w:r>
                            <w:r>
                              <w:rPr>
                                <w:rFonts w:ascii="Times New Roman" w:hAnsi="Times New Roman"/>
                                <w:sz w:val="24"/>
                                <w:szCs w:val="24"/>
                              </w:rPr>
                              <w:t xml:space="preserve"> emisiju izlīdzināšanas un samazināšanas shēmu (</w:t>
                            </w:r>
                            <w:r>
                              <w:rPr>
                                <w:rFonts w:ascii="Times New Roman" w:hAnsi="Times New Roman"/>
                                <w:i/>
                                <w:sz w:val="24"/>
                                <w:szCs w:val="24"/>
                              </w:rPr>
                              <w:t>CORSIA</w:t>
                            </w:r>
                            <w:r>
                              <w:rPr>
                                <w:rFonts w:ascii="Times New Roman" w:hAnsi="Times New Roman"/>
                                <w:sz w:val="24"/>
                                <w:szCs w:val="24"/>
                              </w:rPr>
                              <w:t xml:space="preserve">). </w:t>
                            </w:r>
                            <w:r>
                              <w:rPr>
                                <w:rFonts w:ascii="Times New Roman" w:hAnsi="Times New Roman"/>
                                <w:i/>
                                <w:sz w:val="24"/>
                                <w:szCs w:val="24"/>
                              </w:rPr>
                              <w:t>CORSIA</w:t>
                            </w:r>
                            <w:r>
                              <w:rPr>
                                <w:rFonts w:ascii="Times New Roman" w:hAnsi="Times New Roman"/>
                                <w:sz w:val="24"/>
                                <w:szCs w:val="24"/>
                              </w:rPr>
                              <w:t xml:space="preserve"> ir iecerēta kā oglekļa emisiju izlīdzināšanas shēma, kuras mērķis ir stabilizēt starptautiskās aviācijas radītās emisijas, tās noturot 2020. gada līmenī. Ņemot vērā šo iznākumu, ES ETS direktīva 2017. gadā tika grozīta, lai darbības jomu attiecinātu tikai uz lidojumiem EEZ iekšienē vēl līdz 2023. gada 31. decembrim.</w:t>
                            </w:r>
                            <w:r>
                              <w:rPr>
                                <w:sz w:val="24"/>
                                <w:szCs w:val="24"/>
                              </w:rPr>
                              <w:t xml:space="preserve"> </w:t>
                            </w:r>
                            <w:r>
                              <w:rPr>
                                <w:rFonts w:ascii="Times New Roman" w:hAnsi="Times New Roman"/>
                                <w:sz w:val="24"/>
                                <w:szCs w:val="24"/>
                              </w:rPr>
                              <w:t xml:space="preserve">Ja direktīva netiks pārskatīta, tad tiks atjaunots tās sākotnēji iecerētais tvērums. </w:t>
                            </w:r>
                          </w:p>
                          <w:p>
                            <w:pPr>
                              <w:jc w:val="both"/>
                              <w:rPr>
                                <w:rFonts w:ascii="Times New Roman" w:hAnsi="Times New Roman"/>
                                <w:sz w:val="24"/>
                                <w:szCs w:val="24"/>
                              </w:rPr>
                            </w:pPr>
                            <w:r>
                              <w:rPr>
                                <w:rFonts w:ascii="Times New Roman" w:hAnsi="Times New Roman"/>
                                <w:sz w:val="24"/>
                                <w:szCs w:val="24"/>
                              </w:rPr>
                              <w:t xml:space="preserve">Pārskatītajā ES ETS direktīvā ir noteikts, ka Eiropas Komisija ziņo Eiropas Parlamentam un Padomei par iespējām </w:t>
                            </w:r>
                            <w:r>
                              <w:rPr>
                                <w:rFonts w:ascii="Times New Roman" w:hAnsi="Times New Roman"/>
                                <w:i/>
                                <w:sz w:val="24"/>
                                <w:szCs w:val="24"/>
                              </w:rPr>
                              <w:t>CORSIA</w:t>
                            </w:r>
                            <w:r>
                              <w:rPr>
                                <w:rFonts w:ascii="Times New Roman" w:hAnsi="Times New Roman"/>
                                <w:sz w:val="24"/>
                                <w:szCs w:val="24"/>
                              </w:rPr>
                              <w:t xml:space="preserve"> ES tiesībās iestrādāt, pārskatot minēto direktīvu. Tajā ir arī noteikts, ka aviācijas nozares kvotām no 2021. gada piemēro lineāro samazinājuma koeficientu</w:t>
                            </w:r>
                            <w:r>
                              <w:rPr>
                                <w:rFonts w:ascii="Times New Roman" w:hAnsi="Times New Roman"/>
                              </w:rPr>
                              <w:t xml:space="preserve">. </w:t>
                            </w:r>
                          </w:p>
                          <w:p>
                            <w:pPr>
                              <w:jc w:val="both"/>
                              <w:rPr>
                                <w:rFonts w:ascii="Times New Roman" w:hAnsi="Times New Roman"/>
                                <w:sz w:val="24"/>
                                <w:szCs w:val="24"/>
                              </w:rPr>
                            </w:pPr>
                          </w:p>
                          <w:p>
                            <w:pPr>
                              <w:jc w:val="both"/>
                            </w:pPr>
                          </w:p>
                        </w:txbxContent>
                      </wps:txbx>
                      <wps:bodyPr rot="0" vert="horz" wrap="square" lIns="91440" tIns="45720" rIns="91440" bIns="45720" anchor="t" anchorCtr="0">
                        <a:noAutofit/>
                      </wps:bodyPr>
                    </wps:wsp>
                  </a:graphicData>
                </a:graphic>
              </wp:inline>
            </w:drawing>
          </mc:Choice>
          <mc:Fallback>
            <w:pict>
              <v:shape id="_x0000_s1037" type="#_x0000_t202" style="width:451pt;height:3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" fillcolor="#d9d9d9" strokeweight="1pt">
                <v:textbox>
                  <w:txbxContent>
                    <w:p>
                      <w:pPr>
                        <w:jc w:val="both"/>
                        <w:rPr>
                          <w:rFonts w:ascii="Times New Roman" w:hAnsi="Times New Roman"/>
                          <w:sz w:val="24"/>
                          <w:szCs w:val="24"/>
                        </w:rPr>
                      </w:pPr>
                      <w:r>
                        <w:rPr>
                          <w:rFonts w:ascii="Times New Roman" w:hAnsi="Times New Roman"/>
                        </w:rPr>
                        <w:t xml:space="preserve">Aviācijas nozare ir iekļauta ES ETS kopš 2012. gada. Sākotnējie tiesību akti attiecās uz visiem </w:t>
                      </w:r>
                      <w:r>
                        <w:rPr>
                          <w:rFonts w:ascii="Times New Roman" w:hAnsi="Times New Roman"/>
                          <w:sz w:val="24"/>
                          <w:szCs w:val="24"/>
                        </w:rPr>
                        <w:t>lidojumiem uz Eiropas Ekonomikas zonu (EEZ) un no tās. Tomēr 2012.–2016. gada periodā ES šīs saistības ierobežoja, proti, tās piemēroja tikai lidojumiem Eiropas Ekonomikas zonā, lai tā atbalstītu Starptautiskās Civilās aviācijas organizācijas (</w:t>
                      </w:r>
                      <w:r>
                        <w:rPr>
                          <w:rFonts w:ascii="Times New Roman" w:hAnsi="Times New Roman"/>
                          <w:i/>
                          <w:sz w:val="24"/>
                          <w:szCs w:val="24"/>
                        </w:rPr>
                        <w:t>ICAO</w:t>
                      </w:r>
                      <w:r>
                        <w:rPr>
                          <w:rFonts w:ascii="Times New Roman" w:hAnsi="Times New Roman"/>
                          <w:sz w:val="24"/>
                          <w:szCs w:val="24"/>
                        </w:rPr>
                        <w:t xml:space="preserve">) globālā pasākuma izstrādi, kura nolūks ir samazināt aviācijas emisijas. </w:t>
                      </w:r>
                    </w:p>
                    <w:p>
                      <w:pPr>
                        <w:jc w:val="both"/>
                        <w:rPr>
                          <w:rFonts w:ascii="Times New Roman" w:hAnsi="Times New Roman"/>
                          <w:sz w:val="24"/>
                          <w:szCs w:val="24"/>
                        </w:rPr>
                      </w:pPr>
                      <w:r>
                        <w:rPr>
                          <w:rFonts w:ascii="Times New Roman" w:hAnsi="Times New Roman"/>
                          <w:sz w:val="24"/>
                          <w:szCs w:val="24"/>
                        </w:rPr>
                        <w:t xml:space="preserve">2016. gada oktobrī </w:t>
                      </w:r>
                      <w:r>
                        <w:rPr>
                          <w:rFonts w:ascii="Times New Roman" w:hAnsi="Times New Roman"/>
                          <w:i/>
                          <w:sz w:val="24"/>
                          <w:szCs w:val="24"/>
                        </w:rPr>
                        <w:t>ICAO</w:t>
                      </w:r>
                      <w:r>
                        <w:rPr>
                          <w:rFonts w:ascii="Times New Roman" w:hAnsi="Times New Roman"/>
                          <w:sz w:val="24"/>
                          <w:szCs w:val="24"/>
                        </w:rPr>
                        <w:t xml:space="preserve"> asambleja vienojās par rezolūciju par starptautiskās aviācijas radīto CO</w:t>
                      </w:r>
                      <w:r>
                        <w:rPr>
                          <w:rFonts w:ascii="Times New Roman" w:hAnsi="Times New Roman"/>
                          <w:sz w:val="24"/>
                          <w:szCs w:val="24"/>
                          <w:vertAlign w:val="subscript"/>
                        </w:rPr>
                        <w:t>2</w:t>
                      </w:r>
                      <w:r>
                        <w:rPr>
                          <w:rFonts w:ascii="Times New Roman" w:hAnsi="Times New Roman"/>
                          <w:sz w:val="24"/>
                          <w:szCs w:val="24"/>
                        </w:rPr>
                        <w:t xml:space="preserve"> emisiju izlīdzināšanas un samazināšanas shēmu (</w:t>
                      </w:r>
                      <w:r>
                        <w:rPr>
                          <w:rFonts w:ascii="Times New Roman" w:hAnsi="Times New Roman"/>
                          <w:i/>
                          <w:sz w:val="24"/>
                          <w:szCs w:val="24"/>
                        </w:rPr>
                        <w:t>CORSIA</w:t>
                      </w:r>
                      <w:r>
                        <w:rPr>
                          <w:rFonts w:ascii="Times New Roman" w:hAnsi="Times New Roman"/>
                          <w:sz w:val="24"/>
                          <w:szCs w:val="24"/>
                        </w:rPr>
                        <w:t xml:space="preserve">). </w:t>
                      </w:r>
                      <w:r>
                        <w:rPr>
                          <w:rFonts w:ascii="Times New Roman" w:hAnsi="Times New Roman"/>
                          <w:i/>
                          <w:sz w:val="24"/>
                          <w:szCs w:val="24"/>
                        </w:rPr>
                        <w:t>CORSIA</w:t>
                      </w:r>
                      <w:r>
                        <w:rPr>
                          <w:rFonts w:ascii="Times New Roman" w:hAnsi="Times New Roman"/>
                          <w:sz w:val="24"/>
                          <w:szCs w:val="24"/>
                        </w:rPr>
                        <w:t xml:space="preserve"> ir iecerēta kā oglekļa emisiju izlīdzināšanas shēma, kuras mērķis ir stabilizēt starptautiskās aviācijas radītās emisijas, tās noturot 2020. gada līmenī. Ņemot vērā šo iznākumu, ES ETS direktīva 2017. gadā tika grozīta, lai darbības jomu attiecinātu tikai uz lidojumiem EEZ iekšienē vēl līdz 2023. gada 31. decembrim.</w:t>
                      </w:r>
                      <w:r>
                        <w:rPr>
                          <w:sz w:val="24"/>
                          <w:szCs w:val="24"/>
                        </w:rPr>
                        <w:t xml:space="preserve"> </w:t>
                      </w:r>
                      <w:r>
                        <w:rPr>
                          <w:rFonts w:ascii="Times New Roman" w:hAnsi="Times New Roman"/>
                          <w:sz w:val="24"/>
                          <w:szCs w:val="24"/>
                        </w:rPr>
                        <w:t xml:space="preserve">Ja direktīva netiks pārskatīta, tad tiks atjaunots tās sākotnēji iecerētais tvērums. </w:t>
                      </w:r>
                    </w:p>
                    <w:p>
                      <w:pPr>
                        <w:jc w:val="both"/>
                        <w:rPr>
                          <w:rFonts w:ascii="Times New Roman" w:hAnsi="Times New Roman"/>
                          <w:sz w:val="24"/>
                          <w:szCs w:val="24"/>
                        </w:rPr>
                      </w:pPr>
                      <w:r>
                        <w:rPr>
                          <w:rFonts w:ascii="Times New Roman" w:hAnsi="Times New Roman"/>
                          <w:sz w:val="24"/>
                          <w:szCs w:val="24"/>
                        </w:rPr>
                        <w:t xml:space="preserve">Pārskatītajā ES ETS direktīvā ir noteikts, ka Eiropas Komisija ziņo Eiropas Parlamentam un Padomei par iespējām </w:t>
                      </w:r>
                      <w:r>
                        <w:rPr>
                          <w:rFonts w:ascii="Times New Roman" w:hAnsi="Times New Roman"/>
                          <w:i/>
                          <w:sz w:val="24"/>
                          <w:szCs w:val="24"/>
                        </w:rPr>
                        <w:t>CORSIA</w:t>
                      </w:r>
                      <w:r>
                        <w:rPr>
                          <w:rFonts w:ascii="Times New Roman" w:hAnsi="Times New Roman"/>
                          <w:sz w:val="24"/>
                          <w:szCs w:val="24"/>
                        </w:rPr>
                        <w:t xml:space="preserve"> ES tiesībās iestrādāt, pārskatot minēto direktīvu. Tajā ir arī noteikts, ka aviācijas nozares kvotām no 2021. gada piemēro lineāro samazinājuma koeficientu</w:t>
                      </w:r>
                      <w:r>
                        <w:rPr>
                          <w:rFonts w:ascii="Times New Roman" w:hAnsi="Times New Roman"/>
                        </w:rPr>
                        <w:t xml:space="preserve">. </w:t>
                      </w:r>
                    </w:p>
                    <w:p>
                      <w:pPr>
                        <w:jc w:val="both"/>
                        <w:rPr>
                          <w:rFonts w:ascii="Times New Roman" w:hAnsi="Times New Roman"/>
                          <w:sz w:val="24"/>
                          <w:szCs w:val="24"/>
                        </w:rPr>
                      </w:pPr>
                    </w:p>
                    <w:p>
                      <w:pPr>
                        <w:jc w:val="both"/>
                      </w:pPr>
                    </w:p>
                  </w:txbxContent>
                </v:textbox>
                <w10:anchorlock/>
              </v:shape>
            </w:pict>
          </mc:Fallback>
        </mc:AlternateContent>
      </w:r>
    </w:p>
    <w:p>
      <w:pPr>
        <w:jc w:val="both"/>
        <w:rPr>
          <w:rFonts w:ascii="Times New Roman" w:hAnsi="Times New Roman"/>
          <w:noProof/>
          <w:sz w:val="24"/>
          <w:szCs w:val="24"/>
        </w:rPr>
      </w:pPr>
      <w:r>
        <w:rPr>
          <w:rFonts w:ascii="Times New Roman" w:hAnsi="Times New Roman"/>
          <w:noProof/>
          <w:sz w:val="24"/>
          <w:szCs w:val="24"/>
        </w:rPr>
        <w:t xml:space="preserve">2018. gadā kvotas tika izdotas atbilstoši pašreizējam tvērumam, t.i., par lidojumiem Eiropas Ekonomikas zonas iekšienē. Bez maksas tika iedalīts nedaudz vairāk nekā 32,3 miljoni kvotu. Šajā skaitā ietilpst bez maksas iedalītās kvotas (nedaudz vairāk par 31,2 miljoniem kvotu) vēsturiskajiem operatoriem un aptuveni 1,1 miljons kvotu no īpašās jaunu iekārtu un ātri augošu operatoru rezerves. Šīs rezerves kvotas 2017.–2020. gadā tiek dubultotas, jo tās attiecas uz visu periodu no 2013. līdz 2020. gadam. 2018. gadā izsolītais apjoms bija aptuveni 5,6 miljoni kvotu. </w:t>
      </w:r>
    </w:p>
    <w:p>
      <w:pPr>
        <w:jc w:val="both"/>
        <w:rPr>
          <w:rFonts w:ascii="Times New Roman" w:hAnsi="Times New Roman"/>
          <w:noProof/>
          <w:sz w:val="24"/>
          <w:szCs w:val="24"/>
        </w:rPr>
      </w:pPr>
      <w:r>
        <w:rPr>
          <w:rFonts w:ascii="Times New Roman" w:hAnsi="Times New Roman"/>
          <w:noProof/>
          <w:sz w:val="24"/>
          <w:szCs w:val="24"/>
        </w:rPr>
        <w:t xml:space="preserve">Verificēto aviācijas emisiju apjoms turpināja pieaugt un 2018. gadā sasniedza 67 miljonus tonnu oglekļa dioksīda, kas ir par 4 % vairāk nekā 2017. gadā.  </w:t>
      </w:r>
    </w:p>
    <w:p>
      <w:pPr>
        <w:jc w:val="both"/>
        <w:rPr>
          <w:rFonts w:ascii="Times New Roman" w:hAnsi="Times New Roman"/>
          <w:b/>
          <w:noProof/>
          <w:sz w:val="24"/>
          <w:szCs w:val="24"/>
        </w:rPr>
      </w:pPr>
      <w:r>
        <w:rPr>
          <w:rFonts w:ascii="Times New Roman" w:hAnsi="Times New Roman"/>
          <w:noProof/>
          <w:sz w:val="24"/>
          <w:szCs w:val="24"/>
        </w:rPr>
        <w:t>8. tabulā ir sniegts kopsavilkums par verificētajām emisijām, bez maksas iedalītajām kvotām un izsolīto kvotu apjomu aviācijas nozarē kopš ES ETS trešā posma sākuma</w:t>
      </w:r>
      <w:r>
        <w:rPr>
          <w:rFonts w:ascii="Times New Roman" w:hAnsi="Times New Roman"/>
          <w:b/>
          <w:noProof/>
          <w:sz w:val="24"/>
          <w:szCs w:val="24"/>
        </w:rPr>
        <w:t xml:space="preserve">. </w:t>
      </w:r>
    </w:p>
    <w:p>
      <w:pPr>
        <w:jc w:val="both"/>
        <w:rPr>
          <w:rFonts w:ascii="Times New Roman" w:hAnsi="Times New Roman"/>
          <w:b/>
          <w:noProof/>
        </w:rPr>
      </w:pPr>
    </w:p>
    <w:p>
      <w:pPr>
        <w:jc w:val="both"/>
        <w:rPr>
          <w:rFonts w:ascii="Times New Roman" w:hAnsi="Times New Roman"/>
          <w:b/>
          <w:noProof/>
        </w:rPr>
      </w:pPr>
    </w:p>
    <w:p>
      <w:pPr>
        <w:jc w:val="both"/>
        <w:rPr>
          <w:rFonts w:ascii="Times New Roman" w:hAnsi="Times New Roman"/>
          <w:b/>
          <w:noProof/>
        </w:rPr>
      </w:pPr>
    </w:p>
    <w:p>
      <w:pPr>
        <w:jc w:val="both"/>
        <w:rPr>
          <w:rFonts w:ascii="Times New Roman" w:hAnsi="Times New Roman"/>
          <w:b/>
          <w:noProof/>
        </w:rPr>
      </w:pPr>
      <w:r>
        <w:rPr>
          <w:rFonts w:ascii="Times New Roman" w:hAnsi="Times New Roman"/>
          <w:b/>
          <w:noProof/>
        </w:rPr>
        <w:t>8. tabula. Verificētās emisijas un iedalītās kvotas aviācijas nozarē</w:t>
      </w:r>
    </w:p>
    <w:tbl>
      <w:tblPr>
        <w:tblW w:w="4889" w:type="pct"/>
        <w:tblInd w:w="108" w:type="dxa"/>
        <w:tblCellMar>
          <w:left w:w="0" w:type="dxa"/>
          <w:right w:w="0" w:type="dxa"/>
        </w:tblCellMar>
        <w:tblLook w:val="04A0" w:firstRow="1" w:lastRow="0" w:firstColumn="1" w:lastColumn="0" w:noHBand="0" w:noVBand="1"/>
      </w:tblPr>
      <w:tblGrid>
        <w:gridCol w:w="2268"/>
        <w:gridCol w:w="878"/>
        <w:gridCol w:w="973"/>
        <w:gridCol w:w="972"/>
        <w:gridCol w:w="968"/>
        <w:gridCol w:w="964"/>
        <w:gridCol w:w="964"/>
        <w:gridCol w:w="959"/>
      </w:tblGrid>
      <w:tr>
        <w:trPr>
          <w:trHeight w:val="532"/>
        </w:trPr>
        <w:tc>
          <w:tcPr>
            <w:tcW w:w="1267"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sz w:val="20"/>
                <w:szCs w:val="20"/>
              </w:rPr>
            </w:pPr>
            <w:r>
              <w:rPr>
                <w:rFonts w:ascii="Times New Roman" w:hAnsi="Times New Roman"/>
                <w:b/>
                <w:bCs/>
                <w:noProof/>
                <w:sz w:val="20"/>
                <w:szCs w:val="20"/>
              </w:rPr>
              <w:br/>
              <w:t>Gads</w:t>
            </w:r>
          </w:p>
        </w:tc>
        <w:tc>
          <w:tcPr>
            <w:tcW w:w="49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sz w:val="20"/>
                <w:szCs w:val="20"/>
              </w:rPr>
            </w:pPr>
            <w:r>
              <w:rPr>
                <w:rFonts w:ascii="Times New Roman" w:hAnsi="Times New Roman"/>
                <w:b/>
                <w:bCs/>
                <w:noProof/>
                <w:sz w:val="20"/>
                <w:szCs w:val="20"/>
              </w:rPr>
              <w:t>2013</w:t>
            </w:r>
          </w:p>
        </w:tc>
        <w:tc>
          <w:tcPr>
            <w:tcW w:w="544"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sz w:val="20"/>
                <w:szCs w:val="20"/>
              </w:rPr>
            </w:pPr>
            <w:r>
              <w:rPr>
                <w:rFonts w:ascii="Times New Roman" w:hAnsi="Times New Roman"/>
                <w:b/>
                <w:bCs/>
                <w:noProof/>
                <w:sz w:val="20"/>
                <w:szCs w:val="20"/>
              </w:rPr>
              <w:t>2014</w:t>
            </w:r>
          </w:p>
        </w:tc>
        <w:tc>
          <w:tcPr>
            <w:tcW w:w="54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sz w:val="20"/>
                <w:szCs w:val="20"/>
              </w:rPr>
            </w:pPr>
            <w:r>
              <w:rPr>
                <w:rFonts w:ascii="Times New Roman" w:hAnsi="Times New Roman"/>
                <w:b/>
                <w:bCs/>
                <w:noProof/>
                <w:sz w:val="20"/>
                <w:szCs w:val="20"/>
              </w:rPr>
              <w:t>2015</w:t>
            </w:r>
          </w:p>
        </w:tc>
        <w:tc>
          <w:tcPr>
            <w:tcW w:w="54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sz w:val="20"/>
                <w:szCs w:val="20"/>
              </w:rPr>
            </w:pPr>
            <w:r>
              <w:rPr>
                <w:rFonts w:ascii="Times New Roman" w:hAnsi="Times New Roman"/>
                <w:b/>
                <w:bCs/>
                <w:noProof/>
                <w:sz w:val="20"/>
                <w:szCs w:val="20"/>
              </w:rPr>
              <w:t>2016</w:t>
            </w:r>
          </w:p>
        </w:tc>
        <w:tc>
          <w:tcPr>
            <w:tcW w:w="539" w:type="pct"/>
            <w:tcBorders>
              <w:top w:val="double" w:sz="4" w:space="0" w:color="auto"/>
              <w:left w:val="nil"/>
              <w:bottom w:val="double" w:sz="4" w:space="0" w:color="auto"/>
              <w:right w:val="double" w:sz="4" w:space="0" w:color="auto"/>
            </w:tcBorders>
            <w:vAlign w:val="center"/>
          </w:tcPr>
          <w:p>
            <w:pPr>
              <w:jc w:val="center"/>
              <w:rPr>
                <w:rFonts w:ascii="Times New Roman" w:hAnsi="Times New Roman"/>
                <w:b/>
                <w:bCs/>
                <w:noProof/>
                <w:sz w:val="20"/>
                <w:szCs w:val="20"/>
              </w:rPr>
            </w:pPr>
            <w:r>
              <w:rPr>
                <w:rFonts w:ascii="Times New Roman" w:hAnsi="Times New Roman"/>
                <w:b/>
                <w:bCs/>
                <w:noProof/>
                <w:sz w:val="20"/>
                <w:szCs w:val="20"/>
              </w:rPr>
              <w:t>2017</w:t>
            </w:r>
          </w:p>
        </w:tc>
        <w:tc>
          <w:tcPr>
            <w:tcW w:w="539" w:type="pct"/>
            <w:tcBorders>
              <w:top w:val="double" w:sz="4" w:space="0" w:color="auto"/>
              <w:left w:val="nil"/>
              <w:bottom w:val="double" w:sz="4" w:space="0" w:color="auto"/>
              <w:right w:val="double" w:sz="4" w:space="0" w:color="auto"/>
            </w:tcBorders>
            <w:vAlign w:val="center"/>
          </w:tcPr>
          <w:p>
            <w:pPr>
              <w:jc w:val="center"/>
              <w:rPr>
                <w:rFonts w:ascii="Times New Roman" w:hAnsi="Times New Roman"/>
                <w:b/>
                <w:bCs/>
                <w:noProof/>
                <w:sz w:val="20"/>
                <w:szCs w:val="20"/>
              </w:rPr>
            </w:pPr>
            <w:r>
              <w:rPr>
                <w:rFonts w:ascii="Times New Roman" w:hAnsi="Times New Roman"/>
                <w:b/>
                <w:bCs/>
                <w:noProof/>
                <w:sz w:val="20"/>
                <w:szCs w:val="20"/>
              </w:rPr>
              <w:t>2018</w:t>
            </w:r>
          </w:p>
        </w:tc>
        <w:tc>
          <w:tcPr>
            <w:tcW w:w="537" w:type="pct"/>
            <w:tcBorders>
              <w:top w:val="double" w:sz="4" w:space="0" w:color="auto"/>
              <w:left w:val="nil"/>
              <w:bottom w:val="double" w:sz="4" w:space="0" w:color="auto"/>
              <w:right w:val="double" w:sz="4" w:space="0" w:color="auto"/>
            </w:tcBorders>
            <w:vAlign w:val="center"/>
          </w:tcPr>
          <w:p>
            <w:pPr>
              <w:jc w:val="center"/>
              <w:rPr>
                <w:rFonts w:ascii="Times New Roman" w:hAnsi="Times New Roman"/>
                <w:b/>
                <w:bCs/>
                <w:noProof/>
                <w:sz w:val="20"/>
                <w:szCs w:val="20"/>
              </w:rPr>
            </w:pPr>
            <w:r>
              <w:rPr>
                <w:rFonts w:ascii="Times New Roman" w:hAnsi="Times New Roman"/>
                <w:b/>
                <w:bCs/>
                <w:noProof/>
                <w:sz w:val="20"/>
                <w:szCs w:val="20"/>
              </w:rPr>
              <w:t>2019</w:t>
            </w:r>
          </w:p>
        </w:tc>
      </w:tr>
      <w:tr>
        <w:trPr>
          <w:trHeight w:val="1017"/>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FF0000"/>
                <w:sz w:val="20"/>
                <w:szCs w:val="20"/>
              </w:rPr>
            </w:pPr>
            <w:r>
              <w:rPr>
                <w:rFonts w:ascii="Times New Roman" w:hAnsi="Times New Roman"/>
                <w:b/>
                <w:bCs/>
                <w:noProof/>
                <w:sz w:val="20"/>
                <w:szCs w:val="20"/>
              </w:rPr>
              <w:br/>
              <w:t>Verificētās emisijas (miljonos tonnu CO</w:t>
            </w:r>
            <w:r>
              <w:rPr>
                <w:rFonts w:ascii="Times New Roman" w:hAnsi="Times New Roman"/>
                <w:b/>
                <w:bCs/>
                <w:noProof/>
                <w:sz w:val="20"/>
                <w:szCs w:val="20"/>
                <w:vertAlign w:val="subscript"/>
              </w:rPr>
              <w:t>2</w:t>
            </w:r>
            <w:r>
              <w:rPr>
                <w:rFonts w:ascii="Times New Roman" w:hAnsi="Times New Roman"/>
                <w:b/>
                <w:bCs/>
                <w:noProof/>
                <w:sz w:val="20"/>
                <w:szCs w:val="20"/>
              </w:rPr>
              <w:t xml:space="preserve"> ekvivalenta)</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53,5</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54,8</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57,1</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61,5</w:t>
            </w:r>
          </w:p>
        </w:tc>
        <w:tc>
          <w:tcPr>
            <w:tcW w:w="53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64,4</w:t>
            </w:r>
          </w:p>
        </w:tc>
        <w:tc>
          <w:tcPr>
            <w:tcW w:w="539" w:type="pct"/>
            <w:tcBorders>
              <w:top w:val="nil"/>
              <w:left w:val="nil"/>
              <w:bottom w:val="double" w:sz="4" w:space="0" w:color="auto"/>
              <w:right w:val="double" w:sz="4" w:space="0" w:color="auto"/>
            </w:tcBorders>
          </w:tcPr>
          <w:p>
            <w:pPr>
              <w:jc w:val="center"/>
              <w:rPr>
                <w:rFonts w:ascii="Times New Roman" w:hAnsi="Times New Roman"/>
                <w:noProof/>
                <w:color w:val="000000"/>
                <w:sz w:val="20"/>
                <w:szCs w:val="20"/>
              </w:rPr>
            </w:pPr>
          </w:p>
          <w:p>
            <w:pPr>
              <w:jc w:val="center"/>
              <w:rPr>
                <w:rFonts w:ascii="Times New Roman" w:hAnsi="Times New Roman"/>
                <w:noProof/>
                <w:color w:val="000000"/>
                <w:sz w:val="20"/>
                <w:szCs w:val="20"/>
              </w:rPr>
            </w:pPr>
            <w:r>
              <w:rPr>
                <w:rFonts w:ascii="Times New Roman" w:hAnsi="Times New Roman"/>
                <w:noProof/>
                <w:sz w:val="20"/>
                <w:szCs w:val="20"/>
              </w:rPr>
              <w:t>67,0</w:t>
            </w:r>
          </w:p>
        </w:tc>
        <w:tc>
          <w:tcPr>
            <w:tcW w:w="537" w:type="pct"/>
            <w:tcBorders>
              <w:top w:val="nil"/>
              <w:left w:val="nil"/>
              <w:bottom w:val="double" w:sz="4" w:space="0" w:color="auto"/>
              <w:right w:val="double" w:sz="4" w:space="0" w:color="auto"/>
            </w:tcBorders>
          </w:tcPr>
          <w:p>
            <w:pPr>
              <w:jc w:val="center"/>
              <w:rPr>
                <w:rFonts w:ascii="Times New Roman" w:hAnsi="Times New Roman"/>
                <w:noProof/>
                <w:color w:val="000000"/>
                <w:sz w:val="20"/>
                <w:szCs w:val="20"/>
              </w:rPr>
            </w:pPr>
          </w:p>
        </w:tc>
      </w:tr>
      <w:tr>
        <w:trPr>
          <w:trHeight w:val="680"/>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bCs/>
                <w:noProof/>
                <w:sz w:val="20"/>
                <w:szCs w:val="20"/>
              </w:rPr>
              <w:br/>
              <w:t>Verificēto emisiju izmaiņas salīdzinājumā ar (x-1). gadu</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+2,5 %</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+4,1 %</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+7,6 %</w:t>
            </w:r>
          </w:p>
        </w:tc>
        <w:tc>
          <w:tcPr>
            <w:tcW w:w="53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+4,7 %</w:t>
            </w:r>
          </w:p>
        </w:tc>
        <w:tc>
          <w:tcPr>
            <w:tcW w:w="53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+4 %</w:t>
            </w:r>
          </w:p>
        </w:tc>
        <w:tc>
          <w:tcPr>
            <w:tcW w:w="537" w:type="pct"/>
            <w:tcBorders>
              <w:top w:val="nil"/>
              <w:left w:val="nil"/>
              <w:bottom w:val="double" w:sz="4" w:space="0" w:color="auto"/>
              <w:right w:val="double" w:sz="4" w:space="0" w:color="auto"/>
            </w:tcBorders>
          </w:tcPr>
          <w:p>
            <w:pPr>
              <w:jc w:val="center"/>
              <w:rPr>
                <w:rFonts w:ascii="Times New Roman" w:hAnsi="Times New Roman"/>
                <w:noProof/>
                <w:color w:val="000000"/>
                <w:sz w:val="20"/>
                <w:szCs w:val="20"/>
              </w:rPr>
            </w:pPr>
          </w:p>
        </w:tc>
      </w:tr>
      <w:tr>
        <w:trPr>
          <w:trHeight w:val="680"/>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bCs/>
                <w:noProof/>
                <w:sz w:val="20"/>
                <w:szCs w:val="20"/>
              </w:rPr>
              <w:br/>
              <w:t>Bez maksas iedalītās kvotas (ES28 + EEZ EBTA valstis)</w:t>
            </w:r>
            <w:r>
              <w:rPr>
                <w:rStyle w:val="FootnoteReference"/>
                <w:rFonts w:ascii="Times New Roman" w:hAnsi="Times New Roman"/>
                <w:noProof/>
                <w:sz w:val="20"/>
                <w:szCs w:val="20"/>
              </w:rPr>
              <w:footnoteReference w:id="52"/>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32,4</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32,4</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32,1</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32,0</w:t>
            </w:r>
          </w:p>
        </w:tc>
        <w:tc>
          <w:tcPr>
            <w:tcW w:w="53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33,1</w:t>
            </w:r>
          </w:p>
        </w:tc>
        <w:tc>
          <w:tcPr>
            <w:tcW w:w="53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31,2</w:t>
            </w:r>
          </w:p>
        </w:tc>
        <w:tc>
          <w:tcPr>
            <w:tcW w:w="537"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31,2</w:t>
            </w:r>
            <w:r>
              <w:rPr>
                <w:rStyle w:val="FootnoteReference"/>
                <w:rFonts w:ascii="Times New Roman" w:hAnsi="Times New Roman"/>
                <w:noProof/>
                <w:sz w:val="20"/>
                <w:szCs w:val="20"/>
              </w:rPr>
              <w:footnoteReference w:id="53"/>
            </w:r>
          </w:p>
        </w:tc>
      </w:tr>
      <w:tr>
        <w:trPr>
          <w:trHeight w:val="790"/>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bCs/>
                <w:noProof/>
                <w:sz w:val="20"/>
                <w:szCs w:val="20"/>
              </w:rPr>
              <w:t>Kvotas, kas bez maksas iedalītas no īpašās jaunu iekārtu un ātri augošu operatoru rezerves</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r>
              <w:rPr>
                <w:rFonts w:ascii="Times New Roman" w:hAnsi="Times New Roman"/>
                <w:noProof/>
                <w:sz w:val="20"/>
                <w:szCs w:val="20"/>
              </w:rPr>
              <w:t>0</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r>
              <w:rPr>
                <w:rFonts w:ascii="Times New Roman" w:hAnsi="Times New Roman"/>
                <w:noProof/>
                <w:sz w:val="20"/>
                <w:szCs w:val="20"/>
              </w:rPr>
              <w:t>0</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r>
              <w:rPr>
                <w:rFonts w:ascii="Times New Roman" w:hAnsi="Times New Roman"/>
                <w:noProof/>
                <w:sz w:val="20"/>
                <w:szCs w:val="20"/>
              </w:rPr>
              <w:t>0</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r>
              <w:rPr>
                <w:rFonts w:ascii="Times New Roman" w:hAnsi="Times New Roman"/>
                <w:noProof/>
                <w:sz w:val="20"/>
                <w:szCs w:val="20"/>
              </w:rPr>
              <w:t>0</w:t>
            </w:r>
          </w:p>
        </w:tc>
        <w:tc>
          <w:tcPr>
            <w:tcW w:w="53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1,1</w:t>
            </w:r>
          </w:p>
        </w:tc>
        <w:tc>
          <w:tcPr>
            <w:tcW w:w="53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1,1</w:t>
            </w:r>
          </w:p>
        </w:tc>
        <w:tc>
          <w:tcPr>
            <w:tcW w:w="537"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1,1</w:t>
            </w:r>
          </w:p>
        </w:tc>
      </w:tr>
      <w:tr>
        <w:trPr>
          <w:trHeight w:val="34"/>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bCs/>
                <w:noProof/>
                <w:sz w:val="20"/>
                <w:szCs w:val="20"/>
              </w:rPr>
              <w:t>Izsolīto kvotu daudzums</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0</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9,3</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16,4</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sz w:val="20"/>
                <w:szCs w:val="20"/>
              </w:rPr>
              <w:t>5,9</w:t>
            </w:r>
          </w:p>
        </w:tc>
        <w:tc>
          <w:tcPr>
            <w:tcW w:w="53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4,7</w:t>
            </w:r>
          </w:p>
        </w:tc>
        <w:tc>
          <w:tcPr>
            <w:tcW w:w="539"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5,6</w:t>
            </w:r>
          </w:p>
        </w:tc>
        <w:tc>
          <w:tcPr>
            <w:tcW w:w="537"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sz w:val="20"/>
                <w:szCs w:val="20"/>
              </w:rPr>
              <w:t>2,0</w:t>
            </w:r>
            <w:r>
              <w:rPr>
                <w:rStyle w:val="FootnoteReference"/>
                <w:rFonts w:ascii="Times New Roman" w:hAnsi="Times New Roman"/>
                <w:noProof/>
                <w:sz w:val="20"/>
                <w:szCs w:val="20"/>
              </w:rPr>
              <w:footnoteReference w:id="54"/>
            </w:r>
          </w:p>
        </w:tc>
      </w:tr>
    </w:tbl>
    <w:p>
      <w:pPr>
        <w:jc w:val="both"/>
        <w:rPr>
          <w:rFonts w:ascii="Times New Roman" w:hAnsi="Times New Roman"/>
          <w:noProof/>
          <w:sz w:val="18"/>
          <w:szCs w:val="18"/>
        </w:rPr>
      </w:pPr>
      <w:r>
        <w:rPr>
          <w:rFonts w:ascii="Times New Roman" w:hAnsi="Times New Roman"/>
          <w:noProof/>
          <w:sz w:val="18"/>
          <w:szCs w:val="18"/>
        </w:rPr>
        <w:t xml:space="preserve">Avots: </w:t>
      </w:r>
      <w:r>
        <w:rPr>
          <w:rFonts w:ascii="Times New Roman" w:hAnsi="Times New Roman"/>
          <w:i/>
          <w:noProof/>
          <w:sz w:val="18"/>
          <w:szCs w:val="18"/>
        </w:rPr>
        <w:t>EUTL</w:t>
      </w:r>
      <w:r>
        <w:rPr>
          <w:rFonts w:ascii="Times New Roman" w:hAnsi="Times New Roman"/>
          <w:noProof/>
          <w:sz w:val="18"/>
          <w:szCs w:val="18"/>
        </w:rPr>
        <w:t xml:space="preserve">, Klimata politikas ģenerāldirektorāts, </w:t>
      </w:r>
      <w:r>
        <w:rPr>
          <w:rFonts w:ascii="Times New Roman" w:hAnsi="Times New Roman"/>
          <w:i/>
          <w:noProof/>
          <w:sz w:val="18"/>
          <w:szCs w:val="18"/>
        </w:rPr>
        <w:t>EEX</w:t>
      </w:r>
      <w:r>
        <w:rPr>
          <w:rFonts w:ascii="Times New Roman" w:hAnsi="Times New Roman"/>
          <w:noProof/>
          <w:sz w:val="18"/>
          <w:szCs w:val="18"/>
        </w:rPr>
        <w:t>.</w:t>
      </w:r>
    </w:p>
    <w:p>
      <w:pPr>
        <w:jc w:val="both"/>
        <w:rPr>
          <w:rFonts w:ascii="Times New Roman" w:hAnsi="Times New Roman"/>
          <w:noProof/>
          <w:sz w:val="24"/>
          <w:szCs w:val="24"/>
        </w:rPr>
      </w:pPr>
      <w:r>
        <w:rPr>
          <w:rFonts w:ascii="Times New Roman" w:hAnsi="Times New Roman"/>
          <w:noProof/>
          <w:sz w:val="24"/>
          <w:szCs w:val="24"/>
        </w:rPr>
        <w:t>2013. gadā tika pieņemts lēmums</w:t>
      </w:r>
      <w:r>
        <w:rPr>
          <w:rFonts w:ascii="Times New Roman" w:hAnsi="Times New Roman"/>
          <w:noProof/>
          <w:sz w:val="24"/>
          <w:szCs w:val="24"/>
          <w:vertAlign w:val="superscript"/>
        </w:rPr>
        <w:footnoteReference w:id="55"/>
      </w:r>
      <w:r>
        <w:rPr>
          <w:rFonts w:ascii="Times New Roman" w:hAnsi="Times New Roman"/>
          <w:noProof/>
          <w:sz w:val="24"/>
          <w:szCs w:val="24"/>
        </w:rPr>
        <w:t>, ka klimata saistības attiecināmas tikai uz lidojumiem EEZ iekšienē. Atbilstības panākšana aviācijas nozarē 2012. un 2013. gadā tika atlikta. Tādējādi 2012. gada atliktais kvotu apjoms tika izsolīts 2014. gadā un atbilstība noteikumiem attiecībā uz 2013. un 2014. gada aviācijas emisijām tika panākta no 2015. gada janvāra līdz aprīlim.</w:t>
      </w:r>
    </w:p>
    <w:p>
      <w:pPr>
        <w:jc w:val="both"/>
        <w:rPr>
          <w:rFonts w:ascii="Times New Roman" w:hAnsi="Times New Roman"/>
          <w:noProof/>
          <w:sz w:val="24"/>
          <w:szCs w:val="24"/>
        </w:rPr>
      </w:pPr>
      <w:r>
        <w:rPr>
          <w:rFonts w:ascii="Times New Roman" w:hAnsi="Times New Roman"/>
          <w:noProof/>
          <w:sz w:val="24"/>
          <w:szCs w:val="24"/>
        </w:rPr>
        <w:t xml:space="preserve">2018. gada jūnijā </w:t>
      </w:r>
      <w:r>
        <w:rPr>
          <w:rFonts w:ascii="Times New Roman" w:hAnsi="Times New Roman"/>
          <w:i/>
          <w:noProof/>
          <w:sz w:val="24"/>
          <w:szCs w:val="24"/>
        </w:rPr>
        <w:t>ICAO</w:t>
      </w:r>
      <w:r>
        <w:rPr>
          <w:rFonts w:ascii="Times New Roman" w:hAnsi="Times New Roman"/>
          <w:noProof/>
          <w:sz w:val="24"/>
          <w:szCs w:val="24"/>
        </w:rPr>
        <w:t xml:space="preserve"> pieņēma </w:t>
      </w:r>
      <w:r>
        <w:rPr>
          <w:rFonts w:ascii="Times New Roman" w:hAnsi="Times New Roman"/>
          <w:i/>
          <w:noProof/>
          <w:sz w:val="24"/>
          <w:szCs w:val="24"/>
        </w:rPr>
        <w:t>CORSIA</w:t>
      </w:r>
      <w:r>
        <w:rPr>
          <w:rFonts w:ascii="Times New Roman" w:hAnsi="Times New Roman"/>
          <w:noProof/>
          <w:sz w:val="24"/>
          <w:szCs w:val="24"/>
        </w:rPr>
        <w:t xml:space="preserve"> standartus un ieteicamo praksi (</w:t>
      </w:r>
      <w:r>
        <w:rPr>
          <w:rFonts w:ascii="Times New Roman" w:hAnsi="Times New Roman"/>
          <w:i/>
          <w:noProof/>
          <w:sz w:val="24"/>
          <w:szCs w:val="24"/>
        </w:rPr>
        <w:t>SARPs</w:t>
      </w:r>
      <w:r>
        <w:rPr>
          <w:rFonts w:ascii="Times New Roman" w:hAnsi="Times New Roman"/>
          <w:noProof/>
          <w:sz w:val="24"/>
          <w:szCs w:val="24"/>
        </w:rPr>
        <w:t>)</w:t>
      </w:r>
      <w:r>
        <w:rPr>
          <w:rStyle w:val="FootnoteReference"/>
          <w:rFonts w:ascii="Times New Roman" w:hAnsi="Times New Roman"/>
          <w:noProof/>
          <w:sz w:val="24"/>
          <w:szCs w:val="24"/>
        </w:rPr>
        <w:footnoteReference w:id="56"/>
      </w:r>
      <w:r>
        <w:rPr>
          <w:rFonts w:ascii="Times New Roman" w:hAnsi="Times New Roman"/>
          <w:noProof/>
          <w:sz w:val="24"/>
          <w:szCs w:val="24"/>
        </w:rPr>
        <w:t xml:space="preserve">. Šajos dokumentos kopā ar īstenošanas elementiem sīkāk ir aprakstīta </w:t>
      </w:r>
      <w:r>
        <w:rPr>
          <w:rFonts w:ascii="Times New Roman" w:hAnsi="Times New Roman"/>
          <w:i/>
          <w:noProof/>
          <w:sz w:val="24"/>
          <w:szCs w:val="24"/>
        </w:rPr>
        <w:t>CORSIA</w:t>
      </w:r>
      <w:r>
        <w:rPr>
          <w:rFonts w:ascii="Times New Roman" w:hAnsi="Times New Roman"/>
          <w:noProof/>
          <w:sz w:val="24"/>
          <w:szCs w:val="24"/>
        </w:rPr>
        <w:t xml:space="preserve"> darbība. Vēl nav pieņemti svarīgi īstenošanas elementi, piemēram, pieņemamās vienības un alternatīvo degvielu satvars. Vienlaikus atzīstot un atbalstot </w:t>
      </w:r>
      <w:r>
        <w:rPr>
          <w:rFonts w:ascii="Times New Roman" w:hAnsi="Times New Roman"/>
          <w:i/>
          <w:noProof/>
          <w:sz w:val="24"/>
          <w:szCs w:val="24"/>
        </w:rPr>
        <w:t>SARPs</w:t>
      </w:r>
      <w:r>
        <w:rPr>
          <w:rFonts w:ascii="Times New Roman" w:hAnsi="Times New Roman"/>
          <w:noProof/>
          <w:sz w:val="24"/>
          <w:szCs w:val="24"/>
        </w:rPr>
        <w:t xml:space="preserve"> oficiālu pieņemšanu </w:t>
      </w:r>
      <w:r>
        <w:rPr>
          <w:rFonts w:ascii="Times New Roman" w:hAnsi="Times New Roman"/>
          <w:i/>
          <w:noProof/>
          <w:sz w:val="24"/>
          <w:szCs w:val="24"/>
        </w:rPr>
        <w:t>ICAO</w:t>
      </w:r>
      <w:r>
        <w:rPr>
          <w:rFonts w:ascii="Times New Roman" w:hAnsi="Times New Roman"/>
          <w:noProof/>
          <w:sz w:val="24"/>
          <w:szCs w:val="24"/>
        </w:rPr>
        <w:t xml:space="preserve">, ES un tās dalībvalstis ievēroja </w:t>
      </w:r>
      <w:r>
        <w:rPr>
          <w:rFonts w:ascii="Times New Roman" w:hAnsi="Times New Roman"/>
          <w:i/>
          <w:noProof/>
          <w:sz w:val="24"/>
          <w:szCs w:val="24"/>
        </w:rPr>
        <w:t>ICAO</w:t>
      </w:r>
      <w:r>
        <w:rPr>
          <w:rFonts w:ascii="Times New Roman" w:hAnsi="Times New Roman"/>
          <w:noProof/>
          <w:sz w:val="24"/>
          <w:szCs w:val="24"/>
        </w:rPr>
        <w:t xml:space="preserve"> procedūras, lai paziņotu par pastāvošajām atšķirībām</w:t>
      </w:r>
      <w:r>
        <w:rPr>
          <w:rStyle w:val="FootnoteReference"/>
          <w:rFonts w:ascii="Times New Roman" w:hAnsi="Times New Roman"/>
          <w:noProof/>
          <w:sz w:val="24"/>
          <w:szCs w:val="24"/>
        </w:rPr>
        <w:footnoteReference w:id="57"/>
      </w:r>
      <w:r>
        <w:rPr>
          <w:rFonts w:ascii="Times New Roman" w:hAnsi="Times New Roman"/>
          <w:noProof/>
          <w:sz w:val="24"/>
          <w:szCs w:val="24"/>
        </w:rPr>
        <w:t xml:space="preserve"> starp attiecīgajiem ES tiesību aktiem un </w:t>
      </w:r>
      <w:r>
        <w:rPr>
          <w:rFonts w:ascii="Times New Roman" w:hAnsi="Times New Roman"/>
          <w:i/>
          <w:noProof/>
          <w:sz w:val="24"/>
          <w:szCs w:val="24"/>
        </w:rPr>
        <w:t>CORSIA</w:t>
      </w:r>
      <w:r>
        <w:rPr>
          <w:rFonts w:ascii="Times New Roman" w:hAnsi="Times New Roman"/>
          <w:noProof/>
          <w:sz w:val="24"/>
          <w:szCs w:val="24"/>
        </w:rPr>
        <w:t xml:space="preserve">. No 2019. gada 1. janvāra gaisa kuģu operatoriem ir jāveic emisiju monitorings un par to ir jāziņo arī </w:t>
      </w:r>
      <w:r>
        <w:rPr>
          <w:rFonts w:ascii="Times New Roman" w:hAnsi="Times New Roman"/>
          <w:i/>
          <w:noProof/>
          <w:sz w:val="24"/>
          <w:szCs w:val="24"/>
        </w:rPr>
        <w:t>CORSIA</w:t>
      </w:r>
      <w:r>
        <w:rPr>
          <w:rFonts w:ascii="Times New Roman" w:hAnsi="Times New Roman"/>
          <w:noProof/>
          <w:sz w:val="24"/>
          <w:szCs w:val="24"/>
        </w:rPr>
        <w:t>. ES ETS monitoringa, ziņošanas un verifikācijas (MZV) satvars tika pārskatīts, lai noteiktu šādu juridiski saistošu prasību (sk. 6.1. nodaļu). Šāda integrēta pieeja attiecībā uz abiem instrumentiem nodrošina to, ka administratīvais slogs tiek samazināts līdz minimumam.</w:t>
      </w:r>
    </w:p>
    <w:p>
      <w:pPr>
        <w:pStyle w:val="Heading1"/>
        <w:spacing w:before="0" w:after="200"/>
        <w:rPr>
          <w:noProof/>
        </w:rPr>
      </w:pPr>
      <w:bookmarkStart w:id="20" w:name="_Toc24103537"/>
      <w:r>
        <w:rPr>
          <w:noProof/>
        </w:rPr>
        <w:t>5. TIRGUS PĀRRAUDZĪBA</w:t>
      </w:r>
      <w:bookmarkEnd w:id="20"/>
    </w:p>
    <w:p>
      <w:pPr>
        <w:jc w:val="both"/>
        <w:rPr>
          <w:rFonts w:ascii="Times New Roman" w:hAnsi="Times New Roman"/>
          <w:noProof/>
          <w:sz w:val="24"/>
          <w:szCs w:val="24"/>
        </w:rPr>
      </w:pPr>
      <w:r>
        <w:rPr>
          <w:rFonts w:ascii="Times New Roman" w:hAnsi="Times New Roman"/>
          <w:noProof/>
          <w:lang w:val="en-GB" w:eastAsia="en-GB"/>
        </w:rPr>
        <mc:AlternateContent>
          <mc:Choice Requires="wps">
            <w:drawing>
              <wp:inline distT="0" distB="0" distL="0" distR="0">
                <wp:extent cx="5731510" cy="5895975"/>
                <wp:effectExtent l="0" t="0" r="21590" b="2857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895975"/>
                        </a:xfrm>
                        <a:prstGeom prst="rect">
                          <a:avLst/>
                        </a:prstGeom>
                        <a:solidFill>
                          <a:sysClr val="window" lastClr="FFFFFF">
                            <a:lumMod val="85000"/>
                          </a:sysClr>
                        </a:solidFill>
                        <a:ln w="12700">
                          <a:solidFill>
                            <a:srgbClr val="000000"/>
                          </a:solidFill>
                          <a:miter lim="800000"/>
                          <a:headEnd/>
                          <a:tailEnd/>
                        </a:ln>
                      </wps:spPr>
                      <wps:txbx>
                        <w:txbxContent>
                          <w:p>
                            <w:pPr>
                              <w:jc w:val="both"/>
                              <w:rPr>
                                <w:rFonts w:ascii="Times New Roman" w:hAnsi="Times New Roman"/>
                                <w:sz w:val="24"/>
                                <w:szCs w:val="24"/>
                              </w:rPr>
                            </w:pPr>
                            <w:r>
                              <w:rPr>
                                <w:rFonts w:ascii="Times New Roman" w:hAnsi="Times New Roman"/>
                                <w:sz w:val="24"/>
                                <w:szCs w:val="24"/>
                              </w:rPr>
                              <w:t>Saskaņā ar pārskatīto Finanšu instrumentu tirgu direktīvu* (FITD 2) emisijas kvotas no 2018. gada 3. janvāra klasificē kā finanšu instrumentus. Tas nozīmē, ka noteikumi, kas attiecas uz tradicionālajiem finanšu tirgiem (tostarp oglekļa atvasināto instrumentu tirdzniecību vadošajās platformās vai ārpus biržas (</w:t>
                            </w:r>
                            <w:r>
                              <w:rPr>
                                <w:rFonts w:ascii="Times New Roman" w:hAnsi="Times New Roman"/>
                                <w:i/>
                                <w:sz w:val="24"/>
                                <w:szCs w:val="24"/>
                              </w:rPr>
                              <w:t>OTC</w:t>
                            </w:r>
                            <w:r>
                              <w:rPr>
                                <w:rFonts w:ascii="Times New Roman" w:hAnsi="Times New Roman"/>
                                <w:sz w:val="24"/>
                                <w:szCs w:val="24"/>
                              </w:rPr>
                              <w:t>)), attieksies arī uz sekundārā oglekļa tirgus tūlītējo darījumu segmentu (darījumiem ar emisijas kvotām tūlītējai nodošanai sekundārajā tirgū). Tādējādi šis segments tiek padarīts vienlīdzīgs ar atvasināto instrumentu tirgu pārredzamības, investoru aizsardzības un integritātes ziņā. Primārā tirgus pārraudzību turpina reglamentēt Izsoļu regula, izņemot ar tirgus ļaunprātīgu izmantošanu saistītos jautājumus.</w:t>
                            </w:r>
                          </w:p>
                          <w:p>
                            <w:pPr>
                              <w:jc w:val="both"/>
                              <w:rPr>
                                <w:rFonts w:ascii="Times New Roman" w:hAnsi="Times New Roman"/>
                                <w:sz w:val="24"/>
                                <w:szCs w:val="24"/>
                              </w:rPr>
                            </w:pPr>
                            <w:r>
                              <w:rPr>
                                <w:rFonts w:ascii="Times New Roman" w:hAnsi="Times New Roman"/>
                                <w:sz w:val="24"/>
                                <w:szCs w:val="24"/>
                              </w:rPr>
                              <w:t>Sakarā ar atsaucēm uz FITD 2 sniegtajām finanšu instrumentu definīcijām ir piemērojami arī citi finanšu tirgus tiesību akti. Viens no šādiem tiesību aktiem ir Tirgus ļaunprātīgas izmantošanas regula (</w:t>
                            </w:r>
                            <w:r>
                              <w:rPr>
                                <w:rFonts w:ascii="Times New Roman" w:hAnsi="Times New Roman"/>
                                <w:i/>
                                <w:sz w:val="24"/>
                                <w:szCs w:val="24"/>
                              </w:rPr>
                              <w:t>MAR</w:t>
                            </w:r>
                            <w:r>
                              <w:rPr>
                                <w:rFonts w:ascii="Times New Roman" w:hAnsi="Times New Roman"/>
                                <w:sz w:val="24"/>
                                <w:szCs w:val="24"/>
                              </w:rPr>
                              <w:t>)**, kas attiecas uz darījumiem un darbībām ar emisijas kvotām gan primārajā, gan sekundārajā tirgū. Tāpat arī atsauce uz FITD 2 Nelikumīgi iegūtu līdzekļu legalizācijas novēršanas direktīvā*** nozīmē to, ka oglekļa instrumentu tirgotājiem, kas saņēmuši FITD licenci, būs obligāti jāveic klienta uzticamības pārbaudes attiecībā uz saviem klientiem sekundārajā emisijas kvotu tūlītējo darījumu tirgū. ****</w:t>
                            </w:r>
                          </w:p>
                          <w:p>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 xml:space="preserve">Eiropas Parlamenta un Padomes Direktīva 2014/65/ES (2014. gada 15. maijs) par finanšu instrumentu tirgiem un ar ko groza Direktīvu 2002/92/ES un Direktīvu 2011/61/ES. </w:t>
                            </w:r>
                          </w:p>
                          <w:p>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Eiropas Parlamenta un Padomes Regula (ES) Nr. 596/2014 (2014. gada 16. aprīlis) par tirgus ļaunprātīgu izmantošanu (tirgus ļaunprātīgas izmantošanas regula) un ar ko atceļ Eiropas Parlamenta un Padomes Direktīvu 2003/6/EK un Komisijas Direktīvas 2003/124/EK, 2003/125/EK un 2004/72/EK.</w:t>
                            </w:r>
                          </w:p>
                          <w:p>
                            <w:pPr>
                              <w:jc w:val="both"/>
                              <w:rPr>
                                <w:rFonts w:ascii="Times New Roman" w:hAnsi="Times New Roman"/>
                                <w:sz w:val="18"/>
                                <w:szCs w:val="18"/>
                              </w:rPr>
                            </w:pPr>
                            <w:r>
                              <w:rPr>
                                <w:rFonts w:ascii="Times New Roman" w:hAnsi="Times New Roman"/>
                                <w:sz w:val="18"/>
                                <w:szCs w:val="18"/>
                              </w:rPr>
                              <w:t xml:space="preserve">*** Eiropas Parlamenta un Padomes Direktīva (ES) 2015/849 (2015. gada 20. maijs) par to, lai nepieļautu finanšu sistēmas izmantošanu nelikumīgi iegūtu līdzekļu legalizēšanai vai teroristu finansēšanai, un ar ko groza Eiropas Parlamenta un Padomes Regulu (ES) Nr. 648/2012 un atceļ Eiropas Parlamenta un Padomes Direktīvu 2005/60/EK un Komisijas Direktīvu 2006/70/EK. </w:t>
                            </w:r>
                          </w:p>
                          <w:p>
                            <w:pPr>
                              <w:jc w:val="both"/>
                              <w:rPr>
                                <w:rFonts w:ascii="Times New Roman" w:hAnsi="Times New Roman"/>
                                <w:sz w:val="18"/>
                                <w:szCs w:val="18"/>
                              </w:rPr>
                            </w:pPr>
                            <w:r>
                              <w:rPr>
                                <w:rFonts w:ascii="Times New Roman" w:hAnsi="Times New Roman"/>
                                <w:sz w:val="18"/>
                                <w:szCs w:val="18"/>
                              </w:rPr>
                              <w:t>**** Uzticamības pārbaudes jau ir obligātas primārajā tirgū un sekundārajā tirgū attiecībā uz emisijas kvotu atvasinātajiem instrumentiem.</w:t>
                            </w:r>
                          </w:p>
                        </w:txbxContent>
                      </wps:txbx>
                      <wps:bodyPr rot="0" vert="horz" wrap="square" lIns="91440" tIns="45720" rIns="91440" bIns="45720" anchor="t" anchorCtr="0">
                        <a:noAutofit/>
                      </wps:bodyPr>
                    </wps:wsp>
                  </a:graphicData>
                </a:graphic>
              </wp:inline>
            </w:drawing>
          </mc:Choice>
          <mc:Fallback>
            <w:pict>
              <v:shape id="_x0000_s1038" type="#_x0000_t202" style="width:451.3pt;height:46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" fillcolor="#d9d9d9" strokeweight="1pt">
                <v:textbox>
                  <w:txbxContent>
                    <w:p>
                      <w:pPr>
                        <w:jc w:val="both"/>
                        <w:rPr>
                          <w:rFonts w:ascii="Times New Roman" w:hAnsi="Times New Roman"/>
                          <w:sz w:val="24"/>
                          <w:szCs w:val="24"/>
                        </w:rPr>
                      </w:pPr>
                      <w:r>
                        <w:rPr>
                          <w:rFonts w:ascii="Times New Roman" w:hAnsi="Times New Roman"/>
                          <w:sz w:val="24"/>
                          <w:szCs w:val="24"/>
                        </w:rPr>
                        <w:t>Saskaņā ar pārskatīto Finanšu instrumentu tirgu direktīvu* (FITD 2) emisijas kvotas no 2018. gada 3. janvāra klasificē kā finanšu instrumentus. Tas nozīmē, ka noteikumi, kas attiecas uz tradicionālajiem finanšu tirgiem (tostarp oglekļa atvasināto instrumentu tirdzniecību vadošajās platformās vai ārpus biržas (</w:t>
                      </w:r>
                      <w:r>
                        <w:rPr>
                          <w:rFonts w:ascii="Times New Roman" w:hAnsi="Times New Roman"/>
                          <w:i/>
                          <w:sz w:val="24"/>
                          <w:szCs w:val="24"/>
                        </w:rPr>
                        <w:t>OTC</w:t>
                      </w:r>
                      <w:r>
                        <w:rPr>
                          <w:rFonts w:ascii="Times New Roman" w:hAnsi="Times New Roman"/>
                          <w:sz w:val="24"/>
                          <w:szCs w:val="24"/>
                        </w:rPr>
                        <w:t>)), attieksies arī uz sekundārā oglekļa tirgus tūlītējo darījumu segmentu (darījumiem ar emisijas kvotām tūlītējai nodošanai sekundārajā tirgū). Tādējādi šis segments tiek padarīts vienlīdzīgs ar atvasināto instrumentu tirgu pārredzamības, investoru aizsardzības un integritātes ziņā. Primārā tirgus pārraudzību turpina reglamentēt Izsoļu regula, izņemot ar tirgus ļaunprātīgu izmantošanu saistītos jautājumus.</w:t>
                      </w:r>
                    </w:p>
                    <w:p>
                      <w:pPr>
                        <w:jc w:val="both"/>
                        <w:rPr>
                          <w:rFonts w:ascii="Times New Roman" w:hAnsi="Times New Roman"/>
                          <w:sz w:val="24"/>
                          <w:szCs w:val="24"/>
                        </w:rPr>
                      </w:pPr>
                      <w:r>
                        <w:rPr>
                          <w:rFonts w:ascii="Times New Roman" w:hAnsi="Times New Roman"/>
                          <w:sz w:val="24"/>
                          <w:szCs w:val="24"/>
                        </w:rPr>
                        <w:t>Sakarā ar atsaucēm uz FITD 2 sniegtajām finanšu instrumentu definīcijām ir piemērojami arī citi finanšu tirgus tiesību akti. Viens no šādiem tiesību aktiem ir Tirgus ļaunprātīgas izmantošanas regula (</w:t>
                      </w:r>
                      <w:r>
                        <w:rPr>
                          <w:rFonts w:ascii="Times New Roman" w:hAnsi="Times New Roman"/>
                          <w:i/>
                          <w:sz w:val="24"/>
                          <w:szCs w:val="24"/>
                        </w:rPr>
                        <w:t>MAR</w:t>
                      </w:r>
                      <w:r>
                        <w:rPr>
                          <w:rFonts w:ascii="Times New Roman" w:hAnsi="Times New Roman"/>
                          <w:sz w:val="24"/>
                          <w:szCs w:val="24"/>
                        </w:rPr>
                        <w:t>)**, kas attiecas uz darījumiem un darbībām ar emisijas kvotām gan primārajā, gan sekundārajā tirgū. Tāpat arī atsauce uz FITD 2 Nelikumīgi iegūtu līdzekļu legalizācijas novēršanas direktīvā*** nozīmē to, ka oglekļa instrumentu tirgotājiem, kas saņēmuši FITD licenci, būs obligāti jāveic klienta uzticamības pārbaudes attiecībā uz saviem klientiem sekundārajā emisijas kvotu tūlītējo darījumu tirgū. ****</w:t>
                      </w:r>
                    </w:p>
                    <w:p>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 xml:space="preserve">Eiropas Parlamenta un Padomes Direktīva 2014/65/ES (2014. gada 15. maijs) par finanšu instrumentu tirgiem un ar ko groza Direktīvu 2002/92/ES un Direktīvu 2011/61/ES. </w:t>
                      </w:r>
                    </w:p>
                    <w:p>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Eiropas Parlamenta un Padomes Regula (ES) Nr. 596/2014 (2014. gada 16. aprīlis) par tirgus ļaunprātīgu izmantošanu (tirgus ļaunprātīgas izmantošanas regula) un ar ko atceļ Eiropas Parlamenta un Padomes Direktīvu 2003/6/EK un Komisijas Direktīvas 2003/124/EK, 2003/125/EK un 2004/72/EK.</w:t>
                      </w:r>
                    </w:p>
                    <w:p>
                      <w:pPr>
                        <w:jc w:val="both"/>
                        <w:rPr>
                          <w:rFonts w:ascii="Times New Roman" w:hAnsi="Times New Roman"/>
                          <w:sz w:val="18"/>
                          <w:szCs w:val="18"/>
                        </w:rPr>
                      </w:pPr>
                      <w:r>
                        <w:rPr>
                          <w:rFonts w:ascii="Times New Roman" w:hAnsi="Times New Roman"/>
                          <w:sz w:val="18"/>
                          <w:szCs w:val="18"/>
                        </w:rPr>
                        <w:t xml:space="preserve">*** Eiropas Parlamenta un Padomes Direktīva (ES) 2015/849 (2015. gada 20. maijs) par to, lai nepieļautu finanšu sistēmas izmantošanu nelikumīgi iegūtu līdzekļu legalizēšanai vai teroristu finansēšanai, un ar ko groza Eiropas Parlamenta un Padomes Regulu (ES) Nr. 648/2012 un atceļ Eiropas Parlamenta un Padomes Direktīvu 2005/60/EK un Komisijas Direktīvu 2006/70/EK. </w:t>
                      </w:r>
                    </w:p>
                    <w:p>
                      <w:pPr>
                        <w:jc w:val="both"/>
                        <w:rPr>
                          <w:rFonts w:ascii="Times New Roman" w:hAnsi="Times New Roman"/>
                          <w:sz w:val="18"/>
                          <w:szCs w:val="18"/>
                        </w:rPr>
                      </w:pPr>
                      <w:r>
                        <w:rPr>
                          <w:rFonts w:ascii="Times New Roman" w:hAnsi="Times New Roman"/>
                          <w:sz w:val="18"/>
                          <w:szCs w:val="18"/>
                        </w:rPr>
                        <w:t>**** Uzticamības pārbaudes jau ir obligātas primārajā tirgū un sekundārajā tirgū attiecībā uz emisijas kvotu atvasinātajiem instrumentiem.</w:t>
                      </w:r>
                    </w:p>
                  </w:txbxContent>
                </v:textbox>
                <w10:anchorlock/>
              </v:shape>
            </w:pict>
          </mc:Fallback>
        </mc:AlternateContent>
      </w:r>
    </w:p>
    <w:p>
      <w:pPr>
        <w:jc w:val="both"/>
        <w:rPr>
          <w:rFonts w:ascii="Times New Roman" w:hAnsi="Times New Roman"/>
          <w:noProof/>
          <w:sz w:val="24"/>
          <w:szCs w:val="24"/>
        </w:rPr>
      </w:pPr>
      <w:r>
        <w:rPr>
          <w:rFonts w:ascii="Times New Roman" w:hAnsi="Times New Roman"/>
          <w:noProof/>
          <w:sz w:val="24"/>
          <w:szCs w:val="24"/>
        </w:rPr>
        <w:t>Pēc ES ETS reformas attiecībā uz ceturto posmu tirgū ir atgriezušies vairāki tirgus dalībnieki, tostarp svarīgi finanšu dalībnieki un brokeri. To dalībnieku skaits, kuriem ir tiesības veikt solīšanu kopējās izsoļu platformas izsolēs, palielinājās no 73 (2018. gada janvārī) līdz 79 (2018. gada decembrī). Lielākā daļa no dalībniekiem bija operatori (73 %), bet pārējie — ieguldījumu sabiedrības un kredītiestādes (19 %), kā arī no FITD prasībām atbrīvotas personas (8 %)</w:t>
      </w:r>
      <w:r>
        <w:rPr>
          <w:rStyle w:val="FootnoteReference"/>
          <w:rFonts w:ascii="Times New Roman" w:hAnsi="Times New Roman"/>
          <w:noProof/>
          <w:sz w:val="24"/>
          <w:szCs w:val="24"/>
        </w:rPr>
        <w:footnoteReference w:id="58"/>
      </w:r>
      <w:r>
        <w:rPr>
          <w:rFonts w:ascii="Times New Roman" w:hAnsi="Times New Roman"/>
          <w:noProof/>
          <w:sz w:val="24"/>
          <w:szCs w:val="24"/>
        </w:rPr>
        <w:t>. Salīdzinājumam — 2012. gada nogalē, kad tika sāktas izsoles, bija 42 solīttiesīgi izsoļu dalībnieki, no kuriem 67 % bija operatori, 26 % — ieguldījumu sabiedrības un kredītiestādes, 7 % — nefinanšu starpnieki</w:t>
      </w:r>
      <w:r>
        <w:rPr>
          <w:rFonts w:ascii="Times New Roman" w:hAnsi="Times New Roman"/>
          <w:noProof/>
          <w:sz w:val="24"/>
          <w:szCs w:val="24"/>
          <w:vertAlign w:val="superscript"/>
        </w:rPr>
        <w:footnoteReference w:id="59"/>
      </w:r>
      <w:r>
        <w:rPr>
          <w:rFonts w:ascii="Times New Roman" w:hAnsi="Times New Roman"/>
          <w:noProof/>
          <w:sz w:val="24"/>
          <w:szCs w:val="24"/>
        </w:rPr>
        <w:t>.</w:t>
      </w:r>
    </w:p>
    <w:p>
      <w:pPr>
        <w:jc w:val="both"/>
        <w:rPr>
          <w:rFonts w:ascii="Times New Roman" w:hAnsi="Times New Roman"/>
          <w:noProof/>
          <w:sz w:val="24"/>
          <w:szCs w:val="24"/>
        </w:rPr>
      </w:pPr>
      <w:r>
        <w:rPr>
          <w:rFonts w:ascii="Times New Roman" w:hAnsi="Times New Roman"/>
          <w:noProof/>
          <w:sz w:val="24"/>
          <w:szCs w:val="24"/>
        </w:rPr>
        <w:t>Saskaņā ar esošajiem noteikumiem par tirgus ļaunprātīgu izmantošanu valstu kompetentās iestādes</w:t>
      </w:r>
      <w:r>
        <w:rPr>
          <w:rFonts w:ascii="Times New Roman" w:hAnsi="Times New Roman"/>
          <w:noProof/>
          <w:sz w:val="24"/>
          <w:szCs w:val="24"/>
          <w:vertAlign w:val="superscript"/>
        </w:rPr>
        <w:footnoteReference w:id="60"/>
      </w:r>
      <w:r>
        <w:rPr>
          <w:rFonts w:ascii="Times New Roman" w:hAnsi="Times New Roman"/>
          <w:noProof/>
          <w:sz w:val="24"/>
          <w:szCs w:val="24"/>
        </w:rPr>
        <w:t xml:space="preserve"> ir atbildīgas par tirgus uzraudzību gan attiecībā uz izsolēm, gan otrreizējo tirgu. Tāpat kā attiecībā uz citiem finanšu instrumentiem, Eiropas līmenī to rīcību koordinē Eiropas Vērtspapīru un tirgu iestāde (</w:t>
      </w:r>
      <w:r>
        <w:rPr>
          <w:rFonts w:ascii="Times New Roman" w:hAnsi="Times New Roman"/>
          <w:i/>
          <w:noProof/>
          <w:sz w:val="24"/>
          <w:szCs w:val="24"/>
        </w:rPr>
        <w:t>ESMA</w:t>
      </w:r>
      <w:r>
        <w:rPr>
          <w:rFonts w:ascii="Times New Roman" w:hAnsi="Times New Roman"/>
          <w:noProof/>
          <w:sz w:val="24"/>
          <w:szCs w:val="24"/>
        </w:rPr>
        <w:t xml:space="preserve">). </w:t>
      </w:r>
    </w:p>
    <w:p>
      <w:pPr>
        <w:jc w:val="both"/>
        <w:rPr>
          <w:rFonts w:ascii="Times New Roman" w:hAnsi="Times New Roman"/>
          <w:noProof/>
          <w:sz w:val="24"/>
          <w:szCs w:val="24"/>
        </w:rPr>
      </w:pPr>
      <w:r>
        <w:rPr>
          <w:rFonts w:ascii="Times New Roman" w:hAnsi="Times New Roman"/>
          <w:noProof/>
          <w:sz w:val="24"/>
          <w:szCs w:val="24"/>
        </w:rPr>
        <w:t>Valstu kompetentajām iestādēm ir pilnvaras noteikt korektīvus pasākumus vai sankcijas, ja tās ir nolēmušas, ka konkrēta rīcība ir tirgus ļaunprātīga izmantošana. Lai tās varētu veikt tirgus pārraudzības uzdevumu, ar finanšu tirgu tiesību aktiem ir noteiktas vairākas ziņošanas un pārredzamības prasības, kuras piemēro tirdzniecības vietām un ieguldījumu sabiedrībām. Ziņošanas prasību ietvaros tirdzniecības vietām un ieguldījumu sabiedrībām ir jāpaziņo kompetentajām iestādēm detalizēti dati par tirdzniecības vietās un ārpusbiržas darījumos (</w:t>
      </w:r>
      <w:r>
        <w:rPr>
          <w:rFonts w:ascii="Times New Roman" w:hAnsi="Times New Roman"/>
          <w:i/>
          <w:noProof/>
          <w:sz w:val="24"/>
          <w:szCs w:val="24"/>
        </w:rPr>
        <w:t>OTC</w:t>
      </w:r>
      <w:r>
        <w:rPr>
          <w:rFonts w:ascii="Times New Roman" w:hAnsi="Times New Roman"/>
          <w:noProof/>
          <w:sz w:val="24"/>
          <w:szCs w:val="24"/>
        </w:rPr>
        <w:t>) veikto tirdzniecību ar emisijas kvotām vai to atvasinātajiem instrumentiem</w:t>
      </w:r>
      <w:r>
        <w:rPr>
          <w:rFonts w:ascii="Times New Roman" w:hAnsi="Times New Roman"/>
          <w:noProof/>
          <w:sz w:val="24"/>
          <w:szCs w:val="24"/>
          <w:vertAlign w:val="superscript"/>
        </w:rPr>
        <w:footnoteReference w:id="61"/>
      </w:r>
      <w:r>
        <w:rPr>
          <w:rFonts w:ascii="Times New Roman" w:hAnsi="Times New Roman"/>
          <w:noProof/>
          <w:sz w:val="24"/>
          <w:szCs w:val="24"/>
        </w:rPr>
        <w:t>. Ziņošanas prasības ietver arī prasību tirdzniecības vietām un ieguldījumu sabiedrībām sniegt kompetentajām iestādēm pozīciju datus par emisijas kvotām</w:t>
      </w:r>
      <w:r>
        <w:rPr>
          <w:rFonts w:ascii="Times New Roman" w:hAnsi="Times New Roman"/>
          <w:noProof/>
          <w:sz w:val="24"/>
          <w:szCs w:val="24"/>
          <w:vertAlign w:val="superscript"/>
        </w:rPr>
        <w:footnoteReference w:id="62"/>
      </w:r>
      <w:r>
        <w:rPr>
          <w:rFonts w:ascii="Times New Roman" w:hAnsi="Times New Roman"/>
          <w:noProof/>
          <w:sz w:val="24"/>
          <w:szCs w:val="24"/>
        </w:rPr>
        <w:t>. Pārredzamības prasību ietvaros tirdzniecības vietas un ieguldījumu sabiedrības publisko datus par darījumiem</w:t>
      </w:r>
      <w:r>
        <w:rPr>
          <w:rStyle w:val="FootnoteReference"/>
          <w:rFonts w:ascii="Times New Roman" w:hAnsi="Times New Roman"/>
          <w:noProof/>
          <w:sz w:val="24"/>
          <w:szCs w:val="24"/>
        </w:rPr>
        <w:footnoteReference w:id="63"/>
      </w:r>
      <w:r>
        <w:rPr>
          <w:rFonts w:ascii="Times New Roman" w:hAnsi="Times New Roman"/>
          <w:noProof/>
          <w:sz w:val="24"/>
          <w:szCs w:val="24"/>
        </w:rPr>
        <w:t xml:space="preserve"> un — reizi nedēļā — apkopotus datus par pozīcijām</w:t>
      </w:r>
      <w:r>
        <w:rPr>
          <w:rFonts w:ascii="Times New Roman" w:hAnsi="Times New Roman"/>
          <w:noProof/>
          <w:vertAlign w:val="superscript"/>
        </w:rPr>
        <w:footnoteReference w:id="64"/>
      </w:r>
      <w:r>
        <w:rPr>
          <w:rFonts w:ascii="Times New Roman" w:hAnsi="Times New Roman"/>
          <w:noProof/>
        </w:rPr>
        <w:t>.</w:t>
      </w:r>
    </w:p>
    <w:p>
      <w:pPr>
        <w:jc w:val="both"/>
        <w:rPr>
          <w:rFonts w:ascii="Times New Roman" w:hAnsi="Times New Roman"/>
          <w:noProof/>
          <w:sz w:val="24"/>
          <w:szCs w:val="24"/>
        </w:rPr>
      </w:pPr>
    </w:p>
    <w:p>
      <w:pPr>
        <w:jc w:val="both"/>
        <w:rPr>
          <w:rFonts w:ascii="Times New Roman" w:hAnsi="Times New Roman"/>
          <w:noProof/>
          <w:sz w:val="24"/>
          <w:szCs w:val="24"/>
        </w:rPr>
      </w:pPr>
    </w:p>
    <w:p>
      <w:pPr>
        <w:jc w:val="both"/>
        <w:rPr>
          <w:rFonts w:ascii="Times New Roman" w:hAnsi="Times New Roman"/>
          <w:noProof/>
          <w:sz w:val="24"/>
          <w:szCs w:val="24"/>
        </w:rPr>
      </w:pPr>
    </w:p>
    <w:p>
      <w:pPr>
        <w:jc w:val="both"/>
        <w:rPr>
          <w:rFonts w:ascii="Times New Roman" w:hAnsi="Times New Roman"/>
          <w:noProof/>
          <w:sz w:val="24"/>
          <w:szCs w:val="24"/>
        </w:rPr>
      </w:pPr>
    </w:p>
    <w:p>
      <w:pPr>
        <w:pStyle w:val="Heading2"/>
        <w:spacing w:before="0" w:after="200"/>
        <w:rPr>
          <w:noProof/>
        </w:rPr>
      </w:pPr>
      <w:bookmarkStart w:id="21" w:name="_Toc24103538"/>
      <w:r>
        <w:rPr>
          <w:i w:val="0"/>
          <w:noProof/>
        </w:rPr>
        <w:t>5.1. Emisijas kvotu juridiskais statuss un fiskālais režīms</w:t>
      </w:r>
      <w:bookmarkEnd w:id="21"/>
    </w:p>
    <w:p>
      <w:pPr>
        <w:jc w:val="both"/>
        <w:rPr>
          <w:rFonts w:ascii="Times New Roman" w:hAnsi="Times New Roman"/>
          <w:noProof/>
          <w:sz w:val="24"/>
          <w:szCs w:val="24"/>
        </w:rPr>
      </w:pPr>
      <w:r>
        <w:rPr>
          <w:rFonts w:ascii="Times New Roman" w:hAnsi="Times New Roman"/>
          <w:noProof/>
          <w:lang w:val="en-GB" w:eastAsia="en-GB"/>
        </w:rPr>
        <mc:AlternateContent>
          <mc:Choice Requires="wps">
            <w:drawing>
              <wp:inline distT="0" distB="0" distL="0" distR="0">
                <wp:extent cx="5705856" cy="1590261"/>
                <wp:effectExtent l="0" t="0" r="28575" b="1016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856" cy="1590261"/>
                        </a:xfrm>
                        <a:prstGeom prst="rect">
                          <a:avLst/>
                        </a:prstGeom>
                        <a:solidFill>
                          <a:schemeClr val="bg1">
                            <a:lumMod val="85000"/>
                          </a:schemeClr>
                        </a:solidFill>
                        <a:ln w="12700">
                          <a:solidFill>
                            <a:srgbClr val="000000"/>
                          </a:solidFill>
                          <a:miter lim="800000"/>
                          <a:headEnd/>
                          <a:tailEnd/>
                        </a:ln>
                      </wps:spPr>
                      <wps:txbx>
                        <w:txbxContent>
                          <w:p>
                            <w:pPr>
                              <w:jc w:val="both"/>
                              <w:rPr>
                                <w:rFonts w:ascii="Times New Roman" w:hAnsi="Times New Roman"/>
                              </w:rPr>
                            </w:pPr>
                            <w:r>
                              <w:rPr>
                                <w:rFonts w:ascii="Times New Roman" w:hAnsi="Times New Roman"/>
                                <w:sz w:val="24"/>
                                <w:szCs w:val="24"/>
                              </w:rPr>
                              <w:t>Emisijas kvotu juridiskais statuss un fiskālais režīms dažādās valstīs ir atšķirīgs, jo abi šie aspekti ETS direktīvā nav definēti. Valstīm ir pienākums ik gadu saskaņā ar 21. pantu iesniedzamajos ziņojumos ziņot par to, kāds juridiskais statuss un fiskālais režīms valstī tiek piemērots attiecībā uz kvotām. Neraugoties uz to, ka šie režīmi nav saskaņoti, pašreizējais tiesiskais regulējums sniedz vajadzīgo juridisko pamatu nobriedušam, pārredzamam un likvīdam oglekļa tirgum, vienlaikus nodrošinot tirgus stabilitāti un integritāti</w:t>
                            </w:r>
                            <w:r>
                              <w:rPr>
                                <w:rFonts w:ascii="Times New Roman" w:hAnsi="Times New Roman"/>
                              </w:rPr>
                              <w:t>.</w:t>
                            </w:r>
                          </w:p>
                        </w:txbxContent>
                      </wps:txbx>
                      <wps:bodyPr rot="0" vert="horz" wrap="square" lIns="91440" tIns="45720" rIns="91440" bIns="45720" anchor="t" anchorCtr="0">
                        <a:noAutofit/>
                      </wps:bodyPr>
                    </wps:wsp>
                  </a:graphicData>
                </a:graphic>
              </wp:inline>
            </w:drawing>
          </mc:Choice>
          <mc:Fallback>
            <w:pict>
              <v:shape id="_x0000_s1039" type="#_x0000_t202" style="width:449.3pt;height:1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" fillcolor="#d8d8d8 [2732]" strokeweight="1pt">
                <v:textbox>
                  <w:txbxContent>
                    <w:p>
                      <w:pPr>
                        <w:jc w:val="both"/>
                        <w:rPr>
                          <w:rFonts w:ascii="Times New Roman" w:hAnsi="Times New Roman"/>
                        </w:rPr>
                      </w:pPr>
                      <w:r>
                        <w:rPr>
                          <w:rFonts w:ascii="Times New Roman" w:hAnsi="Times New Roman"/>
                          <w:sz w:val="24"/>
                          <w:szCs w:val="24"/>
                        </w:rPr>
                        <w:t>Emisijas kvotu juridiskais statuss un fiskālais režīms dažādās valstīs ir atšķirīgs, jo abi šie aspekti ETS direktīvā nav definēti. Valstīm ir pienākums ik gadu saskaņā ar 21. pantu iesniedzamajos ziņojumos ziņot par to, kāds juridiskais statuss un fiskālais režīms valstī tiek piemērots attiecībā uz kvotām. Neraugoties uz to, ka šie režīmi nav saskaņoti, pašreizējais tiesiskais regulējums sniedz vajadzīgo juridisko pamatu nobriedušam, pārredzamam un likvīdam oglekļa tirgum, vienlaikus nodrošinot tirgus stabilitāti un integritāti</w:t>
                      </w:r>
                      <w:r>
                        <w:rPr>
                          <w:rFonts w:ascii="Times New Roman" w:hAnsi="Times New Roman"/>
                        </w:rPr>
                        <w:t>.</w:t>
                      </w:r>
                    </w:p>
                  </w:txbxContent>
                </v:textbox>
                <w10:anchorlock/>
              </v:shape>
            </w:pict>
          </mc:Fallback>
        </mc:AlternateContent>
      </w:r>
    </w:p>
    <w:p>
      <w:pPr>
        <w:jc w:val="both"/>
        <w:rPr>
          <w:rFonts w:ascii="Times New Roman" w:eastAsia="Times New Roman" w:hAnsi="Times New Roman"/>
          <w:bCs/>
          <w:noProof/>
          <w:sz w:val="24"/>
          <w:szCs w:val="24"/>
        </w:rPr>
      </w:pPr>
      <w:r>
        <w:rPr>
          <w:rFonts w:ascii="Times New Roman" w:hAnsi="Times New Roman"/>
          <w:noProof/>
          <w:sz w:val="24"/>
          <w:szCs w:val="24"/>
        </w:rPr>
        <w:t>Pēc Eiropas Revīzijas palātas ieteikuma Komisija 2019. gada jūlijā publiskoja pētījumu</w:t>
      </w:r>
      <w:r>
        <w:rPr>
          <w:rStyle w:val="FootnoteReference"/>
          <w:rFonts w:ascii="Times New Roman" w:hAnsi="Times New Roman"/>
          <w:noProof/>
          <w:sz w:val="24"/>
          <w:szCs w:val="24"/>
        </w:rPr>
        <w:footnoteReference w:id="65"/>
      </w:r>
      <w:r>
        <w:rPr>
          <w:rFonts w:ascii="Times New Roman" w:hAnsi="Times New Roman"/>
          <w:noProof/>
          <w:sz w:val="24"/>
          <w:szCs w:val="24"/>
        </w:rPr>
        <w:t xml:space="preserve"> par ES ETS kvotu juridisko statusu. Neatkarīga konsultanta veiktajā pētījumā netika identificētas praktiskas problēmas, kas būtu saistītas ar kvotu juridiskā statusa definīcijas neesību.</w:t>
      </w:r>
      <w:r>
        <w:rPr>
          <w:rFonts w:ascii="Times New Roman" w:hAnsi="Times New Roman"/>
          <w:bCs/>
          <w:noProof/>
          <w:sz w:val="24"/>
          <w:szCs w:val="24"/>
        </w:rPr>
        <w:t xml:space="preserve"> Tajā tika secināts, ka harmonizēta definīcija nesniegtu lielāku juridisko noteiktību, kā arī, iespējams, neietekmētu oglekļa tirgus likviditāti. Lai gan pētījumā netika ierosinātas nekādas likumdošanas iniciatīvas, tika norādīts, ka būtu jānodrošina operatoriem</w:t>
      </w:r>
      <w:r>
        <w:rPr>
          <w:rFonts w:ascii="Times New Roman" w:hAnsi="Times New Roman"/>
          <w:noProof/>
          <w:sz w:val="24"/>
          <w:szCs w:val="24"/>
        </w:rPr>
        <w:t xml:space="preserve"> v</w:t>
      </w:r>
      <w:r>
        <w:rPr>
          <w:rFonts w:ascii="Times New Roman" w:hAnsi="Times New Roman"/>
          <w:bCs/>
          <w:noProof/>
          <w:sz w:val="24"/>
          <w:szCs w:val="24"/>
        </w:rPr>
        <w:t>ajadzīgā informācija, padomi, mācības un spēju veidošana pēc tam, kad kvotas tika klasificētas par finanšu instrumentiem saskaņā ar FITD 2</w:t>
      </w:r>
      <w:r>
        <w:rPr>
          <w:rFonts w:ascii="Times New Roman" w:eastAsia="Times New Roman" w:hAnsi="Times New Roman"/>
          <w:bCs/>
          <w:noProof/>
          <w:sz w:val="24"/>
          <w:szCs w:val="24"/>
          <w:vertAlign w:val="superscript"/>
        </w:rPr>
        <w:footnoteReference w:id="66"/>
      </w:r>
      <w:r>
        <w:rPr>
          <w:rFonts w:ascii="Times New Roman" w:hAnsi="Times New Roman"/>
          <w:bCs/>
          <w:noProof/>
          <w:sz w:val="24"/>
          <w:szCs w:val="24"/>
        </w:rPr>
        <w:t xml:space="preserve">. </w:t>
      </w:r>
    </w:p>
    <w:p>
      <w:pPr>
        <w:jc w:val="both"/>
        <w:rPr>
          <w:rFonts w:ascii="Times New Roman" w:hAnsi="Times New Roman"/>
          <w:noProof/>
          <w:sz w:val="24"/>
          <w:szCs w:val="24"/>
        </w:rPr>
      </w:pPr>
      <w:r>
        <w:rPr>
          <w:rFonts w:ascii="Times New Roman" w:hAnsi="Times New Roman"/>
          <w:noProof/>
          <w:sz w:val="24"/>
          <w:szCs w:val="24"/>
        </w:rPr>
        <w:t>Runājot par kvotām piemēroto fiskālo režīmu, trīs valstis ir ziņojušas, ka emisijas kvotu izdošanai piemēro pievienotās vērtības nodokli (PVN). Savukārt darījumiem ar emisijas kvotām sekundārajā tirgū PVN piemēro 27 iesaistītās valstis. Vairums valstu ziņoja, ka iekšzemes darījumiem ar emisijas kvotām tās piemēro apgrieztās maksāšanas sistēmu. Apgrieztās maksāšanas atkāpe pārliek darījuma PVN maksāšanas pienākumu no preces vai pakalpojuma pārdevēja uz pircēju, un tas ir iedarbīgs aizsarglīdzeklis pret krāpšanu, kas saistīta ar PVN. 2018. gada novembrī iespēja dalībvalstīm piemērot atkāpi tika pagarināta līdz 2022. gada 30. jūnijam</w:t>
      </w:r>
      <w:r>
        <w:rPr>
          <w:rStyle w:val="FootnoteReference"/>
          <w:rFonts w:ascii="Times New Roman" w:hAnsi="Times New Roman"/>
          <w:noProof/>
          <w:sz w:val="24"/>
          <w:szCs w:val="24"/>
        </w:rPr>
        <w:footnoteReference w:id="67"/>
      </w:r>
      <w:r>
        <w:rPr>
          <w:rFonts w:ascii="Times New Roman" w:hAnsi="Times New Roman"/>
          <w:noProof/>
          <w:sz w:val="24"/>
          <w:szCs w:val="24"/>
        </w:rPr>
        <w:t>. Dalībvalstis tiek mudinātas turpināt piemērot apgrieztās maksāšanas sistēmu, lai arī turpmāk nodrošinātu pienācīgu oglekļa tirgus aizsardzību.</w:t>
      </w:r>
    </w:p>
    <w:p>
      <w:pPr>
        <w:pStyle w:val="Heading1"/>
        <w:spacing w:before="0" w:after="200"/>
        <w:rPr>
          <w:noProof/>
        </w:rPr>
      </w:pPr>
      <w:bookmarkStart w:id="22" w:name="_Toc24103539"/>
      <w:r>
        <w:rPr>
          <w:noProof/>
        </w:rPr>
        <w:t>6. EMISIJU MONITORINGS, ZIŅOŠANA UN VERIFIKĀCIJA</w:t>
      </w:r>
      <w:bookmarkEnd w:id="22"/>
    </w:p>
    <w:p>
      <w:pPr>
        <w:jc w:val="both"/>
        <w:rPr>
          <w:rFonts w:ascii="Times New Roman" w:hAnsi="Times New Roman"/>
          <w:noProof/>
        </w:rPr>
      </w:pPr>
      <w:r>
        <w:rPr>
          <w:rFonts w:ascii="Times New Roman" w:hAnsi="Times New Roman"/>
          <w:noProof/>
          <w:lang w:val="en-GB" w:eastAsia="en-GB"/>
        </w:rPr>
        <mc:AlternateContent>
          <mc:Choice Requires="wps">
            <w:drawing>
              <wp:inline distT="0" distB="0" distL="0" distR="0">
                <wp:extent cx="5731510" cy="5664054"/>
                <wp:effectExtent l="0" t="0" r="21590" b="1333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664054"/>
                        </a:xfrm>
                        <a:prstGeom prst="rect">
                          <a:avLst/>
                        </a:prstGeom>
                        <a:solidFill>
                          <a:sysClr val="window" lastClr="FFFFFF">
                            <a:lumMod val="85000"/>
                          </a:sysClr>
                        </a:solidFill>
                        <a:ln w="12700">
                          <a:solidFill>
                            <a:srgbClr val="000000"/>
                          </a:solidFill>
                          <a:miter lim="800000"/>
                          <a:headEnd/>
                          <a:tailEnd/>
                        </a:ln>
                      </wps:spPr>
                      <wps:txbx>
                        <w:txbxContent>
                          <w:p>
                            <w:pPr>
                              <w:jc w:val="both"/>
                              <w:rPr>
                                <w:rFonts w:ascii="Times New Roman" w:hAnsi="Times New Roman"/>
                                <w:sz w:val="24"/>
                                <w:szCs w:val="24"/>
                              </w:rPr>
                            </w:pPr>
                            <w:r>
                              <w:rPr>
                                <w:rFonts w:ascii="Times New Roman" w:hAnsi="Times New Roman"/>
                                <w:sz w:val="24"/>
                                <w:szCs w:val="24"/>
                              </w:rPr>
                              <w:t>Attiecībā uz ES ETS monitoringa, ziņošanas, verifikācijas un akreditācijas (MZVA) prasības ir saskaņotas Monitoringa uz ziņošanas regulā (MZR)* un Akreditācijas un verifikācijas regulā (AVR)**.</w:t>
                            </w:r>
                          </w:p>
                          <w:p>
                            <w:pPr>
                              <w:jc w:val="both"/>
                              <w:rPr>
                                <w:rFonts w:ascii="Times New Roman" w:hAnsi="Times New Roman"/>
                                <w:sz w:val="24"/>
                                <w:szCs w:val="24"/>
                              </w:rPr>
                            </w:pPr>
                            <w:r>
                              <w:rPr>
                                <w:rFonts w:ascii="Times New Roman" w:hAnsi="Times New Roman"/>
                                <w:sz w:val="24"/>
                                <w:szCs w:val="24"/>
                              </w:rPr>
                              <w:t xml:space="preserve">ES ETS monitoringa sistēma ir veidota no "blokiem", kas sniedz operatoriem plašas iespējas nodrošināt izmaksfektivitāti, vienlaikus panākot, ka emisijas datu monitorings ir ļoti uzticams Šim mērķim ir atļauts izmantot vairākas monitoringa metodes (“uz aprēķiniem balstītu” vai “uz mērījumiem balstītu” metodi, kā arī izņēmuma gadījumā “alternatīvas pieejas”). </w:t>
                            </w:r>
                            <w:r>
                              <w:rPr>
                                <w:rFonts w:ascii="Times New Roman" w:hAnsi="Times New Roman"/>
                                <w:sz w:val="24"/>
                                <w:szCs w:val="24"/>
                              </w:rPr>
                              <w:tab/>
                              <w:t>Metodes var kombinēt attiecībā uz vienas iekārtas atsevišķām daļām. Gaisa kuģu operatoriem ir iespējams izmantot tikai uz aprēķiniem balstītas pieejas, kur galvenais parametrs, kas jānosaka attiecībā uz ES ETS aptvertajiem lidojumiem, ir degvielas patēriņš. Prasība, ka iekārtām un gaisa kuģu operatoriem ir jābūt monitoringa plānam, ko, balstoties uz MZR, ir apstiprinājusi kompetentā iestāde, novērš monitoringa metožu patvaļīgu atlasi un pagaidu variācijas.</w:t>
                            </w:r>
                          </w:p>
                          <w:p>
                            <w:pPr>
                              <w:jc w:val="both"/>
                              <w:rPr>
                                <w:rFonts w:ascii="Times New Roman" w:hAnsi="Times New Roman"/>
                                <w:sz w:val="24"/>
                                <w:szCs w:val="24"/>
                              </w:rPr>
                            </w:pPr>
                            <w:r>
                              <w:rPr>
                                <w:rFonts w:ascii="Times New Roman" w:hAnsi="Times New Roman"/>
                                <w:sz w:val="24"/>
                                <w:szCs w:val="24"/>
                              </w:rPr>
                              <w:t xml:space="preserve">Ar AVR ir ieviesta saskaņota ES mēroga pieeja verificētāju akreditācijai trešajā posmā un turpmāk. Lai varētu veikt verifikāciju saskaņā ar AVR, verificētājam, kas ir juridiska persona vai juridiska vienība, ir jāsaņem valsts akreditācijas struktūras (VAS) akreditācija. Šāda vienotā akreditācijas sistēma nodrošina, ka verificētāji var darboties uz savstarpējās atzīšanas pamata visās iesaistītajās valstīs, tādējādi pilnībā izmantojot iekšējā tirgus priekšrocības un palīdzot nodrošināt pietiekamu pieejamību kopumā. </w:t>
                            </w:r>
                          </w:p>
                          <w:p>
                            <w:pPr>
                              <w:rPr>
                                <w:rFonts w:ascii="Times New Roman" w:hAnsi="Times New Roman"/>
                                <w:sz w:val="20"/>
                                <w:szCs w:val="20"/>
                              </w:rPr>
                            </w:pPr>
                            <w:r>
                              <w:rPr>
                                <w:rFonts w:ascii="Times New Roman" w:hAnsi="Times New Roman"/>
                                <w:sz w:val="20"/>
                                <w:szCs w:val="20"/>
                              </w:rPr>
                              <w:t>*</w:t>
                            </w:r>
                            <w:r>
                              <w:rPr>
                                <w:sz w:val="20"/>
                                <w:szCs w:val="20"/>
                              </w:rPr>
                              <w:t xml:space="preserve"> Komisijas Regula (ES) Nr. 601/2012 (2012. gada 21. jūnijs) par siltumnīcefekta gāzu emisiju monitoringu un ziņošanu saskaņā ar Eiropas Parlamenta un Padomes Direktīvu 2003/87/EK (OV L 181, 12.7.2012., 30. lpp.).</w:t>
                            </w:r>
                          </w:p>
                          <w:p>
                            <w:pPr>
                              <w:rPr>
                                <w:rFonts w:ascii="Times New Roman" w:hAnsi="Times New Roman"/>
                                <w:sz w:val="20"/>
                                <w:szCs w:val="20"/>
                              </w:rPr>
                            </w:pPr>
                            <w:r>
                              <w:rPr>
                                <w:rFonts w:ascii="Times New Roman" w:hAnsi="Times New Roman"/>
                                <w:sz w:val="20"/>
                                <w:szCs w:val="20"/>
                              </w:rPr>
                              <w:t>**</w:t>
                            </w:r>
                            <w:r>
                              <w:rPr>
                                <w:sz w:val="20"/>
                                <w:szCs w:val="20"/>
                              </w:rPr>
                              <w:t xml:space="preserve"> Komisijas Regula (ES) Nr. 600/2012 (2012. gada 21. jūnijs) par siltumnīcefekta gāzu ziņojumu un tonnkilometru ziņojumu verifikāciju un par verificētāju akreditāciju saskaņā ar Eiropas Parlamenta un Padomes Direktīvu 2003/87/EK (OV L 181, 12.7.2012., 1. lpp.).</w:t>
                            </w:r>
                          </w:p>
                          <w:p>
                            <w:pPr>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id="_x0000_s1040" type="#_x0000_t202" style="width:451.3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" fillcolor="#d9d9d9" strokeweight="1pt">
                <v:textbox>
                  <w:txbxContent>
                    <w:p>
                      <w:pPr>
                        <w:jc w:val="both"/>
                        <w:rPr>
                          <w:rFonts w:ascii="Times New Roman" w:hAnsi="Times New Roman"/>
                          <w:sz w:val="24"/>
                          <w:szCs w:val="24"/>
                        </w:rPr>
                      </w:pPr>
                      <w:r>
                        <w:rPr>
                          <w:rFonts w:ascii="Times New Roman" w:hAnsi="Times New Roman"/>
                          <w:sz w:val="24"/>
                          <w:szCs w:val="24"/>
                        </w:rPr>
                        <w:t>Attiecībā uz ES ETS monitoringa, ziņošanas, verifikācijas un akreditācijas (MZVA) prasības ir saskaņotas Monitoringa uz ziņošanas regulā (MZR)* un Akreditācijas un verifikācijas regulā (AVR)**.</w:t>
                      </w:r>
                    </w:p>
                    <w:p>
                      <w:pPr>
                        <w:jc w:val="both"/>
                        <w:rPr>
                          <w:rFonts w:ascii="Times New Roman" w:hAnsi="Times New Roman"/>
                          <w:sz w:val="24"/>
                          <w:szCs w:val="24"/>
                        </w:rPr>
                      </w:pPr>
                      <w:r>
                        <w:rPr>
                          <w:rFonts w:ascii="Times New Roman" w:hAnsi="Times New Roman"/>
                          <w:sz w:val="24"/>
                          <w:szCs w:val="24"/>
                        </w:rPr>
                        <w:t xml:space="preserve">ES ETS monitoringa sistēma ir veidota no "blokiem", kas sniedz operatoriem plašas iespējas nodrošināt izmaksfektivitāti, vienlaikus panākot, ka emisijas datu monitorings ir ļoti uzticams Šim mērķim ir atļauts izmantot vairākas monitoringa metodes (“uz aprēķiniem balstītu” vai “uz mērījumiem balstītu” metodi, kā arī izņēmuma gadījumā “alternatīvas pieejas”). </w:t>
                      </w:r>
                      <w:r>
                        <w:rPr>
                          <w:rFonts w:ascii="Times New Roman" w:hAnsi="Times New Roman"/>
                          <w:sz w:val="24"/>
                          <w:szCs w:val="24"/>
                        </w:rPr>
                        <w:tab/>
                        <w:t>Metodes var kombinēt attiecībā uz vienas iekārtas atsevišķām daļām. Gaisa kuģu operatoriem ir iespējams izmantot tikai uz aprēķiniem balstītas pieejas, kur galvenais parametrs, kas jānosaka attiecībā uz ES ETS aptvertajiem lidojumiem, ir degvielas patēriņš. Prasība, ka iekārtām un gaisa kuģu operatoriem ir jābūt monitoringa plānam, ko, balstoties uz MZR, ir apstiprinājusi kompetentā iestāde, novērš monitoringa metožu patvaļīgu atlasi un pagaidu variācijas.</w:t>
                      </w:r>
                    </w:p>
                    <w:p>
                      <w:pPr>
                        <w:jc w:val="both"/>
                        <w:rPr>
                          <w:rFonts w:ascii="Times New Roman" w:hAnsi="Times New Roman"/>
                          <w:sz w:val="24"/>
                          <w:szCs w:val="24"/>
                        </w:rPr>
                      </w:pPr>
                      <w:r>
                        <w:rPr>
                          <w:rFonts w:ascii="Times New Roman" w:hAnsi="Times New Roman"/>
                          <w:sz w:val="24"/>
                          <w:szCs w:val="24"/>
                        </w:rPr>
                        <w:t xml:space="preserve">Ar AVR ir ieviesta saskaņota ES mēroga pieeja verificētāju akreditācijai trešajā posmā un turpmāk. Lai varētu veikt verifikāciju saskaņā ar AVR, verificētājam, kas ir juridiska persona vai juridiska vienība, ir jāsaņem valsts akreditācijas struktūras (VAS) akreditācija. Šāda vienotā akreditācijas sistēma nodrošina, ka verificētāji var darboties uz savstarpējās atzīšanas pamata visās iesaistītajās valstīs, tādējādi pilnībā izmantojot iekšējā tirgus priekšrocības un palīdzot nodrošināt pietiekamu pieejamību kopumā. </w:t>
                      </w:r>
                    </w:p>
                    <w:p>
                      <w:pPr>
                        <w:rPr>
                          <w:rFonts w:ascii="Times New Roman" w:hAnsi="Times New Roman"/>
                          <w:sz w:val="20"/>
                          <w:szCs w:val="20"/>
                        </w:rPr>
                      </w:pPr>
                      <w:r>
                        <w:rPr>
                          <w:rFonts w:ascii="Times New Roman" w:hAnsi="Times New Roman"/>
                          <w:sz w:val="20"/>
                          <w:szCs w:val="20"/>
                        </w:rPr>
                        <w:t>*</w:t>
                      </w:r>
                      <w:r>
                        <w:rPr>
                          <w:sz w:val="20"/>
                          <w:szCs w:val="20"/>
                        </w:rPr>
                        <w:t xml:space="preserve"> Komisijas Regula (ES) Nr. 601/2012 (2012. gada 21. jūnijs) par siltumnīcefekta gāzu emisiju monitoringu un ziņošanu saskaņā ar Eiropas Parlamenta un Padomes Direktīvu 2003/87/EK (OV L 181, 12.7.2012., 30. lpp.).</w:t>
                      </w:r>
                    </w:p>
                    <w:p>
                      <w:pPr>
                        <w:rPr>
                          <w:rFonts w:ascii="Times New Roman" w:hAnsi="Times New Roman"/>
                          <w:sz w:val="20"/>
                          <w:szCs w:val="20"/>
                        </w:rPr>
                      </w:pPr>
                      <w:r>
                        <w:rPr>
                          <w:rFonts w:ascii="Times New Roman" w:hAnsi="Times New Roman"/>
                          <w:sz w:val="20"/>
                          <w:szCs w:val="20"/>
                        </w:rPr>
                        <w:t>**</w:t>
                      </w:r>
                      <w:r>
                        <w:rPr>
                          <w:sz w:val="20"/>
                          <w:szCs w:val="20"/>
                        </w:rPr>
                        <w:t xml:space="preserve"> Komisijas Regula (ES) Nr. 600/2012 (2012. gada 21. jūnijs) par siltumnīcefekta gāzu ziņojumu un tonnkilometru ziņojumu verifikāciju un par verificētāju akreditāciju saskaņā ar Eiropas Parlamenta un Padomes Direktīvu 2003/87/EK (OV L 181, 12.7.2012., 1. lpp.).</w:t>
                      </w:r>
                    </w:p>
                    <w:p>
                      <w:pPr>
                        <w:rPr>
                          <w:rFonts w:ascii="Times New Roman" w:hAnsi="Times New Roman"/>
                          <w:sz w:val="24"/>
                          <w:szCs w:val="24"/>
                        </w:rPr>
                      </w:pPr>
                    </w:p>
                  </w:txbxContent>
                </v:textbox>
                <w10:anchorlock/>
              </v:shape>
            </w:pict>
          </mc:Fallback>
        </mc:AlternateContent>
      </w:r>
    </w:p>
    <w:p>
      <w:pPr>
        <w:rPr>
          <w:rFonts w:ascii="Times New Roman" w:hAnsi="Times New Roman"/>
          <w:b/>
          <w:bCs/>
          <w:iCs/>
          <w:noProof/>
          <w:sz w:val="24"/>
          <w:szCs w:val="24"/>
        </w:rPr>
      </w:pPr>
      <w:r>
        <w:rPr>
          <w:rFonts w:ascii="Times New Roman" w:hAnsi="Times New Roman"/>
          <w:b/>
          <w:bCs/>
          <w:iCs/>
          <w:noProof/>
          <w:sz w:val="24"/>
          <w:szCs w:val="24"/>
        </w:rPr>
        <w:t>6.1. Vispārējas tendences</w:t>
      </w:r>
    </w:p>
    <w:p>
      <w:pPr>
        <w:jc w:val="both"/>
        <w:rPr>
          <w:rFonts w:ascii="Times New Roman" w:hAnsi="Times New Roman"/>
          <w:noProof/>
          <w:sz w:val="24"/>
          <w:szCs w:val="24"/>
        </w:rPr>
      </w:pPr>
      <w:r>
        <w:rPr>
          <w:rFonts w:ascii="Times New Roman" w:hAnsi="Times New Roman"/>
          <w:noProof/>
          <w:sz w:val="24"/>
          <w:szCs w:val="24"/>
        </w:rPr>
        <w:t xml:space="preserve">MZR un AVR īstenošanā gūtā pieredze ir apliecinājusi nepieciešamību turpināt uzlabot, precizēt un vienkāršot noteikumus, lai veicinātu saskaņotību, samazinātu operatoru un iesaistīto valstu administratīvo slogu, kā arī vēl vairāk uzlabotu sistēmas efektivitāti. </w:t>
      </w:r>
    </w:p>
    <w:p>
      <w:pPr>
        <w:jc w:val="both"/>
        <w:rPr>
          <w:rFonts w:ascii="Times New Roman" w:hAnsi="Times New Roman"/>
          <w:noProof/>
          <w:sz w:val="24"/>
          <w:szCs w:val="24"/>
        </w:rPr>
      </w:pPr>
      <w:r>
        <w:rPr>
          <w:rFonts w:ascii="Times New Roman" w:hAnsi="Times New Roman"/>
          <w:noProof/>
          <w:sz w:val="24"/>
          <w:szCs w:val="24"/>
        </w:rPr>
        <w:t xml:space="preserve">Kopš 2017. gada februāra ir notikušas apspriešanās ar iesaistītajām valstīm, lai aktualizētu šīs abas regulas nolūkā sagatavoties ES ETS ceturtajam posmam, kā arī lai uzlabotu un vienkāršotu MZVA procesus. Pirmā šāda atjaunināšana notika 2018. gadā. Lai darbotos verifikācijas sistēma datu vākšanai par bezmaksas kvotu iedali 2019. gadā un būtu aktualizēta MZVA sistēma, kamēr nav sākta datu vākšana </w:t>
      </w:r>
      <w:r>
        <w:rPr>
          <w:rFonts w:ascii="Times New Roman" w:hAnsi="Times New Roman"/>
          <w:i/>
          <w:noProof/>
          <w:sz w:val="24"/>
          <w:szCs w:val="24"/>
        </w:rPr>
        <w:t>CORSIA</w:t>
      </w:r>
      <w:r>
        <w:rPr>
          <w:rFonts w:ascii="Times New Roman" w:hAnsi="Times New Roman"/>
          <w:noProof/>
          <w:sz w:val="24"/>
          <w:szCs w:val="24"/>
        </w:rPr>
        <w:t xml:space="preserve"> shēmā (sk. 4. nodaļu), no 2019. gada 1. janvāra bija jāsāk piemērot pārskatītas MZR</w:t>
      </w:r>
      <w:r>
        <w:rPr>
          <w:rFonts w:ascii="Times New Roman" w:hAnsi="Times New Roman"/>
          <w:noProof/>
          <w:sz w:val="24"/>
          <w:szCs w:val="24"/>
          <w:vertAlign w:val="superscript"/>
        </w:rPr>
        <w:footnoteReference w:id="68"/>
      </w:r>
      <w:r>
        <w:rPr>
          <w:rFonts w:ascii="Times New Roman" w:hAnsi="Times New Roman"/>
          <w:noProof/>
          <w:sz w:val="24"/>
          <w:szCs w:val="24"/>
        </w:rPr>
        <w:t xml:space="preserve"> un AVR</w:t>
      </w:r>
      <w:r>
        <w:rPr>
          <w:rFonts w:ascii="Times New Roman" w:hAnsi="Times New Roman"/>
          <w:noProof/>
          <w:sz w:val="24"/>
          <w:szCs w:val="24"/>
          <w:vertAlign w:val="superscript"/>
        </w:rPr>
        <w:footnoteReference w:id="69"/>
      </w:r>
      <w:r>
        <w:rPr>
          <w:rFonts w:ascii="Times New Roman" w:hAnsi="Times New Roman"/>
          <w:noProof/>
          <w:sz w:val="24"/>
          <w:szCs w:val="24"/>
        </w:rPr>
        <w:t xml:space="preserve"> redakcijas. Pašlaik darbs tiek turpināts un notiek apspriešanās, lai līdz ceturtā posma sākumam pietiekamā mērā tiktu pabeigts MZVA pārskatīšanas process.</w:t>
      </w:r>
    </w:p>
    <w:p>
      <w:pPr>
        <w:jc w:val="both"/>
        <w:rPr>
          <w:rFonts w:ascii="Times New Roman" w:hAnsi="Times New Roman"/>
          <w:noProof/>
          <w:sz w:val="24"/>
          <w:szCs w:val="24"/>
        </w:rPr>
      </w:pPr>
      <w:r>
        <w:rPr>
          <w:rFonts w:ascii="Times New Roman" w:hAnsi="Times New Roman"/>
          <w:noProof/>
          <w:sz w:val="24"/>
          <w:szCs w:val="24"/>
        </w:rPr>
        <w:t>Atbilstības sistēmas efektivitāte ir uzlabojusies, jo MZR ļāva valstīm noteikt, ka elektroniskā ziņošana ir obligāta. 2019. gadā 17 iesaistītās valstis ziņoja, ka monitoringa plāniem, emisiju ziņojumiem, verifikācijas ziņojumiem un/vai uzlabošanas ziņojumiem izmanto elektroniskos paraugus vai konkrētus failu formātus, pamatojoties uz Komisijas noteiktajām minimālajām prasībām. Turklāt 13 iesaistītās valstis ziņoja, ka tās ES ETS ziņošanai izmanto kādu automatizētu IT sistēmu.</w:t>
      </w:r>
    </w:p>
    <w:p>
      <w:pPr>
        <w:jc w:val="both"/>
        <w:rPr>
          <w:rFonts w:ascii="Times New Roman" w:hAnsi="Times New Roman"/>
          <w:b/>
          <w:bCs/>
          <w:iCs/>
          <w:noProof/>
          <w:sz w:val="24"/>
          <w:szCs w:val="24"/>
        </w:rPr>
      </w:pPr>
      <w:r>
        <w:rPr>
          <w:rFonts w:ascii="Times New Roman" w:hAnsi="Times New Roman"/>
          <w:b/>
          <w:bCs/>
          <w:iCs/>
          <w:noProof/>
          <w:sz w:val="24"/>
          <w:szCs w:val="24"/>
        </w:rPr>
        <w:t>6.2. Izmantotā monitoringa metode</w:t>
      </w:r>
    </w:p>
    <w:p>
      <w:pPr>
        <w:jc w:val="both"/>
        <w:rPr>
          <w:rFonts w:ascii="Times New Roman" w:hAnsi="Times New Roman"/>
          <w:noProof/>
          <w:sz w:val="24"/>
          <w:szCs w:val="24"/>
        </w:rPr>
      </w:pPr>
      <w:r>
        <w:rPr>
          <w:rFonts w:ascii="Times New Roman" w:hAnsi="Times New Roman"/>
          <w:noProof/>
          <w:sz w:val="24"/>
          <w:szCs w:val="24"/>
        </w:rPr>
        <w:t>Saskaņā ar 21. pantu 2019. gadā iesniegtie ziņojumi liecina, ka vairumam iekārtu izmanto uz aprēķiniem balstīto metodiku</w:t>
      </w:r>
      <w:r>
        <w:rPr>
          <w:rFonts w:ascii="Times New Roman" w:hAnsi="Times New Roman"/>
          <w:noProof/>
          <w:sz w:val="24"/>
          <w:szCs w:val="24"/>
          <w:vertAlign w:val="superscript"/>
        </w:rPr>
        <w:footnoteReference w:id="70"/>
      </w:r>
      <w:r>
        <w:rPr>
          <w:rFonts w:ascii="Times New Roman" w:hAnsi="Times New Roman"/>
          <w:noProof/>
          <w:sz w:val="24"/>
          <w:szCs w:val="24"/>
        </w:rPr>
        <w:t>. Tikai par 182 iekārtām (1,7 %) 23 valstīs, visbiežāk Vācijā, Francijā un Čehijā, ir ziņots, ka tām izmanto emisiju nepārtrauktu mērījumu sistēmas. Lai gan valstu skaits ir tāds pats kā pagājušajā gadā, to iekārtu kopskaits, attiecībā uz kurām izmanto šādu pieeju, ir palielinājies par 3 iekārtām.</w:t>
      </w:r>
    </w:p>
    <w:p>
      <w:pPr>
        <w:jc w:val="both"/>
        <w:rPr>
          <w:rFonts w:ascii="Times New Roman" w:hAnsi="Times New Roman"/>
          <w:noProof/>
          <w:sz w:val="24"/>
          <w:szCs w:val="24"/>
        </w:rPr>
      </w:pPr>
      <w:r>
        <w:rPr>
          <w:rFonts w:ascii="Times New Roman" w:hAnsi="Times New Roman"/>
          <w:noProof/>
          <w:sz w:val="24"/>
          <w:szCs w:val="24"/>
        </w:rPr>
        <w:t>Paziņotā informācija liecina, ka alternatīvo pieeju izmanto tikai 11 valstīs, kurās to piemēro 38 iekārtām, kas emitē aptuveni 2,6 miljonus tonnu CO</w:t>
      </w:r>
      <w:r>
        <w:rPr>
          <w:rFonts w:ascii="Times New Roman" w:hAnsi="Times New Roman"/>
          <w:noProof/>
          <w:sz w:val="24"/>
          <w:szCs w:val="24"/>
          <w:vertAlign w:val="subscript"/>
        </w:rPr>
        <w:t>2</w:t>
      </w:r>
      <w:r>
        <w:rPr>
          <w:rFonts w:ascii="Times New Roman" w:hAnsi="Times New Roman"/>
          <w:noProof/>
          <w:sz w:val="24"/>
          <w:szCs w:val="24"/>
        </w:rPr>
        <w:t xml:space="preserve"> ekvivalenta (iepriekšējā gadā — 3,4 miljonus tonnu CO</w:t>
      </w:r>
      <w:r>
        <w:rPr>
          <w:rFonts w:ascii="Times New Roman" w:hAnsi="Times New Roman"/>
          <w:noProof/>
          <w:sz w:val="24"/>
          <w:szCs w:val="24"/>
          <w:vertAlign w:val="subscript"/>
        </w:rPr>
        <w:t>2</w:t>
      </w:r>
      <w:r>
        <w:rPr>
          <w:rFonts w:ascii="Times New Roman" w:hAnsi="Times New Roman"/>
          <w:noProof/>
          <w:sz w:val="24"/>
          <w:szCs w:val="24"/>
        </w:rPr>
        <w:t xml:space="preserve"> ekvivalenta). Viena iekārta Nīderlandē rada 31 % no visām emisijām, par kurām ziņots, ka to monitoringam izmanto alternatīvās pieejas metodiku.</w:t>
      </w:r>
    </w:p>
    <w:p>
      <w:pPr>
        <w:jc w:val="both"/>
        <w:rPr>
          <w:rFonts w:ascii="Times New Roman" w:hAnsi="Times New Roman"/>
          <w:noProof/>
          <w:sz w:val="24"/>
          <w:szCs w:val="24"/>
        </w:rPr>
      </w:pPr>
      <w:r>
        <w:rPr>
          <w:rFonts w:ascii="Times New Roman" w:hAnsi="Times New Roman"/>
          <w:noProof/>
          <w:sz w:val="24"/>
          <w:szCs w:val="24"/>
        </w:rPr>
        <w:t>Vairums iekārtu izpilda MZR paredzētās minimālā līmeņa standartvērtības</w:t>
      </w:r>
      <w:r>
        <w:rPr>
          <w:rFonts w:ascii="Times New Roman" w:hAnsi="Times New Roman"/>
          <w:noProof/>
          <w:sz w:val="24"/>
          <w:szCs w:val="24"/>
          <w:vertAlign w:val="superscript"/>
        </w:rPr>
        <w:footnoteReference w:id="71"/>
      </w:r>
      <w:r>
        <w:rPr>
          <w:rFonts w:ascii="Times New Roman" w:hAnsi="Times New Roman"/>
          <w:noProof/>
          <w:sz w:val="24"/>
          <w:szCs w:val="24"/>
        </w:rPr>
        <w:t>. Tikai par 97 C kategorijas iekārtām (salīdzinot ar 106 iepriekšējā gadā) jeb 13,4 % tika ziņots, ka tās vismaz vienā parametrā neizpildīja prasību lielām avota plūsmām piemērot augstākos līmeņus. Šādas novirzes ir pieļaujamas tikai tad, ja operators pierāda, ka augstākais līmenis ir tehniski neiespējams vai rada nesamērīgi augstas izmaksas. Tiklīdz šādi apstākļi vairs nepastāv, operatoram attiecīgi ir jāuzlabo sava monitoringa sistēma. 2013. gadā tika ziņots, ka 16 % C kategorijas iekārtu tā vai citādi neatbilst augstākajiem līmeņiem. Tātad kopš trešā posma sākuma ir vērojams, ka uzlabojas C kategorijas iekārtu atbilstība augstākajam līmenim.</w:t>
      </w:r>
    </w:p>
    <w:p>
      <w:pPr>
        <w:jc w:val="both"/>
        <w:rPr>
          <w:rFonts w:ascii="Times New Roman" w:hAnsi="Times New Roman"/>
          <w:noProof/>
          <w:sz w:val="24"/>
          <w:szCs w:val="24"/>
        </w:rPr>
      </w:pPr>
      <w:r>
        <w:rPr>
          <w:rFonts w:ascii="Times New Roman" w:hAnsi="Times New Roman"/>
          <w:noProof/>
          <w:sz w:val="24"/>
          <w:szCs w:val="24"/>
        </w:rPr>
        <w:t>Līdzīgi 22 iesaistītās valstis ziņoja, ka kopumā 19 % B kategorijas iekārtu ir izsniegtas atļaujas ar kādu atkāpi no MZV standarta prasībām (iepriekšējā gadā — 21 %, gadu pirms tam — 22 %; tas liecina, ka pastāvīgi uzlabojas atbilstība augstākajam līmenim).</w:t>
      </w:r>
    </w:p>
    <w:p>
      <w:pPr>
        <w:jc w:val="both"/>
        <w:rPr>
          <w:rFonts w:ascii="Times New Roman" w:hAnsi="Times New Roman"/>
          <w:b/>
          <w:bCs/>
          <w:iCs/>
          <w:noProof/>
          <w:sz w:val="24"/>
          <w:szCs w:val="24"/>
        </w:rPr>
      </w:pPr>
      <w:r>
        <w:rPr>
          <w:rFonts w:ascii="Times New Roman" w:hAnsi="Times New Roman"/>
          <w:b/>
          <w:bCs/>
          <w:iCs/>
          <w:noProof/>
          <w:sz w:val="24"/>
          <w:szCs w:val="24"/>
        </w:rPr>
        <w:t>6.3. Akreditēta verifikācija</w:t>
      </w:r>
    </w:p>
    <w:p>
      <w:pPr>
        <w:jc w:val="both"/>
        <w:rPr>
          <w:rFonts w:ascii="Times New Roman" w:hAnsi="Times New Roman"/>
          <w:noProof/>
          <w:sz w:val="24"/>
          <w:szCs w:val="24"/>
        </w:rPr>
      </w:pPr>
      <w:r>
        <w:rPr>
          <w:rFonts w:ascii="Times New Roman" w:hAnsi="Times New Roman"/>
          <w:noProof/>
          <w:sz w:val="24"/>
          <w:szCs w:val="24"/>
        </w:rPr>
        <w:t>21. pantā paredzētajos ziņojumos netiek sniegtas ziņas par verificētāju kopskaitu. Tomēr Eiropas Akreditācijas kooperācija (EA) nodrošina centralizētu saiti uz attiecīgajām valsts akreditācijas struktūrām (VAS) un šo struktūru sarakstiem, kuros uzskaitīti attiecībā uz ES ETS akreditētie verificētāji</w:t>
      </w:r>
      <w:r>
        <w:rPr>
          <w:rFonts w:ascii="Times New Roman" w:hAnsi="Times New Roman"/>
          <w:noProof/>
          <w:sz w:val="24"/>
          <w:szCs w:val="24"/>
          <w:vertAlign w:val="superscript"/>
        </w:rPr>
        <w:footnoteReference w:id="72"/>
      </w:r>
      <w:r>
        <w:rPr>
          <w:rFonts w:ascii="Times New Roman" w:hAnsi="Times New Roman"/>
          <w:noProof/>
          <w:sz w:val="24"/>
          <w:szCs w:val="24"/>
        </w:rPr>
        <w:t xml:space="preserve">.    </w:t>
      </w:r>
    </w:p>
    <w:p>
      <w:pPr>
        <w:jc w:val="both"/>
        <w:rPr>
          <w:rFonts w:ascii="Times New Roman" w:hAnsi="Times New Roman"/>
          <w:noProof/>
          <w:sz w:val="24"/>
          <w:szCs w:val="24"/>
        </w:rPr>
      </w:pPr>
      <w:r>
        <w:rPr>
          <w:rFonts w:ascii="Times New Roman" w:hAnsi="Times New Roman"/>
          <w:noProof/>
          <w:sz w:val="24"/>
          <w:szCs w:val="24"/>
        </w:rPr>
        <w:t>Verificētāju savstarpējā atzīšana starp iesaistītajām valstīm darbojas veiksmīgi: 24 valstis ziņoja, ka to teritorijā darbojas vismaz viens ārvalstu verificētājs.</w:t>
      </w:r>
    </w:p>
    <w:p>
      <w:pPr>
        <w:jc w:val="both"/>
        <w:rPr>
          <w:rFonts w:ascii="Times New Roman" w:hAnsi="Times New Roman"/>
          <w:noProof/>
          <w:sz w:val="24"/>
          <w:szCs w:val="24"/>
        </w:rPr>
      </w:pPr>
      <w:r>
        <w:rPr>
          <w:rFonts w:ascii="Times New Roman" w:hAnsi="Times New Roman"/>
          <w:noProof/>
          <w:sz w:val="24"/>
          <w:szCs w:val="24"/>
        </w:rPr>
        <w:t xml:space="preserve">Konstatēts, ka verificētāju atbilstība AVR noteikumiem ir augsta. Polija ziņoja, ka ir apturēta viena verificētāja darbība, bet par akreditācijas atcelšanu 2018. gadā neziņoja neviena valsts. Salīdzinājumam — 2017. gadā tika ziņots par vienu apturēšanu un trim atcelšanām. Vācija, Francija un Polija ziņoja par attiecīgi divu, viena un triju verificētāju akreditācijas tvēruma sašaurināšanu 2018. gadā, salīdzinot ar 2017. gadu, kad Polija veica sašaurināšanu attiecībā uz diviem verificētājiem. </w:t>
      </w:r>
    </w:p>
    <w:p>
      <w:pPr>
        <w:jc w:val="both"/>
        <w:rPr>
          <w:rFonts w:ascii="Times New Roman" w:hAnsi="Times New Roman"/>
          <w:noProof/>
          <w:sz w:val="24"/>
          <w:szCs w:val="24"/>
        </w:rPr>
      </w:pPr>
      <w:r>
        <w:rPr>
          <w:rFonts w:ascii="Times New Roman" w:hAnsi="Times New Roman"/>
          <w:noProof/>
          <w:sz w:val="24"/>
          <w:szCs w:val="24"/>
        </w:rPr>
        <w:t>Par sūdzībām, kas saņemtas par verificētājiem, šogad ziņoja desmit valstis (par vienu valsti vairāk nekā pagājušajā gadā). Tomēr sūdzību kopskaits (71) ir par 14 % mazāks. Tiek ziņots, ka 93% saņemto sūdzību ir atrisinātas (pagājušogad šis rādītājs bija 95 %). Desmit valstis (pagājušajā gadā — 12 valstis) ziņoja par to, ka informācijas apmaiņā starp VAS un kompetentajām iestādēm tika konstatētas verificētāju neatbilstības.</w:t>
      </w:r>
    </w:p>
    <w:p>
      <w:pPr>
        <w:pStyle w:val="Heading1"/>
        <w:spacing w:before="0" w:after="200"/>
        <w:rPr>
          <w:noProof/>
        </w:rPr>
      </w:pPr>
      <w:bookmarkStart w:id="23" w:name="_Toc24103540"/>
      <w:r>
        <w:rPr>
          <w:noProof/>
        </w:rPr>
        <w:t>7. PĀRSKATS PAR ADMINISTRATĪVAJĀM PROCEDŪRĀM</w:t>
      </w:r>
      <w:bookmarkEnd w:id="23"/>
      <w:r>
        <w:rPr>
          <w:noProof/>
        </w:rPr>
        <w:t xml:space="preserve"> </w:t>
      </w:r>
    </w:p>
    <w:p>
      <w:pPr>
        <w:rPr>
          <w:rFonts w:ascii="Times New Roman" w:hAnsi="Times New Roman"/>
          <w:noProof/>
        </w:rPr>
      </w:pPr>
      <w:r>
        <w:rPr>
          <w:rFonts w:ascii="Times New Roman" w:hAnsi="Times New Roman"/>
          <w:noProof/>
          <w:lang w:val="en-GB" w:eastAsia="en-GB"/>
        </w:rPr>
        <mc:AlternateContent>
          <mc:Choice Requires="wps">
            <w:drawing>
              <wp:inline distT="0" distB="0" distL="0" distR="0">
                <wp:extent cx="5731510" cy="752420"/>
                <wp:effectExtent l="0" t="0" r="21590" b="1016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52420"/>
                        </a:xfrm>
                        <a:prstGeom prst="rect">
                          <a:avLst/>
                        </a:prstGeom>
                        <a:solidFill>
                          <a:sysClr val="window" lastClr="FFFFFF">
                            <a:lumMod val="85000"/>
                          </a:sysClr>
                        </a:solidFill>
                        <a:ln w="12700">
                          <a:solidFill>
                            <a:srgbClr val="000000"/>
                          </a:solidFill>
                          <a:miter lim="800000"/>
                          <a:headEnd/>
                          <a:tailEnd/>
                        </a:ln>
                      </wps:spPr>
                      <wps:txbx>
                        <w:txbxContent>
                          <w:p>
                            <w:pPr>
                              <w:jc w:val="both"/>
                              <w:rPr>
                                <w:rFonts w:ascii="Times New Roman" w:hAnsi="Times New Roman"/>
                              </w:rPr>
                            </w:pPr>
                            <w:r>
                              <w:rPr>
                                <w:rFonts w:ascii="Times New Roman" w:hAnsi="Times New Roman"/>
                              </w:rPr>
                              <w:t xml:space="preserve">Valstis, kas ir iesaistītas ES ETS, izmanto atšķirīgas pieejas attiecībā uz kompetentajām iestādēm, kas ir atbildīgas par ES ETS īstenošanu. Dažās valstīs ir iesaistītas vairākas vietējās iestādes, bet citās pieeja ir daudz centralizētāka. </w:t>
                            </w:r>
                          </w:p>
                          <w:p>
                            <w:pPr>
                              <w:jc w:val="both"/>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id="_x0000_s1041" type="#_x0000_t202" style="width:451.3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" fillcolor="#d9d9d9" strokeweight="1pt">
                <v:textbox>
                  <w:txbxContent>
                    <w:p>
                      <w:pPr>
                        <w:jc w:val="both"/>
                        <w:rPr>
                          <w:rFonts w:ascii="Times New Roman" w:hAnsi="Times New Roman"/>
                        </w:rPr>
                      </w:pPr>
                      <w:r>
                        <w:rPr>
                          <w:rFonts w:ascii="Times New Roman" w:hAnsi="Times New Roman"/>
                        </w:rPr>
                        <w:t xml:space="preserve">Valstis, kas ir iesaistītas ES ETS, izmanto atšķirīgas pieejas attiecībā uz kompetentajām iestādēm, kas ir atbildīgas par ES ETS īstenošanu. Dažās valstīs ir iesaistītas vairākas vietējās iestādes, bet citās pieeja ir daudz centralizētāka. </w:t>
                      </w:r>
                    </w:p>
                    <w:p>
                      <w:pPr>
                        <w:jc w:val="both"/>
                        <w:rPr>
                          <w:rFonts w:ascii="Times New Roman" w:hAnsi="Times New Roman"/>
                          <w:sz w:val="24"/>
                          <w:szCs w:val="24"/>
                        </w:rPr>
                      </w:pPr>
                    </w:p>
                  </w:txbxContent>
                </v:textbox>
                <w10:anchorlock/>
              </v:shape>
            </w:pict>
          </mc:Fallback>
        </mc:AlternateContent>
      </w:r>
    </w:p>
    <w:p>
      <w:pPr>
        <w:jc w:val="both"/>
        <w:rPr>
          <w:rFonts w:ascii="Times New Roman" w:hAnsi="Times New Roman"/>
          <w:noProof/>
          <w:sz w:val="24"/>
          <w:szCs w:val="24"/>
        </w:rPr>
      </w:pPr>
      <w:r>
        <w:rPr>
          <w:rFonts w:ascii="Times New Roman" w:hAnsi="Times New Roman"/>
          <w:noProof/>
          <w:sz w:val="24"/>
          <w:szCs w:val="24"/>
        </w:rPr>
        <w:t>Kā norādīts 2019. gadā iesniegtajos 21. pantā paredzētajos ziņojumos, katrā valstī ES ETS īstenošanā ir iesaistītas vidēji piecas kompetentās iestādes.</w:t>
      </w:r>
      <w:r>
        <w:rPr>
          <w:rFonts w:ascii="Times New Roman" w:hAnsi="Times New Roman"/>
          <w:noProof/>
          <w:sz w:val="24"/>
          <w:szCs w:val="24"/>
          <w:vertAlign w:val="superscript"/>
        </w:rPr>
        <w:footnoteReference w:id="73"/>
      </w:r>
      <w:r>
        <w:rPr>
          <w:rFonts w:ascii="Times New Roman" w:hAnsi="Times New Roman"/>
          <w:noProof/>
          <w:sz w:val="24"/>
          <w:szCs w:val="24"/>
        </w:rPr>
        <w:t xml:space="preserve"> Tika ziņots par dažādiem iestāžu savstarpējās koordinācijas rīkiem, piemēram, likumdošanas instrumentiem monitoringa plānu centralizētai pārvaldībai (14 valstīs), centrālās kompetentās iestādes saistošiem norādījumiem un vadlīnijām vietējām iestādēm (10 valstīs), regulārām iestāžu darba grupām vai sanāksmēm (15 valstīs) u. c. Septiņas valstis norādīja, ka tām šādu rīku nav. </w:t>
      </w:r>
    </w:p>
    <w:p>
      <w:pPr>
        <w:jc w:val="both"/>
        <w:rPr>
          <w:rFonts w:ascii="Times New Roman" w:hAnsi="Times New Roman"/>
          <w:noProof/>
          <w:sz w:val="24"/>
          <w:szCs w:val="24"/>
        </w:rPr>
      </w:pPr>
      <w:r>
        <w:rPr>
          <w:rFonts w:ascii="Times New Roman" w:hAnsi="Times New Roman"/>
          <w:noProof/>
          <w:sz w:val="24"/>
          <w:szCs w:val="24"/>
        </w:rPr>
        <w:t>Attiecībā uz administratīvajām nodevām, kas piemērotas par atļauju izdošanu un apstiprinātajiem monitoringa plāniem, 13 valstis 2019. gadā ziņoja, ka tās no iekārtu operatoriem nodevas neiekasē (CY, DE, EE, EL, IE, LI, LT, LU, LV, MT, NL, SE, SK) — par vienu mazāk nekā pagājušajā gadā. Tāpat kā pagājušajā gadā, arī gaisa kuģu operatori nemaksā nodevas 15 valstīs (BE, CY, CZ, DE, EE, ES, EL, LI, LT, LU, LV, MT, NL, SE un SK). Maksas dažādās valstīs un atkarībā no pakalpojumu veida ievērojami atšķiras — no 5 EUR līdz 6913,31 EUR par iekārtas atļaujas un monitoringa plāna apstiprināšanu, no 5 EUR līdz 2400 EUR par tādu pašu pakalpojumu aviācijas operatoriem.</w:t>
      </w:r>
    </w:p>
    <w:p>
      <w:pPr>
        <w:jc w:val="both"/>
        <w:rPr>
          <w:rFonts w:ascii="Times New Roman" w:hAnsi="Times New Roman"/>
          <w:noProof/>
          <w:sz w:val="24"/>
          <w:szCs w:val="24"/>
        </w:rPr>
      </w:pPr>
      <w:r>
        <w:rPr>
          <w:rFonts w:ascii="Times New Roman" w:hAnsi="Times New Roman"/>
          <w:noProof/>
          <w:sz w:val="24"/>
          <w:szCs w:val="24"/>
        </w:rPr>
        <w:t xml:space="preserve">Kopumā iesaistīto valstu ETS administratīvā organizācija ir lielā mērā iedarbīga. Arī turpmāk būtu jāstiprina un jāveicina saziņa un paraugprakses apmaiņa, tostarp ES ETS atbilstības foruma un ikgadējās ES ETS atbilstības konferences darbību ietvaros. </w:t>
      </w:r>
    </w:p>
    <w:p>
      <w:pPr>
        <w:pStyle w:val="Heading1"/>
        <w:spacing w:before="0" w:after="200"/>
        <w:rPr>
          <w:noProof/>
        </w:rPr>
      </w:pPr>
      <w:bookmarkStart w:id="24" w:name="_Toc24103541"/>
      <w:r>
        <w:rPr>
          <w:noProof/>
        </w:rPr>
        <w:t>8. ATBILSTĪBA UN IZPILDES NODROŠINĀŠANA</w:t>
      </w:r>
      <w:bookmarkEnd w:id="24"/>
      <w:r>
        <w:rPr>
          <w:noProof/>
        </w:rPr>
        <w:t xml:space="preserve"> </w:t>
      </w:r>
    </w:p>
    <w:p>
      <w:pPr>
        <w:rPr>
          <w:rFonts w:ascii="Times New Roman" w:hAnsi="Times New Roman"/>
          <w:noProof/>
        </w:rPr>
      </w:pPr>
      <w:r>
        <w:rPr>
          <w:rFonts w:ascii="Times New Roman" w:hAnsi="Times New Roman"/>
          <w:noProof/>
          <w:lang w:val="en-GB" w:eastAsia="en-GB"/>
        </w:rPr>
        <mc:AlternateContent>
          <mc:Choice Requires="wps">
            <w:drawing>
              <wp:inline distT="0" distB="0" distL="0" distR="0">
                <wp:extent cx="5731510" cy="950976"/>
                <wp:effectExtent l="0" t="0" r="21590" b="2095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50976"/>
                        </a:xfrm>
                        <a:prstGeom prst="rect">
                          <a:avLst/>
                        </a:prstGeom>
                        <a:solidFill>
                          <a:sysClr val="window" lastClr="FFFFFF">
                            <a:lumMod val="85000"/>
                          </a:sysClr>
                        </a:solidFill>
                        <a:ln w="12700">
                          <a:solidFill>
                            <a:srgbClr val="000000"/>
                          </a:solidFill>
                          <a:miter lim="800000"/>
                          <a:headEnd/>
                          <a:tailEnd/>
                        </a:ln>
                      </wps:spPr>
                      <wps:txbx>
                        <w:txbxContent>
                          <w:p>
                            <w:pPr>
                              <w:jc w:val="both"/>
                              <w:rPr>
                                <w:rFonts w:ascii="Times New Roman" w:hAnsi="Times New Roman"/>
                              </w:rPr>
                            </w:pPr>
                            <w:r>
                              <w:rPr>
                                <w:rFonts w:ascii="Times New Roman" w:hAnsi="Times New Roman"/>
                              </w:rPr>
                              <w:t>ES ETS direktīvā ir noteikts sods par emisijas apjoma pārsniegšanu 100 EUR apmērā (indeksēts) par katru emitēto CO</w:t>
                            </w:r>
                            <w:r>
                              <w:rPr>
                                <w:rFonts w:ascii="Times New Roman" w:hAnsi="Times New Roman"/>
                                <w:vertAlign w:val="subscript"/>
                              </w:rPr>
                              <w:t>2</w:t>
                            </w:r>
                            <w:r>
                              <w:rPr>
                                <w:rFonts w:ascii="Times New Roman" w:hAnsi="Times New Roman"/>
                              </w:rPr>
                              <w:t xml:space="preserve"> tonnu, par kuru nav laikus nodota kvota. Citi sodi, ko piemēro par ES ETS īstenošanas pārkāpumiem, ir noteikti attiecīgās valsts noteikumos.</w:t>
                            </w:r>
                          </w:p>
                          <w:p>
                            <w:pPr>
                              <w:jc w:val="both"/>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id="_x0000_s1042" type="#_x0000_t202" style="width:451.3pt;height:7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" fillcolor="#d9d9d9" strokeweight="1pt">
                <v:textbox>
                  <w:txbxContent>
                    <w:p>
                      <w:pPr>
                        <w:jc w:val="both"/>
                        <w:rPr>
                          <w:rFonts w:ascii="Times New Roman" w:hAnsi="Times New Roman"/>
                        </w:rPr>
                      </w:pPr>
                      <w:r>
                        <w:rPr>
                          <w:rFonts w:ascii="Times New Roman" w:hAnsi="Times New Roman"/>
                        </w:rPr>
                        <w:t>ES ETS direktīvā ir noteikts sods par emisijas apjoma pārsniegšanu 100 EUR apmērā (indeksēts) par katru emitēto CO</w:t>
                      </w:r>
                      <w:r>
                        <w:rPr>
                          <w:rFonts w:ascii="Times New Roman" w:hAnsi="Times New Roman"/>
                          <w:vertAlign w:val="subscript"/>
                        </w:rPr>
                        <w:t>2</w:t>
                      </w:r>
                      <w:r>
                        <w:rPr>
                          <w:rFonts w:ascii="Times New Roman" w:hAnsi="Times New Roman"/>
                        </w:rPr>
                        <w:t xml:space="preserve"> tonnu, par kuru nav laikus nodota kvota. Citi sodi, ko piemēro par ES ETS īstenošanas pārkāpumiem, ir noteikti attiecīgās valsts noteikumos.</w:t>
                      </w:r>
                    </w:p>
                    <w:p>
                      <w:pPr>
                        <w:jc w:val="both"/>
                        <w:rPr>
                          <w:rFonts w:ascii="Times New Roman" w:hAnsi="Times New Roman"/>
                          <w:sz w:val="24"/>
                          <w:szCs w:val="24"/>
                        </w:rPr>
                      </w:pPr>
                    </w:p>
                  </w:txbxContent>
                </v:textbox>
                <w10:anchorlock/>
              </v:shape>
            </w:pict>
          </mc:Fallback>
        </mc:AlternateContent>
      </w:r>
    </w:p>
    <w:p>
      <w:pPr>
        <w:spacing w:after="120"/>
        <w:jc w:val="both"/>
        <w:rPr>
          <w:rFonts w:ascii="Times New Roman" w:eastAsia="Times New Roman" w:hAnsi="Times New Roman"/>
          <w:noProof/>
          <w:sz w:val="24"/>
          <w:szCs w:val="24"/>
        </w:rPr>
      </w:pPr>
      <w:r>
        <w:rPr>
          <w:rFonts w:ascii="Times New Roman" w:hAnsi="Times New Roman"/>
          <w:noProof/>
          <w:sz w:val="24"/>
          <w:szCs w:val="24"/>
        </w:rPr>
        <w:t>ES ETS atbilstības rādītājs ir ļoti augsts: katru gadu vajadzīgais skaits kvotu tiek iesniegts laikus par aptuveni 99 % emisiju. 2018. gadā tikai 0,5 % no iekārtām, kas ziņo par emisijām, līdz noteiktajam termiņam — 2019. gada 30. aprīlim — nebija nodevušas kvotas par visām savām emisijām. Aviācijas nozarē noteikumus bija izpildījuši gaisa kuģu operatori, kas kopā rada 99,1 % aviācijas emisiju, uz kurām attiecas ES ETS. Neatbilstīgie operatori parasti vai nu bija nelieli, vai arī 2018. gadā izbeidza darbību.</w:t>
      </w:r>
    </w:p>
    <w:p>
      <w:pPr>
        <w:jc w:val="both"/>
        <w:rPr>
          <w:rFonts w:ascii="Times New Roman" w:eastAsia="Times New Roman" w:hAnsi="Times New Roman"/>
          <w:noProof/>
          <w:sz w:val="24"/>
          <w:szCs w:val="24"/>
        </w:rPr>
      </w:pPr>
      <w:r>
        <w:rPr>
          <w:rFonts w:ascii="Times New Roman" w:hAnsi="Times New Roman"/>
          <w:noProof/>
          <w:sz w:val="24"/>
          <w:szCs w:val="24"/>
        </w:rPr>
        <w:t xml:space="preserve">Kompetentās iestādes turpina veikt dažādas gada emisijas ziņojumu atbilstības pārbaudes. Saskaņā ar 2019. gadā iesniegtajos 21. pantā paredzētajos ziņojumos sniegto informāciju visas iesaistītās valstis pārbauda gada emisijas ziņojumu pilnīgumu (visas valstis pārbaudīja 100 % ziņojumu, izņemot Beļģiju, kas pārbaudīja 31 % ziņojumu, Spāniju, kas pārbaudīja 95 % ziņojumu, Franciju, kas pārbaudīja 99 % ziņojumu, un Zviedriju, kas pārbaudīja 1 % ziņojumu). Ziņojumi arī liecina, ka valstis pārbauda vidēji vairāk nekā 80 % ziņojumu attiecībā uz atbilstību monitoringa plāniem (visas valstis, izņemot HR) un aptuveni 75 % ziņojumu attiecībā uz datiem par iedalītajām kvotām (visas valstis, izņemot FI, HR, MT, NO un SE). Turklāt 24 valstis ziņoja, ka tās veic arī kontrolpārbaudes, kurās ziņojumu datus salīdzina ar citiem datiem. </w:t>
      </w:r>
    </w:p>
    <w:p>
      <w:pPr>
        <w:jc w:val="both"/>
        <w:rPr>
          <w:rFonts w:ascii="Times New Roman" w:eastAsia="Times New Roman" w:hAnsi="Times New Roman"/>
          <w:noProof/>
          <w:sz w:val="24"/>
          <w:szCs w:val="24"/>
        </w:rPr>
      </w:pPr>
      <w:r>
        <w:rPr>
          <w:rFonts w:ascii="Times New Roman" w:hAnsi="Times New Roman"/>
          <w:noProof/>
          <w:sz w:val="24"/>
          <w:szCs w:val="24"/>
        </w:rPr>
        <w:t>Saskaņā ar ziņojumiem 12 valstu kompetentās iestādes izdarīja konservatīvas aplēses par trūkstošajiem datiem attiecībā uz 57 iekārtām (aptuveni 0,5 % no kopējā iekārtu skaita), kas ir līdzīgi kā 2017. gadā — 52 iekārtām (0,5 %) un 2016. gadā — 57 iekārtām (0,5 %). Paziņotais to 2018. gada emisiju daudzums, uz kurām attiecās šīs aplēses, bija 11,2 miljoni tonnu CO</w:t>
      </w:r>
      <w:r>
        <w:rPr>
          <w:rFonts w:ascii="Times New Roman" w:hAnsi="Times New Roman"/>
          <w:noProof/>
          <w:sz w:val="24"/>
          <w:szCs w:val="24"/>
          <w:vertAlign w:val="subscript"/>
        </w:rPr>
        <w:t>2</w:t>
      </w:r>
      <w:r>
        <w:rPr>
          <w:rFonts w:ascii="Times New Roman" w:hAnsi="Times New Roman"/>
          <w:noProof/>
          <w:sz w:val="24"/>
          <w:szCs w:val="24"/>
        </w:rPr>
        <w:t xml:space="preserve"> (2017. gadā — 2,8 miljoni tonnu), kas ir aptuveni 0,7% no kopējām emisijām (salīdzinot ar 0,2 % 2017. gadā). Visbiežāk minētie iemesli konservatīvu aplēšu veikšanai bija šādi: vai nu līdz 31. martam nebija iesniegts emisiju ziņojums, vai arī emisiju ziņojumi nebija pilnībā atbilstoši MZR/AVR prasībām.</w:t>
      </w:r>
    </w:p>
    <w:p>
      <w:pPr>
        <w:jc w:val="both"/>
        <w:rPr>
          <w:rFonts w:ascii="Times New Roman" w:eastAsia="Times New Roman" w:hAnsi="Times New Roman"/>
          <w:noProof/>
          <w:sz w:val="24"/>
          <w:szCs w:val="24"/>
        </w:rPr>
      </w:pPr>
      <w:r>
        <w:rPr>
          <w:rFonts w:ascii="Times New Roman" w:hAnsi="Times New Roman"/>
          <w:noProof/>
          <w:sz w:val="24"/>
          <w:szCs w:val="24"/>
        </w:rPr>
        <w:t xml:space="preserve">Par konservatīvām aplēsēm, kas sagatavotas aviācijas nozarē trūkstošu datu dēļ, ziņoja septiņas valstis attiecībā uz 31 gaisa kuģu operatoru (4,7 % no kopskaita) un 4,7 % no aviācijas emisijām. </w:t>
      </w:r>
    </w:p>
    <w:p>
      <w:pPr>
        <w:jc w:val="both"/>
        <w:rPr>
          <w:rFonts w:ascii="Times New Roman" w:eastAsia="Times New Roman" w:hAnsi="Times New Roman"/>
          <w:noProof/>
          <w:sz w:val="24"/>
          <w:szCs w:val="24"/>
        </w:rPr>
      </w:pPr>
      <w:r>
        <w:rPr>
          <w:rFonts w:ascii="Times New Roman" w:hAnsi="Times New Roman"/>
          <w:noProof/>
          <w:sz w:val="24"/>
          <w:szCs w:val="24"/>
        </w:rPr>
        <w:t>Arī kompetento iestāžu veiktās pārbaudes joprojām ir svarīgs papildinājums verificētāja darbam. Par 2018. gadu visas valstis apstiprināja, ka tās veic papildu pārbaudes attiecībā uz iekārtām. Vairums valstu (visas, izņemot CY, EE, EL, IT un LI) norādīja, ka līdzīga pieeja tiek izmantota arī attiecībā uz gaisa kuģu operatoriem. Vairums valstu (visas, izņemot EL, IT, LU un MT) ziņoja, ka 2018. gadā ir veikušas iekārtu izlases veida pārbaudes.</w:t>
      </w:r>
    </w:p>
    <w:p>
      <w:pPr>
        <w:spacing w:after="120"/>
        <w:jc w:val="both"/>
        <w:rPr>
          <w:rFonts w:ascii="Times New Roman" w:eastAsia="Times New Roman" w:hAnsi="Times New Roman"/>
          <w:noProof/>
          <w:sz w:val="24"/>
          <w:szCs w:val="24"/>
        </w:rPr>
      </w:pPr>
      <w:r>
        <w:rPr>
          <w:rFonts w:ascii="Times New Roman" w:hAnsi="Times New Roman"/>
          <w:noProof/>
          <w:sz w:val="24"/>
          <w:szCs w:val="24"/>
        </w:rPr>
        <w:t xml:space="preserve">Attiecībā uz 2018. gadu tika ziņots, ka sodu par emisijas apjoma pārsniegšanu piemēroja 10 valstis 36 iekārtām (BG — 1, CZ — 2, FR — 1, IE — 2, IT — 5, NL — 1, PL —2, PT — 7, RO — 4 un UK — 11). Kā norādīts ziņojumos, sodu par emisijas apjoma pārsniegšanu aviācijas jomā piemēroja 26 gaisa kuģu operatoriem (DE — 2, FR — 1, IT — 9, LT — 1, NL — 1, PL — 8, SI — 1 un UK — 3). </w:t>
      </w:r>
    </w:p>
    <w:p>
      <w:pPr>
        <w:spacing w:after="120"/>
        <w:jc w:val="both"/>
        <w:rPr>
          <w:rFonts w:ascii="Times New Roman" w:eastAsia="Times New Roman" w:hAnsi="Times New Roman"/>
          <w:noProof/>
          <w:sz w:val="24"/>
          <w:szCs w:val="24"/>
        </w:rPr>
      </w:pPr>
      <w:r>
        <w:rPr>
          <w:rFonts w:ascii="Times New Roman" w:hAnsi="Times New Roman"/>
          <w:noProof/>
          <w:sz w:val="24"/>
          <w:szCs w:val="24"/>
        </w:rPr>
        <w:t>Ziņojumos 12 valstis apstiprināja, ka 2018. gadā ir uzlikti sodi (izņemot sodus par emisijas apjoma pārsniegšanu). Netika ziņots par brīvības atņemšanas gadījumiem, bet tika norādīts, ka ir uzlikti naudas sodi, izdoti oficiāli rīkojumi vai galīgie brīdinājumi 36 iekārtām un 26 gaisa kuģu operatoriem — par kopējo finansiālo vērtību 5,4 miljoni EUR</w:t>
      </w:r>
      <w:r>
        <w:rPr>
          <w:rStyle w:val="FootnoteReference"/>
          <w:rFonts w:ascii="Times New Roman" w:eastAsia="Times New Roman" w:hAnsi="Times New Roman"/>
          <w:noProof/>
          <w:sz w:val="24"/>
          <w:szCs w:val="24"/>
        </w:rPr>
        <w:footnoteReference w:id="74"/>
      </w:r>
      <w:r>
        <w:rPr>
          <w:rFonts w:ascii="Times New Roman" w:hAnsi="Times New Roman"/>
          <w:noProof/>
          <w:sz w:val="24"/>
          <w:szCs w:val="24"/>
        </w:rPr>
        <w:t xml:space="preserve">. </w:t>
      </w:r>
    </w:p>
    <w:p>
      <w:pPr>
        <w:spacing w:after="120"/>
        <w:jc w:val="both"/>
        <w:rPr>
          <w:rFonts w:ascii="Times New Roman" w:eastAsia="Times New Roman" w:hAnsi="Times New Roman"/>
          <w:noProof/>
          <w:sz w:val="24"/>
          <w:szCs w:val="24"/>
        </w:rPr>
      </w:pPr>
      <w:r>
        <w:rPr>
          <w:rFonts w:ascii="Times New Roman" w:hAnsi="Times New Roman"/>
          <w:noProof/>
          <w:sz w:val="24"/>
          <w:szCs w:val="24"/>
        </w:rPr>
        <w:t xml:space="preserve">Pārkāpumi, par kuriem visbiežāk tika ziņots attiecībā uz 2018. gadu, bija pienācīgi apstiprināta monitoringa plāna neesība (9), darbošanās bez atļaujas (8), atļaujā minēto nosacījumu neievērošana (6) un ziņojumu par verificētajām gada emisijām neiesniegšana noteiktajā termiņā (5 gadījumi). </w:t>
      </w:r>
    </w:p>
    <w:p>
      <w:pPr>
        <w:spacing w:after="120"/>
        <w:jc w:val="both"/>
        <w:rPr>
          <w:rFonts w:ascii="Times New Roman" w:eastAsia="Times New Roman" w:hAnsi="Times New Roman"/>
          <w:noProof/>
          <w:sz w:val="24"/>
          <w:szCs w:val="24"/>
        </w:rPr>
      </w:pPr>
      <w:r>
        <w:rPr>
          <w:rFonts w:ascii="Times New Roman" w:hAnsi="Times New Roman"/>
          <w:noProof/>
          <w:sz w:val="24"/>
          <w:szCs w:val="24"/>
        </w:rPr>
        <w:t>Kā tika ziņots pagājušajā gadā, 2018. gada sākumā ir sākusies piektā ES ETS atbilstības cikla izvērtēšana ar mērķi identificēt ES ETS atbilstības problēmas iesaistīto valstu līmenī un sniegt tām atbalstu ES ETS īstenošanas uzlabošanā. Izvērtējums noslēgsies 2019. gada nogalē.</w:t>
      </w:r>
    </w:p>
    <w:p>
      <w:pPr>
        <w:spacing w:after="120"/>
        <w:jc w:val="both"/>
        <w:rPr>
          <w:rFonts w:ascii="Times New Roman" w:eastAsia="Times New Roman" w:hAnsi="Times New Roman"/>
          <w:noProof/>
          <w:sz w:val="24"/>
          <w:szCs w:val="24"/>
        </w:rPr>
      </w:pPr>
    </w:p>
    <w:p>
      <w:pPr>
        <w:pStyle w:val="Heading1"/>
        <w:spacing w:before="0" w:after="200"/>
        <w:rPr>
          <w:noProof/>
        </w:rPr>
      </w:pPr>
      <w:bookmarkStart w:id="25" w:name="_Toc24103542"/>
      <w:r>
        <w:rPr>
          <w:noProof/>
        </w:rPr>
        <w:t>9. SECINĀJUMI UN NĀKOTNES PERSPEKTĪVAS</w:t>
      </w:r>
      <w:bookmarkEnd w:id="25"/>
      <w:r>
        <w:rPr>
          <w:noProof/>
        </w:rPr>
        <w:t xml:space="preserve"> </w:t>
      </w:r>
    </w:p>
    <w:p>
      <w:pPr>
        <w:spacing w:after="0"/>
        <w:jc w:val="both"/>
        <w:rPr>
          <w:rFonts w:ascii="Times New Roman" w:hAnsi="Times New Roman"/>
          <w:noProof/>
          <w:sz w:val="24"/>
          <w:szCs w:val="24"/>
        </w:rPr>
      </w:pPr>
      <w:r>
        <w:rPr>
          <w:rFonts w:ascii="Times New Roman" w:hAnsi="Times New Roman"/>
          <w:noProof/>
          <w:sz w:val="24"/>
          <w:szCs w:val="24"/>
        </w:rPr>
        <w:t xml:space="preserve">2018. gads bija zīmīgs ar to, ka tika panākts būtisks progress ES ETS ceturtā posma īstenošanas noteikumu pieņemšanā. Pagājušajā gadā tika pieņemti noteikumi par oglekļa emisiju pārvirzi, bezmaksas kvotu iedali, izsolēm, Inovāciju fonda izveidi, kā arī monitoringu, ziņošanu un verifikāciju. Noris intensīvs darbs pie pārējo īstenošanas noteikumu izstrādes pabeigšanas, un ir paredzams, ka tie tiks pieņemti līdz jaunā tirdzniecības perioda sākumam 2021. gada janvārī. </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 xml:space="preserve">Pārskata gadu iezīmēja arī būtiska ES ETS aptverto iekārtu emisiju apjoma samazināšanās. Samazinājumu par 4,1 %, salīdzinot ar 2017. gadu, galvenokārt ietekmēja elektroenerģijas un siltuma ražošana, savukārt rūpnieciskās emisijas samazinājās tikai nedaudz. Taču verificētās aviācijas emisijas 2018. gadā turpināja pieaugt, palielinoties par 3,9 % salīdzinājumā ar 2017. gadu.  </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Izmaiņas tiesību aktos, par kurām pēdējos gados ir panākta vienošanās saistībā ar jautājumu par kvotu pārpalikumu, turpina dot vēlamos rezultātus. 2019. gadā trešo reizi tika publicēts tirgus stabilitātes rezerves pārpalikuma rādītājs, kas kopā ar 2017. gada rādītāju noveda pie izsolīto kvotu apjoma</w:t>
      </w:r>
      <w:r>
        <w:rPr>
          <w:rFonts w:ascii="Times New Roman" w:hAnsi="Times New Roman"/>
          <w:noProof/>
        </w:rPr>
        <w:t xml:space="preserve"> </w:t>
      </w:r>
      <w:r>
        <w:rPr>
          <w:rFonts w:ascii="Times New Roman" w:hAnsi="Times New Roman"/>
          <w:noProof/>
          <w:sz w:val="24"/>
          <w:szCs w:val="24"/>
        </w:rPr>
        <w:t xml:space="preserve">samazināšanās gandrīz par 40 % jeb aptuveni 397 miljoniem kvotu 2019. gadā. Tādēļ 2019. gadā tiks izsolīts par aptuveni 30 % mazāk kvotu nekā 2018. gadā. </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 xml:space="preserve">Pozitīvā notikumu attīstība šajās jomās ir vairojusi tirgus dalībnieku pārliecību un turpina stiprināt signālu par oglekļa cenām. Emisijas kvotu cenu pieauguma rezultātā būtiski palielinājās dalībvalstu kopējie ieņēmumi no izsolēm — 2018. gadā kopējie ieņēmumi vairāk nekā divas reizes pārsniedza 2017. gadā gūtos ieņēmumus. </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 xml:space="preserve">2018. gadā ES ETS atbilstības līmenis joprojām ir ļoti augsts — gan stacionāro iekārtu, gan gaisa kuģu operatoru atbilstības līmenis pārsniedza 99 %. ES ETS uzbūve joprojām ir noturīga, un ir pierādījies, ka administratīvā organizācija dalībvalstīs ir efektīva. </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Komisija turpinās pārraudzīt Eiropas oglekļa tirgu un iesniegs nākamo ziņojumu 2020. gada beigās.</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Style w:val="Heading1Char"/>
          <w:rFonts w:eastAsia="Calibri"/>
          <w:noProof/>
        </w:rPr>
      </w:pPr>
    </w:p>
    <w:p>
      <w:pPr>
        <w:spacing w:after="0"/>
        <w:jc w:val="both"/>
        <w:rPr>
          <w:rFonts w:ascii="Times New Roman" w:hAnsi="Times New Roman"/>
          <w:noProof/>
          <w:sz w:val="24"/>
          <w:szCs w:val="24"/>
        </w:rPr>
      </w:pPr>
    </w:p>
    <w:p>
      <w:pPr>
        <w:jc w:val="both"/>
        <w:rPr>
          <w:rStyle w:val="Heading1Char"/>
          <w:rFonts w:eastAsia="Calibri"/>
          <w:noProof/>
        </w:rPr>
      </w:pPr>
    </w:p>
    <w:p>
      <w:pPr>
        <w:jc w:val="both"/>
        <w:rPr>
          <w:rStyle w:val="Heading1Char"/>
          <w:rFonts w:eastAsia="Calibri"/>
          <w:noProof/>
        </w:rPr>
      </w:pPr>
    </w:p>
    <w:p>
      <w:pPr>
        <w:jc w:val="both"/>
        <w:rPr>
          <w:rStyle w:val="Heading1Char"/>
          <w:rFonts w:eastAsia="Calibri"/>
          <w:noProof/>
        </w:rPr>
      </w:pPr>
    </w:p>
    <w:p>
      <w:pPr>
        <w:jc w:val="both"/>
        <w:rPr>
          <w:rStyle w:val="Heading1Char"/>
          <w:rFonts w:eastAsia="Calibri"/>
          <w:noProof/>
        </w:rPr>
      </w:pPr>
    </w:p>
    <w:p>
      <w:pPr>
        <w:jc w:val="both"/>
        <w:rPr>
          <w:rStyle w:val="Heading1Char"/>
          <w:rFonts w:eastAsia="Calibri"/>
          <w:noProof/>
        </w:rPr>
      </w:pPr>
    </w:p>
    <w:p>
      <w:pPr>
        <w:jc w:val="both"/>
        <w:rPr>
          <w:rStyle w:val="Heading1Char"/>
          <w:rFonts w:eastAsia="Calibri"/>
          <w:noProof/>
        </w:rPr>
      </w:pPr>
    </w:p>
    <w:p>
      <w:pPr>
        <w:jc w:val="both"/>
        <w:rPr>
          <w:rStyle w:val="Heading1Char"/>
          <w:rFonts w:eastAsia="Calibri"/>
          <w:noProof/>
        </w:rPr>
      </w:pPr>
    </w:p>
    <w:p>
      <w:pPr>
        <w:jc w:val="both"/>
        <w:rPr>
          <w:rStyle w:val="Heading1Char"/>
          <w:rFonts w:eastAsia="Calibri"/>
          <w:noProof/>
        </w:rPr>
      </w:pPr>
    </w:p>
    <w:p>
      <w:pPr>
        <w:jc w:val="both"/>
        <w:rPr>
          <w:rStyle w:val="Heading1Char"/>
          <w:rFonts w:eastAsia="Calibri"/>
          <w:noProof/>
        </w:rPr>
      </w:pPr>
    </w:p>
    <w:p>
      <w:pPr>
        <w:jc w:val="both"/>
        <w:rPr>
          <w:rFonts w:ascii="Times New Roman" w:hAnsi="Times New Roman"/>
          <w:b/>
          <w:bCs/>
          <w:noProof/>
          <w:kern w:val="32"/>
          <w:sz w:val="24"/>
          <w:szCs w:val="32"/>
        </w:rPr>
      </w:pPr>
      <w:bookmarkStart w:id="26" w:name="_Toc24103543"/>
      <w:r>
        <w:rPr>
          <w:rStyle w:val="Heading1Char"/>
          <w:rFonts w:eastAsia="Calibri"/>
          <w:noProof/>
        </w:rPr>
        <w:t>PIELIKUMS</w:t>
      </w:r>
      <w:bookmarkEnd w:id="26"/>
      <w:r>
        <w:rPr>
          <w:rFonts w:ascii="Times New Roman" w:hAnsi="Times New Roman"/>
          <w:noProof/>
        </w:rPr>
        <w:t xml:space="preserve"> </w:t>
      </w:r>
    </w:p>
    <w:p>
      <w:pPr>
        <w:rPr>
          <w:rFonts w:ascii="Times New Roman" w:hAnsi="Times New Roman"/>
          <w:b/>
          <w:noProof/>
        </w:rPr>
      </w:pPr>
      <w:r>
        <w:rPr>
          <w:rFonts w:ascii="Times New Roman" w:hAnsi="Times New Roman"/>
          <w:b/>
          <w:noProof/>
        </w:rPr>
        <w:t>1. papildinājums</w:t>
      </w:r>
    </w:p>
    <w:p>
      <w:pPr>
        <w:keepNext/>
        <w:rPr>
          <w:rFonts w:ascii="Times New Roman" w:hAnsi="Times New Roman"/>
          <w:b/>
          <w:bCs/>
          <w:noProof/>
          <w:sz w:val="20"/>
          <w:szCs w:val="20"/>
        </w:rPr>
      </w:pPr>
      <w:r>
        <w:rPr>
          <w:rFonts w:ascii="Times New Roman" w:hAnsi="Times New Roman"/>
          <w:b/>
          <w:bCs/>
          <w:noProof/>
          <w:sz w:val="20"/>
          <w:szCs w:val="20"/>
        </w:rPr>
        <w:t xml:space="preserve">1.1. tabula. Elektroenerģijas nozares modernizācijai piešķirto bezmaksas kvotu skaits </w:t>
      </w:r>
    </w:p>
    <w:tbl>
      <w:tblPr>
        <w:tblW w:w="92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957"/>
        <w:gridCol w:w="1339"/>
        <w:gridCol w:w="1458"/>
        <w:gridCol w:w="1458"/>
        <w:gridCol w:w="1339"/>
        <w:gridCol w:w="1342"/>
        <w:gridCol w:w="1348"/>
      </w:tblGrid>
      <w:tr>
        <w:trPr>
          <w:trHeight w:val="373"/>
          <w:jc w:val="center"/>
        </w:trPr>
        <w:tc>
          <w:tcPr>
            <w:tcW w:w="957" w:type="dxa"/>
            <w:shd w:val="clear" w:color="auto" w:fill="FFFFFF" w:themeFill="background1"/>
            <w:noWrap/>
          </w:tcPr>
          <w:p>
            <w:pPr>
              <w:spacing w:after="0"/>
              <w:jc w:val="center"/>
              <w:rPr>
                <w:rFonts w:ascii="Times New Roman" w:hAnsi="Times New Roman"/>
                <w:b/>
                <w:noProof/>
                <w:sz w:val="20"/>
                <w:szCs w:val="20"/>
              </w:rPr>
            </w:pPr>
          </w:p>
        </w:tc>
        <w:tc>
          <w:tcPr>
            <w:tcW w:w="8284" w:type="dxa"/>
            <w:gridSpan w:val="6"/>
            <w:shd w:val="clear" w:color="auto" w:fill="FFFFFF" w:themeFill="background1"/>
            <w:noWrap/>
          </w:tcPr>
          <w:p>
            <w:pPr>
              <w:spacing w:after="0"/>
              <w:jc w:val="center"/>
              <w:rPr>
                <w:rFonts w:ascii="Times New Roman" w:hAnsi="Times New Roman"/>
                <w:b/>
                <w:noProof/>
                <w:sz w:val="20"/>
                <w:szCs w:val="20"/>
              </w:rPr>
            </w:pPr>
          </w:p>
          <w:p>
            <w:pPr>
              <w:spacing w:after="0"/>
              <w:jc w:val="center"/>
              <w:rPr>
                <w:rFonts w:ascii="Times New Roman" w:hAnsi="Times New Roman"/>
                <w:b/>
                <w:noProof/>
                <w:sz w:val="20"/>
                <w:szCs w:val="20"/>
              </w:rPr>
            </w:pPr>
            <w:r>
              <w:rPr>
                <w:rFonts w:ascii="Times New Roman" w:hAnsi="Times New Roman"/>
                <w:b/>
                <w:noProof/>
                <w:sz w:val="20"/>
                <w:szCs w:val="20"/>
              </w:rPr>
              <w:t>Dalībvalstu pieprasīto bezmaksas kvotu skaits saskaņā ar 10.c pantu</w:t>
            </w:r>
          </w:p>
        </w:tc>
      </w:tr>
      <w:tr>
        <w:trPr>
          <w:trHeight w:val="273"/>
          <w:jc w:val="center"/>
        </w:trPr>
        <w:tc>
          <w:tcPr>
            <w:tcW w:w="957"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szCs w:val="14"/>
              </w:rPr>
              <w:t>Dalībvalsts</w:t>
            </w:r>
          </w:p>
        </w:tc>
        <w:tc>
          <w:tcPr>
            <w:tcW w:w="1339"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szCs w:val="14"/>
              </w:rPr>
              <w:t>2013</w:t>
            </w:r>
          </w:p>
        </w:tc>
        <w:tc>
          <w:tcPr>
            <w:tcW w:w="1458" w:type="dxa"/>
            <w:shd w:val="clear" w:color="auto" w:fill="FFFFFF" w:themeFill="background1"/>
          </w:tcPr>
          <w:p>
            <w:pPr>
              <w:spacing w:after="0"/>
              <w:jc w:val="center"/>
              <w:rPr>
                <w:rFonts w:ascii="Times New Roman" w:hAnsi="Times New Roman"/>
                <w:b/>
                <w:noProof/>
                <w:sz w:val="14"/>
                <w:szCs w:val="14"/>
              </w:rPr>
            </w:pPr>
            <w:r>
              <w:rPr>
                <w:rFonts w:ascii="Times New Roman" w:hAnsi="Times New Roman"/>
                <w:b/>
                <w:noProof/>
                <w:sz w:val="14"/>
                <w:szCs w:val="14"/>
              </w:rPr>
              <w:t>2014</w:t>
            </w:r>
          </w:p>
        </w:tc>
        <w:tc>
          <w:tcPr>
            <w:tcW w:w="1458" w:type="dxa"/>
            <w:shd w:val="clear" w:color="auto" w:fill="FFFFFF" w:themeFill="background1"/>
          </w:tcPr>
          <w:p>
            <w:pPr>
              <w:spacing w:after="0"/>
              <w:jc w:val="center"/>
              <w:rPr>
                <w:rFonts w:ascii="Times New Roman" w:hAnsi="Times New Roman"/>
                <w:b/>
                <w:noProof/>
                <w:sz w:val="14"/>
                <w:szCs w:val="14"/>
              </w:rPr>
            </w:pPr>
            <w:r>
              <w:rPr>
                <w:rFonts w:ascii="Times New Roman" w:hAnsi="Times New Roman"/>
                <w:b/>
                <w:noProof/>
                <w:sz w:val="14"/>
                <w:szCs w:val="14"/>
              </w:rPr>
              <w:t>2015</w:t>
            </w:r>
          </w:p>
        </w:tc>
        <w:tc>
          <w:tcPr>
            <w:tcW w:w="1339" w:type="dxa"/>
            <w:shd w:val="clear" w:color="auto" w:fill="FFFFFF" w:themeFill="background1"/>
          </w:tcPr>
          <w:p>
            <w:pPr>
              <w:spacing w:after="0"/>
              <w:jc w:val="center"/>
              <w:rPr>
                <w:rFonts w:ascii="Times New Roman" w:hAnsi="Times New Roman"/>
                <w:b/>
                <w:noProof/>
                <w:sz w:val="14"/>
                <w:szCs w:val="14"/>
              </w:rPr>
            </w:pPr>
            <w:r>
              <w:rPr>
                <w:rFonts w:ascii="Times New Roman" w:hAnsi="Times New Roman"/>
                <w:b/>
                <w:noProof/>
                <w:sz w:val="14"/>
                <w:szCs w:val="14"/>
              </w:rPr>
              <w:t>2016</w:t>
            </w:r>
          </w:p>
        </w:tc>
        <w:tc>
          <w:tcPr>
            <w:tcW w:w="1342" w:type="dxa"/>
            <w:shd w:val="clear" w:color="auto" w:fill="FFFFFF" w:themeFill="background1"/>
          </w:tcPr>
          <w:p>
            <w:pPr>
              <w:spacing w:after="0"/>
              <w:jc w:val="center"/>
              <w:rPr>
                <w:rFonts w:ascii="Times New Roman" w:hAnsi="Times New Roman"/>
                <w:b/>
                <w:noProof/>
                <w:sz w:val="14"/>
                <w:szCs w:val="14"/>
              </w:rPr>
            </w:pPr>
            <w:r>
              <w:rPr>
                <w:rFonts w:ascii="Times New Roman" w:hAnsi="Times New Roman"/>
                <w:b/>
                <w:noProof/>
                <w:sz w:val="14"/>
                <w:szCs w:val="14"/>
              </w:rPr>
              <w:t>2017</w:t>
            </w:r>
          </w:p>
        </w:tc>
        <w:tc>
          <w:tcPr>
            <w:tcW w:w="1344" w:type="dxa"/>
            <w:shd w:val="clear" w:color="auto" w:fill="FFFFFF" w:themeFill="background1"/>
          </w:tcPr>
          <w:p>
            <w:pPr>
              <w:spacing w:after="0"/>
              <w:jc w:val="center"/>
              <w:rPr>
                <w:rFonts w:ascii="Times New Roman" w:hAnsi="Times New Roman"/>
                <w:b/>
                <w:noProof/>
                <w:sz w:val="14"/>
                <w:szCs w:val="14"/>
              </w:rPr>
            </w:pPr>
            <w:r>
              <w:rPr>
                <w:rFonts w:ascii="Times New Roman" w:hAnsi="Times New Roman"/>
                <w:b/>
                <w:noProof/>
                <w:sz w:val="14"/>
                <w:szCs w:val="14"/>
              </w:rPr>
              <w:t>2018</w:t>
            </w:r>
          </w:p>
        </w:tc>
      </w:tr>
      <w:tr>
        <w:trPr>
          <w:trHeight w:val="241"/>
          <w:jc w:val="center"/>
        </w:trPr>
        <w:tc>
          <w:tcPr>
            <w:tcW w:w="957"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szCs w:val="14"/>
              </w:rPr>
              <w:t>BG</w:t>
            </w:r>
          </w:p>
        </w:tc>
        <w:tc>
          <w:tcPr>
            <w:tcW w:w="1339" w:type="dxa"/>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szCs w:val="14"/>
              </w:rPr>
              <w:t>11 009 416</w:t>
            </w:r>
          </w:p>
        </w:tc>
        <w:tc>
          <w:tcPr>
            <w:tcW w:w="1458" w:type="dxa"/>
            <w:tcBorders>
              <w:bottom w:val="single" w:sz="4" w:space="0" w:color="auto"/>
            </w:tcBorders>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9 779 243</w:t>
            </w:r>
          </w:p>
        </w:tc>
        <w:tc>
          <w:tcPr>
            <w:tcW w:w="1458" w:type="dxa"/>
            <w:shd w:val="clear" w:color="auto" w:fill="FFFFFF" w:themeFill="background1"/>
          </w:tcPr>
          <w:p>
            <w:pPr>
              <w:jc w:val="center"/>
              <w:rPr>
                <w:rFonts w:ascii="Times New Roman" w:hAnsi="Times New Roman"/>
                <w:noProof/>
                <w:sz w:val="14"/>
                <w:szCs w:val="14"/>
              </w:rPr>
            </w:pPr>
            <w:r>
              <w:rPr>
                <w:rFonts w:ascii="Times New Roman" w:hAnsi="Times New Roman"/>
                <w:noProof/>
                <w:sz w:val="14"/>
                <w:szCs w:val="14"/>
              </w:rPr>
              <w:t>8 259 680</w:t>
            </w:r>
          </w:p>
        </w:tc>
        <w:tc>
          <w:tcPr>
            <w:tcW w:w="133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sz w:val="14"/>
                <w:szCs w:val="14"/>
              </w:rPr>
              <w:t>6 593 238</w:t>
            </w:r>
          </w:p>
        </w:tc>
        <w:tc>
          <w:tcPr>
            <w:tcW w:w="1342"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3 812 436</w:t>
            </w:r>
          </w:p>
        </w:tc>
        <w:tc>
          <w:tcPr>
            <w:tcW w:w="1344"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2 471 297</w:t>
            </w:r>
          </w:p>
        </w:tc>
      </w:tr>
      <w:tr>
        <w:trPr>
          <w:trHeight w:val="185"/>
          <w:jc w:val="center"/>
        </w:trPr>
        <w:tc>
          <w:tcPr>
            <w:tcW w:w="957"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szCs w:val="14"/>
              </w:rPr>
              <w:t>CY</w:t>
            </w:r>
          </w:p>
        </w:tc>
        <w:tc>
          <w:tcPr>
            <w:tcW w:w="1339" w:type="dxa"/>
            <w:tcBorders>
              <w:right w:val="single" w:sz="4" w:space="0" w:color="auto"/>
            </w:tcBorders>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szCs w:val="14"/>
              </w:rPr>
              <w:t>2 519 077</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2 195 195</w:t>
            </w:r>
          </w:p>
        </w:tc>
        <w:tc>
          <w:tcPr>
            <w:tcW w:w="1458" w:type="dxa"/>
            <w:tcBorders>
              <w:left w:val="single" w:sz="4" w:space="0" w:color="auto"/>
            </w:tcBorders>
            <w:shd w:val="clear" w:color="auto" w:fill="FFFFFF" w:themeFill="background1"/>
          </w:tcPr>
          <w:p>
            <w:pPr>
              <w:jc w:val="center"/>
              <w:rPr>
                <w:rFonts w:ascii="Times New Roman" w:hAnsi="Times New Roman"/>
                <w:noProof/>
                <w:sz w:val="14"/>
                <w:szCs w:val="14"/>
              </w:rPr>
            </w:pPr>
            <w:r>
              <w:rPr>
                <w:rFonts w:ascii="Times New Roman" w:hAnsi="Times New Roman"/>
                <w:noProof/>
                <w:sz w:val="14"/>
                <w:szCs w:val="14"/>
              </w:rPr>
              <w:t>1 907 302</w:t>
            </w:r>
          </w:p>
        </w:tc>
        <w:tc>
          <w:tcPr>
            <w:tcW w:w="133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sz w:val="14"/>
                <w:szCs w:val="14"/>
              </w:rPr>
              <w:t>1 583 420</w:t>
            </w:r>
          </w:p>
        </w:tc>
        <w:tc>
          <w:tcPr>
            <w:tcW w:w="1342"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1 259 538</w:t>
            </w:r>
          </w:p>
        </w:tc>
        <w:tc>
          <w:tcPr>
            <w:tcW w:w="1344"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935 657</w:t>
            </w:r>
          </w:p>
        </w:tc>
      </w:tr>
      <w:tr>
        <w:trPr>
          <w:trHeight w:val="185"/>
          <w:jc w:val="center"/>
        </w:trPr>
        <w:tc>
          <w:tcPr>
            <w:tcW w:w="957"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szCs w:val="14"/>
              </w:rPr>
              <w:t>CZ</w:t>
            </w:r>
          </w:p>
        </w:tc>
        <w:tc>
          <w:tcPr>
            <w:tcW w:w="1339" w:type="dxa"/>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szCs w:val="14"/>
              </w:rPr>
              <w:t>25 285 353</w:t>
            </w:r>
          </w:p>
        </w:tc>
        <w:tc>
          <w:tcPr>
            <w:tcW w:w="1458" w:type="dxa"/>
            <w:tcBorders>
              <w:top w:val="single" w:sz="4" w:space="0" w:color="auto"/>
            </w:tcBorders>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22 383 398</w:t>
            </w:r>
          </w:p>
        </w:tc>
        <w:tc>
          <w:tcPr>
            <w:tcW w:w="1458" w:type="dxa"/>
            <w:shd w:val="clear" w:color="auto" w:fill="FFFFFF" w:themeFill="background1"/>
          </w:tcPr>
          <w:p>
            <w:pPr>
              <w:jc w:val="center"/>
              <w:rPr>
                <w:rFonts w:ascii="Times New Roman" w:hAnsi="Times New Roman"/>
                <w:noProof/>
                <w:sz w:val="14"/>
                <w:szCs w:val="14"/>
              </w:rPr>
            </w:pPr>
            <w:r>
              <w:rPr>
                <w:rFonts w:ascii="Times New Roman" w:hAnsi="Times New Roman"/>
                <w:noProof/>
                <w:sz w:val="14"/>
                <w:szCs w:val="14"/>
              </w:rPr>
              <w:t>20 623 005</w:t>
            </w:r>
          </w:p>
        </w:tc>
        <w:tc>
          <w:tcPr>
            <w:tcW w:w="133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sz w:val="14"/>
                <w:szCs w:val="14"/>
              </w:rPr>
              <w:t>15 831 329</w:t>
            </w:r>
          </w:p>
        </w:tc>
        <w:tc>
          <w:tcPr>
            <w:tcW w:w="1342"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11 681 994</w:t>
            </w:r>
          </w:p>
        </w:tc>
        <w:tc>
          <w:tcPr>
            <w:tcW w:w="1344"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7 661 840</w:t>
            </w:r>
          </w:p>
        </w:tc>
      </w:tr>
      <w:tr>
        <w:trPr>
          <w:trHeight w:val="185"/>
          <w:jc w:val="center"/>
        </w:trPr>
        <w:tc>
          <w:tcPr>
            <w:tcW w:w="957"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szCs w:val="14"/>
              </w:rPr>
              <w:t>EE</w:t>
            </w:r>
          </w:p>
        </w:tc>
        <w:tc>
          <w:tcPr>
            <w:tcW w:w="1339" w:type="dxa"/>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szCs w:val="14"/>
              </w:rPr>
              <w:t>5 135 166</w:t>
            </w:r>
          </w:p>
        </w:tc>
        <w:tc>
          <w:tcPr>
            <w:tcW w:w="1458"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4 401 568</w:t>
            </w:r>
          </w:p>
        </w:tc>
        <w:tc>
          <w:tcPr>
            <w:tcW w:w="1458" w:type="dxa"/>
            <w:shd w:val="clear" w:color="auto" w:fill="FFFFFF" w:themeFill="background1"/>
          </w:tcPr>
          <w:p>
            <w:pPr>
              <w:jc w:val="center"/>
              <w:rPr>
                <w:rFonts w:ascii="Times New Roman" w:hAnsi="Times New Roman"/>
                <w:noProof/>
                <w:sz w:val="14"/>
                <w:szCs w:val="14"/>
              </w:rPr>
            </w:pPr>
            <w:r>
              <w:rPr>
                <w:rFonts w:ascii="Times New Roman" w:hAnsi="Times New Roman"/>
                <w:noProof/>
                <w:sz w:val="14"/>
                <w:szCs w:val="14"/>
              </w:rPr>
              <w:t>3 667 975</w:t>
            </w:r>
          </w:p>
        </w:tc>
        <w:tc>
          <w:tcPr>
            <w:tcW w:w="133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sz w:val="14"/>
                <w:szCs w:val="14"/>
              </w:rPr>
              <w:t>2 934 380</w:t>
            </w:r>
          </w:p>
        </w:tc>
        <w:tc>
          <w:tcPr>
            <w:tcW w:w="1342"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2 055 614</w:t>
            </w:r>
          </w:p>
        </w:tc>
        <w:tc>
          <w:tcPr>
            <w:tcW w:w="1344"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38 939</w:t>
            </w:r>
          </w:p>
        </w:tc>
      </w:tr>
      <w:tr>
        <w:trPr>
          <w:trHeight w:val="223"/>
          <w:jc w:val="center"/>
        </w:trPr>
        <w:tc>
          <w:tcPr>
            <w:tcW w:w="957"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szCs w:val="14"/>
              </w:rPr>
              <w:t>HU</w:t>
            </w:r>
          </w:p>
        </w:tc>
        <w:tc>
          <w:tcPr>
            <w:tcW w:w="1339" w:type="dxa"/>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szCs w:val="14"/>
              </w:rPr>
              <w:t>7 047 255</w:t>
            </w:r>
            <w:r>
              <w:rPr>
                <w:rFonts w:ascii="Times New Roman" w:hAnsi="Times New Roman"/>
                <w:noProof/>
                <w:sz w:val="14"/>
                <w:szCs w:val="14"/>
                <w:vertAlign w:val="superscript"/>
              </w:rPr>
              <w:footnoteReference w:id="75"/>
            </w:r>
          </w:p>
        </w:tc>
        <w:tc>
          <w:tcPr>
            <w:tcW w:w="1458"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n/a</w:t>
            </w:r>
          </w:p>
        </w:tc>
        <w:tc>
          <w:tcPr>
            <w:tcW w:w="1458" w:type="dxa"/>
            <w:shd w:val="clear" w:color="auto" w:fill="FFFFFF" w:themeFill="background1"/>
          </w:tcPr>
          <w:p>
            <w:pPr>
              <w:jc w:val="center"/>
              <w:rPr>
                <w:rFonts w:ascii="Times New Roman" w:hAnsi="Times New Roman"/>
                <w:noProof/>
                <w:sz w:val="14"/>
                <w:szCs w:val="14"/>
              </w:rPr>
            </w:pPr>
            <w:r>
              <w:rPr>
                <w:rFonts w:ascii="Times New Roman" w:hAnsi="Times New Roman"/>
                <w:noProof/>
                <w:sz w:val="14"/>
                <w:szCs w:val="14"/>
              </w:rPr>
              <w:t>n/a</w:t>
            </w:r>
          </w:p>
        </w:tc>
        <w:tc>
          <w:tcPr>
            <w:tcW w:w="133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sz w:val="14"/>
                <w:szCs w:val="14"/>
              </w:rPr>
              <w:t>n/a</w:t>
            </w:r>
          </w:p>
        </w:tc>
        <w:tc>
          <w:tcPr>
            <w:tcW w:w="1342"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n/a</w:t>
            </w:r>
          </w:p>
        </w:tc>
        <w:tc>
          <w:tcPr>
            <w:tcW w:w="1344"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n/a</w:t>
            </w:r>
          </w:p>
        </w:tc>
      </w:tr>
      <w:tr>
        <w:trPr>
          <w:trHeight w:val="185"/>
          <w:jc w:val="center"/>
        </w:trPr>
        <w:tc>
          <w:tcPr>
            <w:tcW w:w="957"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szCs w:val="14"/>
              </w:rPr>
              <w:t>LT</w:t>
            </w:r>
          </w:p>
        </w:tc>
        <w:tc>
          <w:tcPr>
            <w:tcW w:w="1339" w:type="dxa"/>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szCs w:val="14"/>
              </w:rPr>
              <w:t>322 449</w:t>
            </w:r>
          </w:p>
        </w:tc>
        <w:tc>
          <w:tcPr>
            <w:tcW w:w="1458"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297 113</w:t>
            </w:r>
          </w:p>
        </w:tc>
        <w:tc>
          <w:tcPr>
            <w:tcW w:w="1458" w:type="dxa"/>
            <w:shd w:val="clear" w:color="auto" w:fill="FFFFFF" w:themeFill="background1"/>
          </w:tcPr>
          <w:p>
            <w:pPr>
              <w:jc w:val="center"/>
              <w:rPr>
                <w:rFonts w:ascii="Times New Roman" w:hAnsi="Times New Roman"/>
                <w:noProof/>
                <w:sz w:val="14"/>
                <w:szCs w:val="14"/>
              </w:rPr>
            </w:pPr>
            <w:r>
              <w:rPr>
                <w:rFonts w:ascii="Times New Roman" w:hAnsi="Times New Roman"/>
                <w:noProof/>
                <w:sz w:val="14"/>
                <w:szCs w:val="14"/>
              </w:rPr>
              <w:t>269 475</w:t>
            </w:r>
          </w:p>
        </w:tc>
        <w:tc>
          <w:tcPr>
            <w:tcW w:w="133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sz w:val="14"/>
                <w:szCs w:val="14"/>
              </w:rPr>
              <w:t>237 230</w:t>
            </w:r>
          </w:p>
        </w:tc>
        <w:tc>
          <w:tcPr>
            <w:tcW w:w="1342"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200 379</w:t>
            </w:r>
          </w:p>
        </w:tc>
        <w:tc>
          <w:tcPr>
            <w:tcW w:w="1344"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158 922</w:t>
            </w:r>
          </w:p>
        </w:tc>
      </w:tr>
      <w:tr>
        <w:trPr>
          <w:trHeight w:val="185"/>
          <w:jc w:val="center"/>
        </w:trPr>
        <w:tc>
          <w:tcPr>
            <w:tcW w:w="957"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szCs w:val="14"/>
              </w:rPr>
              <w:t>PL</w:t>
            </w:r>
          </w:p>
        </w:tc>
        <w:tc>
          <w:tcPr>
            <w:tcW w:w="1339" w:type="dxa"/>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szCs w:val="14"/>
              </w:rPr>
              <w:t>65 992 703</w:t>
            </w:r>
          </w:p>
        </w:tc>
        <w:tc>
          <w:tcPr>
            <w:tcW w:w="1458"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52 920 889</w:t>
            </w:r>
          </w:p>
        </w:tc>
        <w:tc>
          <w:tcPr>
            <w:tcW w:w="1458" w:type="dxa"/>
            <w:shd w:val="clear" w:color="auto" w:fill="FFFFFF" w:themeFill="background1"/>
          </w:tcPr>
          <w:p>
            <w:pPr>
              <w:jc w:val="center"/>
              <w:rPr>
                <w:rFonts w:ascii="Times New Roman" w:hAnsi="Times New Roman"/>
                <w:noProof/>
                <w:sz w:val="14"/>
                <w:szCs w:val="14"/>
              </w:rPr>
            </w:pPr>
            <w:r>
              <w:rPr>
                <w:rFonts w:ascii="Times New Roman" w:hAnsi="Times New Roman"/>
                <w:noProof/>
                <w:sz w:val="14"/>
                <w:szCs w:val="14"/>
              </w:rPr>
              <w:t>43 594 320</w:t>
            </w:r>
          </w:p>
        </w:tc>
        <w:tc>
          <w:tcPr>
            <w:tcW w:w="133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sz w:val="14"/>
                <w:szCs w:val="14"/>
              </w:rPr>
              <w:t>31 621 148</w:t>
            </w:r>
          </w:p>
        </w:tc>
        <w:tc>
          <w:tcPr>
            <w:tcW w:w="1342"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21 752 908</w:t>
            </w:r>
          </w:p>
        </w:tc>
        <w:tc>
          <w:tcPr>
            <w:tcW w:w="1344"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31 942 281</w:t>
            </w:r>
          </w:p>
        </w:tc>
      </w:tr>
      <w:tr>
        <w:trPr>
          <w:trHeight w:val="312"/>
          <w:jc w:val="center"/>
        </w:trPr>
        <w:tc>
          <w:tcPr>
            <w:tcW w:w="957"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szCs w:val="14"/>
              </w:rPr>
              <w:t>RO</w:t>
            </w:r>
          </w:p>
        </w:tc>
        <w:tc>
          <w:tcPr>
            <w:tcW w:w="1339" w:type="dxa"/>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szCs w:val="14"/>
              </w:rPr>
              <w:t>15 748 011</w:t>
            </w:r>
          </w:p>
        </w:tc>
        <w:tc>
          <w:tcPr>
            <w:tcW w:w="1458"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8 591 461</w:t>
            </w:r>
          </w:p>
        </w:tc>
        <w:tc>
          <w:tcPr>
            <w:tcW w:w="1458" w:type="dxa"/>
            <w:shd w:val="clear" w:color="auto" w:fill="FFFFFF" w:themeFill="background1"/>
          </w:tcPr>
          <w:p>
            <w:pPr>
              <w:jc w:val="center"/>
              <w:rPr>
                <w:rFonts w:ascii="Times New Roman" w:hAnsi="Times New Roman"/>
                <w:noProof/>
                <w:sz w:val="14"/>
                <w:szCs w:val="14"/>
              </w:rPr>
            </w:pPr>
            <w:r>
              <w:rPr>
                <w:rFonts w:ascii="Times New Roman" w:hAnsi="Times New Roman"/>
                <w:noProof/>
                <w:sz w:val="14"/>
                <w:szCs w:val="14"/>
              </w:rPr>
              <w:t>9 210 797</w:t>
            </w:r>
          </w:p>
        </w:tc>
        <w:tc>
          <w:tcPr>
            <w:tcW w:w="133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sz w:val="14"/>
                <w:szCs w:val="14"/>
              </w:rPr>
              <w:t>7 189 961</w:t>
            </w:r>
          </w:p>
        </w:tc>
        <w:tc>
          <w:tcPr>
            <w:tcW w:w="1342"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6 222 255</w:t>
            </w:r>
          </w:p>
        </w:tc>
        <w:tc>
          <w:tcPr>
            <w:tcW w:w="1344" w:type="dxa"/>
            <w:shd w:val="clear" w:color="auto" w:fill="FFFFFF" w:themeFill="background1"/>
          </w:tcPr>
          <w:p>
            <w:pPr>
              <w:jc w:val="center"/>
              <w:rPr>
                <w:rFonts w:ascii="Times New Roman" w:hAnsi="Times New Roman"/>
                <w:noProof/>
                <w:color w:val="000000"/>
                <w:sz w:val="14"/>
                <w:szCs w:val="14"/>
              </w:rPr>
            </w:pPr>
            <w:r>
              <w:rPr>
                <w:rFonts w:ascii="Times New Roman" w:hAnsi="Times New Roman"/>
                <w:noProof/>
                <w:sz w:val="14"/>
                <w:szCs w:val="14"/>
              </w:rPr>
              <w:t>3 778 439</w:t>
            </w:r>
          </w:p>
        </w:tc>
      </w:tr>
      <w:tr>
        <w:trPr>
          <w:trHeight w:val="257"/>
          <w:jc w:val="center"/>
        </w:trPr>
        <w:tc>
          <w:tcPr>
            <w:tcW w:w="957" w:type="dxa"/>
            <w:shd w:val="clear" w:color="auto" w:fill="FFFFFF" w:themeFill="background1"/>
            <w:noWrap/>
          </w:tcPr>
          <w:p>
            <w:pPr>
              <w:spacing w:after="0"/>
              <w:jc w:val="center"/>
              <w:rPr>
                <w:rFonts w:ascii="Times New Roman" w:hAnsi="Times New Roman"/>
                <w:b/>
                <w:noProof/>
                <w:sz w:val="14"/>
                <w:szCs w:val="14"/>
              </w:rPr>
            </w:pPr>
            <w:r>
              <w:rPr>
                <w:rFonts w:ascii="Times New Roman" w:hAnsi="Times New Roman"/>
                <w:b/>
                <w:noProof/>
                <w:sz w:val="14"/>
                <w:szCs w:val="14"/>
              </w:rPr>
              <w:t>Kopā</w:t>
            </w:r>
          </w:p>
        </w:tc>
        <w:tc>
          <w:tcPr>
            <w:tcW w:w="1339" w:type="dxa"/>
            <w:shd w:val="clear" w:color="auto" w:fill="FFFFFF" w:themeFill="background1"/>
            <w:noWrap/>
          </w:tcPr>
          <w:p>
            <w:pPr>
              <w:spacing w:after="0"/>
              <w:jc w:val="center"/>
              <w:rPr>
                <w:rFonts w:ascii="Times New Roman" w:hAnsi="Times New Roman"/>
                <w:noProof/>
                <w:sz w:val="14"/>
                <w:szCs w:val="14"/>
              </w:rPr>
            </w:pPr>
            <w:r>
              <w:rPr>
                <w:rFonts w:ascii="Times New Roman" w:hAnsi="Times New Roman"/>
                <w:noProof/>
                <w:sz w:val="14"/>
                <w:szCs w:val="14"/>
              </w:rPr>
              <w:t>133 059 430</w:t>
            </w:r>
          </w:p>
          <w:p>
            <w:pPr>
              <w:spacing w:after="0"/>
              <w:jc w:val="center"/>
              <w:rPr>
                <w:rFonts w:ascii="Times New Roman" w:hAnsi="Times New Roman"/>
                <w:noProof/>
                <w:sz w:val="14"/>
                <w:szCs w:val="14"/>
              </w:rPr>
            </w:pPr>
          </w:p>
        </w:tc>
        <w:tc>
          <w:tcPr>
            <w:tcW w:w="1458"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100 568 867</w:t>
            </w:r>
          </w:p>
        </w:tc>
        <w:tc>
          <w:tcPr>
            <w:tcW w:w="1458"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87 532 554</w:t>
            </w:r>
          </w:p>
        </w:tc>
        <w:tc>
          <w:tcPr>
            <w:tcW w:w="1339"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65 990 706</w:t>
            </w:r>
          </w:p>
        </w:tc>
        <w:tc>
          <w:tcPr>
            <w:tcW w:w="1342"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46 985 124</w:t>
            </w:r>
          </w:p>
        </w:tc>
        <w:tc>
          <w:tcPr>
            <w:tcW w:w="1344"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szCs w:val="14"/>
              </w:rPr>
              <w:t>46 987 375</w:t>
            </w:r>
          </w:p>
        </w:tc>
      </w:tr>
    </w:tbl>
    <w:p>
      <w:pPr>
        <w:spacing w:line="240" w:lineRule="auto"/>
        <w:contextualSpacing/>
        <w:jc w:val="both"/>
        <w:rPr>
          <w:rFonts w:ascii="Times New Roman" w:hAnsi="Times New Roman"/>
          <w:noProof/>
          <w:sz w:val="18"/>
          <w:szCs w:val="18"/>
        </w:rPr>
      </w:pPr>
      <w:r>
        <w:rPr>
          <w:rFonts w:ascii="Times New Roman" w:hAnsi="Times New Roman"/>
          <w:noProof/>
          <w:sz w:val="18"/>
          <w:szCs w:val="18"/>
        </w:rPr>
        <w:t>Avots: Klimata politikas ģenerāldirektorāts.</w:t>
      </w:r>
    </w:p>
    <w:p>
      <w:pPr>
        <w:spacing w:line="240" w:lineRule="auto"/>
        <w:contextualSpacing/>
        <w:jc w:val="both"/>
        <w:rPr>
          <w:rFonts w:ascii="Times New Roman" w:hAnsi="Times New Roman"/>
          <w:noProof/>
          <w:sz w:val="18"/>
          <w:szCs w:val="18"/>
        </w:rPr>
      </w:pPr>
    </w:p>
    <w:p>
      <w:pPr>
        <w:spacing w:line="240" w:lineRule="auto"/>
        <w:jc w:val="both"/>
        <w:rPr>
          <w:rFonts w:ascii="Times New Roman" w:hAnsi="Times New Roman"/>
          <w:b/>
          <w:noProof/>
          <w:sz w:val="20"/>
          <w:szCs w:val="20"/>
        </w:rPr>
      </w:pPr>
      <w:r>
        <w:rPr>
          <w:rFonts w:ascii="Times New Roman" w:hAnsi="Times New Roman"/>
          <w:b/>
          <w:noProof/>
          <w:sz w:val="20"/>
          <w:szCs w:val="20"/>
        </w:rPr>
        <w:t>1.2. tabula. Maksimālais bezmaksas kvotu skaits gadā saskaņā ar elektroenerģijas un siltuma ražošanas nozarei piešķirto atkāpi no prasības visas kvotas iegūt izsoļu ceļā</w:t>
      </w:r>
    </w:p>
    <w:tbl>
      <w:tblPr>
        <w:tblW w:w="931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86"/>
        <w:gridCol w:w="1123"/>
        <w:gridCol w:w="997"/>
        <w:gridCol w:w="997"/>
        <w:gridCol w:w="997"/>
        <w:gridCol w:w="997"/>
        <w:gridCol w:w="997"/>
        <w:gridCol w:w="997"/>
        <w:gridCol w:w="1111"/>
        <w:gridCol w:w="11"/>
      </w:tblGrid>
      <w:tr>
        <w:trPr>
          <w:trHeight w:val="610"/>
          <w:jc w:val="center"/>
        </w:trPr>
        <w:tc>
          <w:tcPr>
            <w:tcW w:w="1086" w:type="dxa"/>
            <w:vMerge w:val="restart"/>
          </w:tcPr>
          <w:p>
            <w:pPr>
              <w:spacing w:after="0"/>
              <w:jc w:val="center"/>
              <w:rPr>
                <w:rFonts w:ascii="Times New Roman" w:hAnsi="Times New Roman"/>
                <w:b/>
                <w:noProof/>
                <w:sz w:val="20"/>
                <w:szCs w:val="20"/>
              </w:rPr>
            </w:pPr>
            <w:r>
              <w:rPr>
                <w:rFonts w:ascii="Times New Roman" w:hAnsi="Times New Roman"/>
                <w:b/>
                <w:noProof/>
                <w:sz w:val="20"/>
                <w:szCs w:val="20"/>
              </w:rPr>
              <w:t>Dalībvalsts</w:t>
            </w:r>
          </w:p>
        </w:tc>
        <w:tc>
          <w:tcPr>
            <w:tcW w:w="8227" w:type="dxa"/>
            <w:gridSpan w:val="9"/>
          </w:tcPr>
          <w:p>
            <w:pPr>
              <w:spacing w:after="0"/>
              <w:jc w:val="center"/>
              <w:rPr>
                <w:rFonts w:ascii="Times New Roman" w:hAnsi="Times New Roman"/>
                <w:b/>
                <w:noProof/>
                <w:sz w:val="20"/>
                <w:szCs w:val="20"/>
              </w:rPr>
            </w:pPr>
            <w:r>
              <w:rPr>
                <w:rFonts w:ascii="Times New Roman" w:hAnsi="Times New Roman"/>
                <w:b/>
                <w:noProof/>
                <w:sz w:val="20"/>
                <w:szCs w:val="20"/>
              </w:rPr>
              <w:t>Maksimālais kvotu skaits gadā</w:t>
            </w:r>
          </w:p>
        </w:tc>
      </w:tr>
      <w:tr>
        <w:trPr>
          <w:gridAfter w:val="1"/>
          <w:wAfter w:w="11" w:type="dxa"/>
          <w:trHeight w:val="446"/>
          <w:jc w:val="center"/>
        </w:trPr>
        <w:tc>
          <w:tcPr>
            <w:tcW w:w="1086" w:type="dxa"/>
            <w:vMerge/>
          </w:tcPr>
          <w:p>
            <w:pPr>
              <w:spacing w:after="0"/>
              <w:jc w:val="center"/>
              <w:rPr>
                <w:rFonts w:ascii="Times New Roman" w:hAnsi="Times New Roman"/>
                <w:b/>
                <w:noProof/>
                <w:sz w:val="14"/>
                <w:szCs w:val="18"/>
              </w:rPr>
            </w:pPr>
          </w:p>
        </w:tc>
        <w:tc>
          <w:tcPr>
            <w:tcW w:w="1123" w:type="dxa"/>
          </w:tcPr>
          <w:p>
            <w:pPr>
              <w:spacing w:after="0"/>
              <w:jc w:val="center"/>
              <w:rPr>
                <w:rFonts w:ascii="Times New Roman" w:hAnsi="Times New Roman"/>
                <w:b/>
                <w:noProof/>
                <w:sz w:val="14"/>
                <w:szCs w:val="18"/>
              </w:rPr>
            </w:pPr>
            <w:r>
              <w:rPr>
                <w:rFonts w:ascii="Times New Roman" w:hAnsi="Times New Roman"/>
                <w:b/>
                <w:noProof/>
                <w:sz w:val="14"/>
                <w:szCs w:val="18"/>
              </w:rPr>
              <w:t>2013</w:t>
            </w:r>
          </w:p>
        </w:tc>
        <w:tc>
          <w:tcPr>
            <w:tcW w:w="997" w:type="dxa"/>
          </w:tcPr>
          <w:p>
            <w:pPr>
              <w:spacing w:after="0"/>
              <w:jc w:val="center"/>
              <w:rPr>
                <w:rFonts w:ascii="Times New Roman" w:hAnsi="Times New Roman"/>
                <w:b/>
                <w:noProof/>
                <w:sz w:val="14"/>
                <w:szCs w:val="18"/>
              </w:rPr>
            </w:pPr>
            <w:r>
              <w:rPr>
                <w:rFonts w:ascii="Times New Roman" w:hAnsi="Times New Roman"/>
                <w:b/>
                <w:noProof/>
                <w:sz w:val="14"/>
                <w:szCs w:val="18"/>
              </w:rPr>
              <w:t>2014</w:t>
            </w:r>
          </w:p>
        </w:tc>
        <w:tc>
          <w:tcPr>
            <w:tcW w:w="997" w:type="dxa"/>
          </w:tcPr>
          <w:p>
            <w:pPr>
              <w:spacing w:after="0"/>
              <w:jc w:val="center"/>
              <w:rPr>
                <w:rFonts w:ascii="Times New Roman" w:hAnsi="Times New Roman"/>
                <w:b/>
                <w:noProof/>
                <w:sz w:val="14"/>
                <w:szCs w:val="18"/>
              </w:rPr>
            </w:pPr>
            <w:r>
              <w:rPr>
                <w:rFonts w:ascii="Times New Roman" w:hAnsi="Times New Roman"/>
                <w:b/>
                <w:noProof/>
                <w:sz w:val="14"/>
                <w:szCs w:val="18"/>
              </w:rPr>
              <w:t>2015</w:t>
            </w:r>
          </w:p>
        </w:tc>
        <w:tc>
          <w:tcPr>
            <w:tcW w:w="997" w:type="dxa"/>
          </w:tcPr>
          <w:p>
            <w:pPr>
              <w:spacing w:after="0"/>
              <w:jc w:val="center"/>
              <w:rPr>
                <w:rFonts w:ascii="Times New Roman" w:hAnsi="Times New Roman"/>
                <w:b/>
                <w:noProof/>
                <w:sz w:val="14"/>
                <w:szCs w:val="18"/>
              </w:rPr>
            </w:pPr>
            <w:r>
              <w:rPr>
                <w:rFonts w:ascii="Times New Roman" w:hAnsi="Times New Roman"/>
                <w:b/>
                <w:noProof/>
                <w:sz w:val="14"/>
                <w:szCs w:val="18"/>
              </w:rPr>
              <w:t>2016</w:t>
            </w:r>
          </w:p>
        </w:tc>
        <w:tc>
          <w:tcPr>
            <w:tcW w:w="997" w:type="dxa"/>
          </w:tcPr>
          <w:p>
            <w:pPr>
              <w:spacing w:after="0"/>
              <w:jc w:val="center"/>
              <w:rPr>
                <w:rFonts w:ascii="Times New Roman" w:hAnsi="Times New Roman"/>
                <w:b/>
                <w:noProof/>
                <w:sz w:val="14"/>
                <w:szCs w:val="18"/>
              </w:rPr>
            </w:pPr>
            <w:r>
              <w:rPr>
                <w:rFonts w:ascii="Times New Roman" w:hAnsi="Times New Roman"/>
                <w:b/>
                <w:noProof/>
                <w:sz w:val="14"/>
                <w:szCs w:val="18"/>
              </w:rPr>
              <w:t>2017</w:t>
            </w:r>
          </w:p>
        </w:tc>
        <w:tc>
          <w:tcPr>
            <w:tcW w:w="997" w:type="dxa"/>
          </w:tcPr>
          <w:p>
            <w:pPr>
              <w:spacing w:after="0"/>
              <w:ind w:right="317"/>
              <w:jc w:val="center"/>
              <w:rPr>
                <w:rFonts w:ascii="Times New Roman" w:hAnsi="Times New Roman"/>
                <w:b/>
                <w:noProof/>
                <w:sz w:val="14"/>
                <w:szCs w:val="18"/>
              </w:rPr>
            </w:pPr>
            <w:r>
              <w:rPr>
                <w:rFonts w:ascii="Times New Roman" w:hAnsi="Times New Roman"/>
                <w:b/>
                <w:noProof/>
                <w:sz w:val="14"/>
                <w:szCs w:val="18"/>
              </w:rPr>
              <w:t>2018</w:t>
            </w:r>
          </w:p>
        </w:tc>
        <w:tc>
          <w:tcPr>
            <w:tcW w:w="997" w:type="dxa"/>
          </w:tcPr>
          <w:p>
            <w:pPr>
              <w:spacing w:after="0"/>
              <w:jc w:val="center"/>
              <w:rPr>
                <w:rFonts w:ascii="Times New Roman" w:hAnsi="Times New Roman"/>
                <w:b/>
                <w:noProof/>
                <w:sz w:val="14"/>
                <w:szCs w:val="18"/>
              </w:rPr>
            </w:pPr>
            <w:r>
              <w:rPr>
                <w:rFonts w:ascii="Times New Roman" w:hAnsi="Times New Roman"/>
                <w:b/>
                <w:noProof/>
                <w:sz w:val="14"/>
                <w:szCs w:val="18"/>
              </w:rPr>
              <w:t>2019</w:t>
            </w:r>
          </w:p>
        </w:tc>
        <w:tc>
          <w:tcPr>
            <w:tcW w:w="1111" w:type="dxa"/>
          </w:tcPr>
          <w:p>
            <w:pPr>
              <w:spacing w:after="0"/>
              <w:jc w:val="center"/>
              <w:rPr>
                <w:rFonts w:ascii="Times New Roman" w:hAnsi="Times New Roman"/>
                <w:b/>
                <w:noProof/>
                <w:sz w:val="14"/>
                <w:szCs w:val="18"/>
              </w:rPr>
            </w:pPr>
            <w:r>
              <w:rPr>
                <w:rFonts w:ascii="Times New Roman" w:hAnsi="Times New Roman"/>
                <w:b/>
                <w:noProof/>
                <w:sz w:val="14"/>
                <w:szCs w:val="18"/>
              </w:rPr>
              <w:t>Kopā</w:t>
            </w:r>
          </w:p>
        </w:tc>
      </w:tr>
      <w:tr>
        <w:trPr>
          <w:gridAfter w:val="1"/>
          <w:wAfter w:w="11" w:type="dxa"/>
          <w:trHeight w:val="304"/>
          <w:jc w:val="center"/>
        </w:trPr>
        <w:tc>
          <w:tcPr>
            <w:tcW w:w="1086" w:type="dxa"/>
          </w:tcPr>
          <w:p>
            <w:pPr>
              <w:spacing w:after="0"/>
              <w:jc w:val="center"/>
              <w:rPr>
                <w:rFonts w:ascii="Times New Roman" w:hAnsi="Times New Roman"/>
                <w:noProof/>
                <w:sz w:val="14"/>
                <w:szCs w:val="18"/>
              </w:rPr>
            </w:pPr>
            <w:r>
              <w:rPr>
                <w:rFonts w:ascii="Times New Roman" w:hAnsi="Times New Roman"/>
                <w:noProof/>
                <w:sz w:val="14"/>
                <w:szCs w:val="18"/>
              </w:rPr>
              <w:t>BG</w:t>
            </w:r>
          </w:p>
        </w:tc>
        <w:tc>
          <w:tcPr>
            <w:tcW w:w="1123" w:type="dxa"/>
          </w:tcPr>
          <w:p>
            <w:pPr>
              <w:spacing w:after="0"/>
              <w:jc w:val="center"/>
              <w:rPr>
                <w:rFonts w:ascii="Times New Roman" w:hAnsi="Times New Roman"/>
                <w:noProof/>
                <w:sz w:val="14"/>
                <w:szCs w:val="18"/>
              </w:rPr>
            </w:pPr>
            <w:r>
              <w:rPr>
                <w:rFonts w:ascii="Times New Roman" w:hAnsi="Times New Roman"/>
                <w:noProof/>
                <w:sz w:val="14"/>
                <w:szCs w:val="18"/>
              </w:rPr>
              <w:t>13 542 000</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11 607 428</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9 672 857</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7 738 286</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5 803 714</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3 869 143</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1 934 571</w:t>
            </w:r>
          </w:p>
        </w:tc>
        <w:tc>
          <w:tcPr>
            <w:tcW w:w="1111" w:type="dxa"/>
          </w:tcPr>
          <w:p>
            <w:pPr>
              <w:spacing w:after="0"/>
              <w:jc w:val="center"/>
              <w:rPr>
                <w:rFonts w:ascii="Times New Roman" w:hAnsi="Times New Roman"/>
                <w:noProof/>
                <w:sz w:val="14"/>
                <w:szCs w:val="18"/>
              </w:rPr>
            </w:pPr>
            <w:r>
              <w:rPr>
                <w:rFonts w:ascii="Times New Roman" w:hAnsi="Times New Roman"/>
                <w:noProof/>
                <w:sz w:val="14"/>
                <w:szCs w:val="18"/>
              </w:rPr>
              <w:t>54 167 999</w:t>
            </w:r>
          </w:p>
        </w:tc>
      </w:tr>
      <w:tr>
        <w:trPr>
          <w:gridAfter w:val="1"/>
          <w:wAfter w:w="11" w:type="dxa"/>
          <w:trHeight w:val="304"/>
          <w:jc w:val="center"/>
        </w:trPr>
        <w:tc>
          <w:tcPr>
            <w:tcW w:w="1086" w:type="dxa"/>
          </w:tcPr>
          <w:p>
            <w:pPr>
              <w:spacing w:after="0"/>
              <w:jc w:val="center"/>
              <w:rPr>
                <w:rFonts w:ascii="Times New Roman" w:hAnsi="Times New Roman"/>
                <w:noProof/>
                <w:sz w:val="14"/>
                <w:szCs w:val="18"/>
              </w:rPr>
            </w:pPr>
            <w:r>
              <w:rPr>
                <w:rFonts w:ascii="Times New Roman" w:hAnsi="Times New Roman"/>
                <w:noProof/>
                <w:sz w:val="14"/>
                <w:szCs w:val="18"/>
              </w:rPr>
              <w:t>CY</w:t>
            </w:r>
          </w:p>
        </w:tc>
        <w:tc>
          <w:tcPr>
            <w:tcW w:w="1123" w:type="dxa"/>
          </w:tcPr>
          <w:p>
            <w:pPr>
              <w:spacing w:after="0"/>
              <w:jc w:val="center"/>
              <w:rPr>
                <w:rFonts w:ascii="Times New Roman" w:hAnsi="Times New Roman"/>
                <w:noProof/>
                <w:sz w:val="14"/>
                <w:szCs w:val="18"/>
              </w:rPr>
            </w:pPr>
            <w:r>
              <w:rPr>
                <w:rFonts w:ascii="Times New Roman" w:hAnsi="Times New Roman"/>
                <w:noProof/>
                <w:sz w:val="14"/>
                <w:szCs w:val="18"/>
              </w:rPr>
              <w:t>2 519 077</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2 195 195</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1 907 302</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1 583 420</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1 259 538</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935 657</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575 789</w:t>
            </w:r>
          </w:p>
        </w:tc>
        <w:tc>
          <w:tcPr>
            <w:tcW w:w="1111" w:type="dxa"/>
          </w:tcPr>
          <w:p>
            <w:pPr>
              <w:spacing w:after="0"/>
              <w:jc w:val="center"/>
              <w:rPr>
                <w:rFonts w:ascii="Times New Roman" w:hAnsi="Times New Roman"/>
                <w:noProof/>
                <w:sz w:val="14"/>
                <w:szCs w:val="18"/>
              </w:rPr>
            </w:pPr>
            <w:r>
              <w:rPr>
                <w:rFonts w:ascii="Times New Roman" w:hAnsi="Times New Roman"/>
                <w:noProof/>
                <w:sz w:val="14"/>
                <w:szCs w:val="18"/>
              </w:rPr>
              <w:t>10 975 978</w:t>
            </w:r>
          </w:p>
        </w:tc>
      </w:tr>
      <w:tr>
        <w:trPr>
          <w:gridAfter w:val="1"/>
          <w:wAfter w:w="11" w:type="dxa"/>
          <w:trHeight w:val="304"/>
          <w:jc w:val="center"/>
        </w:trPr>
        <w:tc>
          <w:tcPr>
            <w:tcW w:w="1086" w:type="dxa"/>
          </w:tcPr>
          <w:p>
            <w:pPr>
              <w:spacing w:after="0"/>
              <w:jc w:val="center"/>
              <w:rPr>
                <w:rFonts w:ascii="Times New Roman" w:hAnsi="Times New Roman"/>
                <w:noProof/>
                <w:sz w:val="14"/>
                <w:szCs w:val="18"/>
              </w:rPr>
            </w:pPr>
            <w:r>
              <w:rPr>
                <w:rFonts w:ascii="Times New Roman" w:hAnsi="Times New Roman"/>
                <w:noProof/>
                <w:sz w:val="14"/>
                <w:szCs w:val="18"/>
              </w:rPr>
              <w:t>CZ</w:t>
            </w:r>
          </w:p>
        </w:tc>
        <w:tc>
          <w:tcPr>
            <w:tcW w:w="1123" w:type="dxa"/>
          </w:tcPr>
          <w:p>
            <w:pPr>
              <w:spacing w:after="0"/>
              <w:jc w:val="center"/>
              <w:rPr>
                <w:rFonts w:ascii="Times New Roman" w:hAnsi="Times New Roman"/>
                <w:noProof/>
                <w:sz w:val="14"/>
                <w:szCs w:val="18"/>
              </w:rPr>
            </w:pPr>
            <w:r>
              <w:rPr>
                <w:rFonts w:ascii="Times New Roman" w:hAnsi="Times New Roman"/>
                <w:noProof/>
                <w:sz w:val="14"/>
                <w:szCs w:val="18"/>
              </w:rPr>
              <w:t>26 916 667</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23 071 429</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19 226 191</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15 380 953</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11 535 714</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7 690 476</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3 845 238</w:t>
            </w:r>
          </w:p>
        </w:tc>
        <w:tc>
          <w:tcPr>
            <w:tcW w:w="1111" w:type="dxa"/>
          </w:tcPr>
          <w:p>
            <w:pPr>
              <w:spacing w:after="0"/>
              <w:jc w:val="center"/>
              <w:rPr>
                <w:rFonts w:ascii="Times New Roman" w:hAnsi="Times New Roman"/>
                <w:noProof/>
                <w:sz w:val="14"/>
                <w:szCs w:val="18"/>
              </w:rPr>
            </w:pPr>
            <w:r>
              <w:rPr>
                <w:rFonts w:ascii="Times New Roman" w:hAnsi="Times New Roman"/>
                <w:noProof/>
                <w:sz w:val="14"/>
                <w:szCs w:val="18"/>
              </w:rPr>
              <w:t>107 666 668</w:t>
            </w:r>
          </w:p>
        </w:tc>
      </w:tr>
      <w:tr>
        <w:trPr>
          <w:gridAfter w:val="1"/>
          <w:wAfter w:w="11" w:type="dxa"/>
          <w:trHeight w:val="304"/>
          <w:jc w:val="center"/>
        </w:trPr>
        <w:tc>
          <w:tcPr>
            <w:tcW w:w="1086" w:type="dxa"/>
          </w:tcPr>
          <w:p>
            <w:pPr>
              <w:spacing w:after="0"/>
              <w:jc w:val="center"/>
              <w:rPr>
                <w:rFonts w:ascii="Times New Roman" w:hAnsi="Times New Roman"/>
                <w:noProof/>
                <w:sz w:val="14"/>
                <w:szCs w:val="18"/>
              </w:rPr>
            </w:pPr>
            <w:r>
              <w:rPr>
                <w:rFonts w:ascii="Times New Roman" w:hAnsi="Times New Roman"/>
                <w:noProof/>
                <w:sz w:val="14"/>
                <w:szCs w:val="18"/>
              </w:rPr>
              <w:t>EE</w:t>
            </w:r>
          </w:p>
        </w:tc>
        <w:tc>
          <w:tcPr>
            <w:tcW w:w="1123" w:type="dxa"/>
          </w:tcPr>
          <w:p>
            <w:pPr>
              <w:spacing w:after="0"/>
              <w:jc w:val="center"/>
              <w:rPr>
                <w:rFonts w:ascii="Times New Roman" w:hAnsi="Times New Roman"/>
                <w:noProof/>
                <w:sz w:val="14"/>
                <w:szCs w:val="18"/>
              </w:rPr>
            </w:pPr>
            <w:r>
              <w:rPr>
                <w:rFonts w:ascii="Times New Roman" w:hAnsi="Times New Roman"/>
                <w:noProof/>
                <w:sz w:val="14"/>
                <w:szCs w:val="18"/>
              </w:rPr>
              <w:t>5 288 827</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4 533 280</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3 777 733</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3 022 187</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2 266 640</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1 511 093</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755 547</w:t>
            </w:r>
          </w:p>
        </w:tc>
        <w:tc>
          <w:tcPr>
            <w:tcW w:w="1111" w:type="dxa"/>
          </w:tcPr>
          <w:p>
            <w:pPr>
              <w:spacing w:after="0"/>
              <w:jc w:val="center"/>
              <w:rPr>
                <w:rFonts w:ascii="Times New Roman" w:hAnsi="Times New Roman"/>
                <w:noProof/>
                <w:sz w:val="14"/>
                <w:szCs w:val="18"/>
              </w:rPr>
            </w:pPr>
            <w:r>
              <w:rPr>
                <w:rFonts w:ascii="Times New Roman" w:hAnsi="Times New Roman"/>
                <w:noProof/>
                <w:sz w:val="14"/>
                <w:szCs w:val="18"/>
              </w:rPr>
              <w:t>21 155 307</w:t>
            </w:r>
          </w:p>
        </w:tc>
      </w:tr>
      <w:tr>
        <w:trPr>
          <w:gridAfter w:val="1"/>
          <w:wAfter w:w="11" w:type="dxa"/>
          <w:trHeight w:val="304"/>
          <w:jc w:val="center"/>
        </w:trPr>
        <w:tc>
          <w:tcPr>
            <w:tcW w:w="1086" w:type="dxa"/>
          </w:tcPr>
          <w:p>
            <w:pPr>
              <w:spacing w:after="0"/>
              <w:jc w:val="center"/>
              <w:rPr>
                <w:rFonts w:ascii="Times New Roman" w:hAnsi="Times New Roman"/>
                <w:noProof/>
                <w:sz w:val="14"/>
                <w:szCs w:val="18"/>
              </w:rPr>
            </w:pPr>
            <w:r>
              <w:rPr>
                <w:rFonts w:ascii="Times New Roman" w:hAnsi="Times New Roman"/>
                <w:noProof/>
                <w:sz w:val="14"/>
                <w:szCs w:val="18"/>
              </w:rPr>
              <w:t>HU</w:t>
            </w:r>
          </w:p>
        </w:tc>
        <w:tc>
          <w:tcPr>
            <w:tcW w:w="1123" w:type="dxa"/>
          </w:tcPr>
          <w:p>
            <w:pPr>
              <w:spacing w:after="0"/>
              <w:jc w:val="center"/>
              <w:rPr>
                <w:rFonts w:ascii="Times New Roman" w:hAnsi="Times New Roman"/>
                <w:noProof/>
                <w:sz w:val="14"/>
                <w:szCs w:val="18"/>
              </w:rPr>
            </w:pPr>
            <w:r>
              <w:rPr>
                <w:rFonts w:ascii="Times New Roman" w:hAnsi="Times New Roman"/>
                <w:noProof/>
                <w:sz w:val="14"/>
                <w:szCs w:val="18"/>
              </w:rPr>
              <w:t>7 047 255</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0</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0</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0</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0</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0</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0</w:t>
            </w:r>
          </w:p>
        </w:tc>
        <w:tc>
          <w:tcPr>
            <w:tcW w:w="1111" w:type="dxa"/>
          </w:tcPr>
          <w:p>
            <w:pPr>
              <w:spacing w:after="0"/>
              <w:jc w:val="center"/>
              <w:rPr>
                <w:rFonts w:ascii="Times New Roman" w:hAnsi="Times New Roman"/>
                <w:noProof/>
                <w:sz w:val="14"/>
                <w:szCs w:val="18"/>
              </w:rPr>
            </w:pPr>
            <w:r>
              <w:rPr>
                <w:rFonts w:ascii="Times New Roman" w:hAnsi="Times New Roman"/>
                <w:noProof/>
                <w:sz w:val="14"/>
                <w:szCs w:val="18"/>
              </w:rPr>
              <w:t>7 047 255</w:t>
            </w:r>
          </w:p>
        </w:tc>
      </w:tr>
      <w:tr>
        <w:trPr>
          <w:gridAfter w:val="1"/>
          <w:wAfter w:w="11" w:type="dxa"/>
          <w:trHeight w:val="304"/>
          <w:jc w:val="center"/>
        </w:trPr>
        <w:tc>
          <w:tcPr>
            <w:tcW w:w="1086" w:type="dxa"/>
          </w:tcPr>
          <w:p>
            <w:pPr>
              <w:spacing w:after="0"/>
              <w:jc w:val="center"/>
              <w:rPr>
                <w:rFonts w:ascii="Times New Roman" w:hAnsi="Times New Roman"/>
                <w:noProof/>
                <w:sz w:val="14"/>
                <w:szCs w:val="18"/>
              </w:rPr>
            </w:pPr>
            <w:r>
              <w:rPr>
                <w:rFonts w:ascii="Times New Roman" w:hAnsi="Times New Roman"/>
                <w:noProof/>
                <w:sz w:val="14"/>
                <w:szCs w:val="18"/>
              </w:rPr>
              <w:t>LT</w:t>
            </w:r>
          </w:p>
        </w:tc>
        <w:tc>
          <w:tcPr>
            <w:tcW w:w="1123" w:type="dxa"/>
          </w:tcPr>
          <w:p>
            <w:pPr>
              <w:spacing w:after="0"/>
              <w:jc w:val="center"/>
              <w:rPr>
                <w:rFonts w:ascii="Times New Roman" w:hAnsi="Times New Roman"/>
                <w:noProof/>
                <w:sz w:val="14"/>
                <w:szCs w:val="18"/>
                <w:highlight w:val="yellow"/>
              </w:rPr>
            </w:pPr>
            <w:r>
              <w:rPr>
                <w:rFonts w:ascii="Times New Roman" w:hAnsi="Times New Roman"/>
                <w:noProof/>
                <w:sz w:val="14"/>
                <w:szCs w:val="18"/>
              </w:rPr>
              <w:t>582 373</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536 615</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486 698</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428 460</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361 903</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287 027</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170 552</w:t>
            </w:r>
          </w:p>
        </w:tc>
        <w:tc>
          <w:tcPr>
            <w:tcW w:w="1111" w:type="dxa"/>
          </w:tcPr>
          <w:p>
            <w:pPr>
              <w:spacing w:after="0"/>
              <w:jc w:val="center"/>
              <w:rPr>
                <w:rFonts w:ascii="Times New Roman" w:hAnsi="Times New Roman"/>
                <w:noProof/>
                <w:sz w:val="14"/>
                <w:szCs w:val="18"/>
                <w:highlight w:val="yellow"/>
              </w:rPr>
            </w:pPr>
            <w:r>
              <w:rPr>
                <w:rFonts w:ascii="Times New Roman" w:hAnsi="Times New Roman"/>
                <w:noProof/>
                <w:sz w:val="14"/>
                <w:szCs w:val="18"/>
              </w:rPr>
              <w:t>2 853 628</w:t>
            </w:r>
          </w:p>
        </w:tc>
      </w:tr>
      <w:tr>
        <w:trPr>
          <w:gridAfter w:val="1"/>
          <w:wAfter w:w="11" w:type="dxa"/>
          <w:trHeight w:val="304"/>
          <w:jc w:val="center"/>
        </w:trPr>
        <w:tc>
          <w:tcPr>
            <w:tcW w:w="1086" w:type="dxa"/>
          </w:tcPr>
          <w:p>
            <w:pPr>
              <w:spacing w:after="0"/>
              <w:jc w:val="center"/>
              <w:rPr>
                <w:rFonts w:ascii="Times New Roman" w:hAnsi="Times New Roman"/>
                <w:noProof/>
                <w:sz w:val="14"/>
                <w:szCs w:val="18"/>
              </w:rPr>
            </w:pPr>
            <w:r>
              <w:rPr>
                <w:rFonts w:ascii="Times New Roman" w:hAnsi="Times New Roman"/>
                <w:noProof/>
                <w:sz w:val="14"/>
                <w:szCs w:val="18"/>
              </w:rPr>
              <w:t>PL</w:t>
            </w:r>
          </w:p>
        </w:tc>
        <w:tc>
          <w:tcPr>
            <w:tcW w:w="1123" w:type="dxa"/>
          </w:tcPr>
          <w:p>
            <w:pPr>
              <w:spacing w:after="0"/>
              <w:jc w:val="center"/>
              <w:rPr>
                <w:rFonts w:ascii="Times New Roman" w:hAnsi="Times New Roman"/>
                <w:noProof/>
                <w:sz w:val="14"/>
                <w:szCs w:val="18"/>
              </w:rPr>
            </w:pPr>
            <w:r>
              <w:rPr>
                <w:rFonts w:ascii="Times New Roman" w:hAnsi="Times New Roman"/>
                <w:noProof/>
                <w:sz w:val="14"/>
                <w:szCs w:val="18"/>
              </w:rPr>
              <w:t>77 816 756</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72 258 416</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66 700 076</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60 030 069</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52 248 393</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43 355 049</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32 238 370</w:t>
            </w:r>
          </w:p>
        </w:tc>
        <w:tc>
          <w:tcPr>
            <w:tcW w:w="1111" w:type="dxa"/>
          </w:tcPr>
          <w:p>
            <w:pPr>
              <w:spacing w:after="0"/>
              <w:jc w:val="center"/>
              <w:rPr>
                <w:rFonts w:ascii="Times New Roman" w:hAnsi="Times New Roman"/>
                <w:noProof/>
                <w:sz w:val="14"/>
                <w:szCs w:val="18"/>
              </w:rPr>
            </w:pPr>
            <w:r>
              <w:rPr>
                <w:rFonts w:ascii="Times New Roman" w:hAnsi="Times New Roman"/>
                <w:noProof/>
                <w:sz w:val="14"/>
                <w:szCs w:val="18"/>
              </w:rPr>
              <w:t>404 647 129</w:t>
            </w:r>
          </w:p>
        </w:tc>
      </w:tr>
      <w:tr>
        <w:trPr>
          <w:gridAfter w:val="1"/>
          <w:wAfter w:w="11" w:type="dxa"/>
          <w:trHeight w:val="304"/>
          <w:jc w:val="center"/>
        </w:trPr>
        <w:tc>
          <w:tcPr>
            <w:tcW w:w="1086" w:type="dxa"/>
          </w:tcPr>
          <w:p>
            <w:pPr>
              <w:spacing w:after="0"/>
              <w:jc w:val="center"/>
              <w:rPr>
                <w:rFonts w:ascii="Times New Roman" w:hAnsi="Times New Roman"/>
                <w:noProof/>
                <w:sz w:val="14"/>
                <w:szCs w:val="18"/>
              </w:rPr>
            </w:pPr>
            <w:r>
              <w:rPr>
                <w:rFonts w:ascii="Times New Roman" w:hAnsi="Times New Roman"/>
                <w:noProof/>
                <w:sz w:val="14"/>
                <w:szCs w:val="18"/>
              </w:rPr>
              <w:t>RO</w:t>
            </w:r>
          </w:p>
        </w:tc>
        <w:tc>
          <w:tcPr>
            <w:tcW w:w="1123" w:type="dxa"/>
          </w:tcPr>
          <w:p>
            <w:pPr>
              <w:spacing w:after="0"/>
              <w:jc w:val="center"/>
              <w:rPr>
                <w:rFonts w:ascii="Times New Roman" w:hAnsi="Times New Roman"/>
                <w:noProof/>
                <w:sz w:val="14"/>
                <w:szCs w:val="18"/>
              </w:rPr>
            </w:pPr>
            <w:r>
              <w:rPr>
                <w:rFonts w:ascii="Times New Roman" w:hAnsi="Times New Roman"/>
                <w:noProof/>
                <w:sz w:val="14"/>
                <w:szCs w:val="18"/>
              </w:rPr>
              <w:t>17 852 479</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15 302 125</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12 751 771</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10 201 417</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7 651 063</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5 100 708</w:t>
            </w:r>
          </w:p>
        </w:tc>
        <w:tc>
          <w:tcPr>
            <w:tcW w:w="997" w:type="dxa"/>
          </w:tcPr>
          <w:p>
            <w:pPr>
              <w:spacing w:after="0"/>
              <w:jc w:val="center"/>
              <w:rPr>
                <w:rFonts w:ascii="Times New Roman" w:hAnsi="Times New Roman"/>
                <w:noProof/>
                <w:sz w:val="14"/>
                <w:szCs w:val="18"/>
              </w:rPr>
            </w:pPr>
            <w:r>
              <w:rPr>
                <w:rFonts w:ascii="Times New Roman" w:hAnsi="Times New Roman"/>
                <w:noProof/>
                <w:sz w:val="14"/>
                <w:szCs w:val="18"/>
              </w:rPr>
              <w:t>2 550 354</w:t>
            </w:r>
          </w:p>
        </w:tc>
        <w:tc>
          <w:tcPr>
            <w:tcW w:w="1111" w:type="dxa"/>
          </w:tcPr>
          <w:p>
            <w:pPr>
              <w:spacing w:after="0"/>
              <w:jc w:val="center"/>
              <w:rPr>
                <w:rFonts w:ascii="Times New Roman" w:hAnsi="Times New Roman"/>
                <w:noProof/>
                <w:sz w:val="14"/>
                <w:szCs w:val="18"/>
              </w:rPr>
            </w:pPr>
            <w:r>
              <w:rPr>
                <w:rFonts w:ascii="Times New Roman" w:hAnsi="Times New Roman"/>
                <w:noProof/>
                <w:sz w:val="14"/>
                <w:szCs w:val="18"/>
              </w:rPr>
              <w:t>71 409 917</w:t>
            </w:r>
          </w:p>
        </w:tc>
      </w:tr>
      <w:tr>
        <w:trPr>
          <w:gridAfter w:val="1"/>
          <w:wAfter w:w="11" w:type="dxa"/>
          <w:trHeight w:val="432"/>
          <w:jc w:val="center"/>
        </w:trPr>
        <w:tc>
          <w:tcPr>
            <w:tcW w:w="1086" w:type="dxa"/>
          </w:tcPr>
          <w:p>
            <w:pPr>
              <w:spacing w:after="0"/>
              <w:jc w:val="center"/>
              <w:rPr>
                <w:rFonts w:ascii="Times New Roman" w:hAnsi="Times New Roman"/>
                <w:b/>
                <w:noProof/>
                <w:sz w:val="14"/>
                <w:szCs w:val="18"/>
                <w:u w:val="single"/>
              </w:rPr>
            </w:pPr>
            <w:r>
              <w:rPr>
                <w:rFonts w:ascii="Times New Roman" w:hAnsi="Times New Roman"/>
                <w:b/>
                <w:noProof/>
                <w:sz w:val="14"/>
                <w:szCs w:val="18"/>
                <w:u w:val="single"/>
              </w:rPr>
              <w:t>Kopā</w:t>
            </w:r>
          </w:p>
        </w:tc>
        <w:tc>
          <w:tcPr>
            <w:tcW w:w="1123" w:type="dxa"/>
          </w:tcPr>
          <w:p>
            <w:pPr>
              <w:spacing w:after="0"/>
              <w:jc w:val="center"/>
              <w:rPr>
                <w:rFonts w:ascii="Times New Roman" w:hAnsi="Times New Roman"/>
                <w:noProof/>
                <w:sz w:val="14"/>
                <w:szCs w:val="18"/>
                <w:highlight w:val="yellow"/>
              </w:rPr>
            </w:pPr>
            <w:r>
              <w:rPr>
                <w:rFonts w:ascii="Times New Roman" w:hAnsi="Times New Roman"/>
                <w:noProof/>
                <w:sz w:val="14"/>
                <w:szCs w:val="18"/>
              </w:rPr>
              <w:t>151 565 434</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129 504 488</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114 522 628</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98 384 792</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81 126 965</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62 749 153</w:t>
            </w:r>
          </w:p>
        </w:tc>
        <w:tc>
          <w:tcPr>
            <w:tcW w:w="997" w:type="dxa"/>
          </w:tcPr>
          <w:p>
            <w:pPr>
              <w:spacing w:after="0"/>
              <w:jc w:val="center"/>
              <w:rPr>
                <w:rFonts w:ascii="Times New Roman" w:hAnsi="Times New Roman"/>
                <w:noProof/>
                <w:sz w:val="14"/>
                <w:szCs w:val="18"/>
                <w:highlight w:val="yellow"/>
              </w:rPr>
            </w:pPr>
            <w:r>
              <w:rPr>
                <w:rFonts w:ascii="Times New Roman" w:hAnsi="Times New Roman"/>
                <w:noProof/>
                <w:sz w:val="14"/>
                <w:szCs w:val="18"/>
              </w:rPr>
              <w:t>42 070 421</w:t>
            </w:r>
          </w:p>
        </w:tc>
        <w:tc>
          <w:tcPr>
            <w:tcW w:w="1111" w:type="dxa"/>
          </w:tcPr>
          <w:p>
            <w:pPr>
              <w:spacing w:after="0"/>
              <w:jc w:val="center"/>
              <w:rPr>
                <w:rFonts w:ascii="Times New Roman" w:hAnsi="Times New Roman"/>
                <w:noProof/>
                <w:sz w:val="14"/>
                <w:szCs w:val="18"/>
                <w:highlight w:val="yellow"/>
              </w:rPr>
            </w:pPr>
            <w:r>
              <w:rPr>
                <w:rFonts w:ascii="Times New Roman" w:hAnsi="Times New Roman"/>
                <w:noProof/>
                <w:sz w:val="14"/>
                <w:szCs w:val="18"/>
              </w:rPr>
              <w:t>679 923 881</w:t>
            </w:r>
          </w:p>
        </w:tc>
      </w:tr>
    </w:tbl>
    <w:p>
      <w:pPr>
        <w:rPr>
          <w:rFonts w:ascii="Times New Roman" w:hAnsi="Times New Roman"/>
          <w:noProof/>
          <w:sz w:val="18"/>
          <w:szCs w:val="18"/>
        </w:rPr>
      </w:pPr>
      <w:r>
        <w:rPr>
          <w:rFonts w:ascii="Times New Roman" w:hAnsi="Times New Roman"/>
          <w:noProof/>
          <w:sz w:val="18"/>
          <w:szCs w:val="18"/>
        </w:rPr>
        <w:t>Avots: Klimata politikas ģenerāldirektorāts.</w:t>
      </w:r>
    </w:p>
    <w:p>
      <w:pPr>
        <w:rPr>
          <w:rFonts w:ascii="Times New Roman" w:hAnsi="Times New Roman"/>
          <w:b/>
          <w:noProof/>
          <w:sz w:val="20"/>
          <w:szCs w:val="20"/>
        </w:rPr>
      </w:pPr>
    </w:p>
    <w:p>
      <w:pPr>
        <w:rPr>
          <w:rFonts w:ascii="Times New Roman" w:hAnsi="Times New Roman"/>
          <w:b/>
          <w:noProof/>
          <w:sz w:val="20"/>
          <w:szCs w:val="20"/>
        </w:rPr>
      </w:pPr>
    </w:p>
    <w:p>
      <w:pPr>
        <w:rPr>
          <w:rFonts w:ascii="Times New Roman" w:hAnsi="Times New Roman"/>
          <w:b/>
          <w:noProof/>
          <w:sz w:val="20"/>
          <w:szCs w:val="20"/>
        </w:rPr>
      </w:pPr>
    </w:p>
    <w:p>
      <w:pPr>
        <w:rPr>
          <w:rFonts w:ascii="Times New Roman" w:hAnsi="Times New Roman"/>
          <w:b/>
          <w:noProof/>
          <w:sz w:val="20"/>
          <w:szCs w:val="20"/>
        </w:rPr>
      </w:pPr>
      <w:r>
        <w:rPr>
          <w:rFonts w:ascii="Times New Roman" w:hAnsi="Times New Roman"/>
          <w:b/>
          <w:noProof/>
          <w:sz w:val="20"/>
          <w:szCs w:val="20"/>
        </w:rPr>
        <w:t>1.3. tabula. To neizmantoto bezmaksas kvotu skaits saskaņā ar atkāpi no prasības pilnīgi visas kvotas iegūt izsolēs attiecībā uz elektroenerģijas un siltuma ražošanu, kuras ir izsolītas vai kuras ir plānots izsolīt 2013.–2020. gadā</w:t>
      </w:r>
      <w:r>
        <w:rPr>
          <w:rStyle w:val="FootnoteReference"/>
          <w:rFonts w:ascii="Times New Roman" w:hAnsi="Times New Roman"/>
          <w:b/>
          <w:noProof/>
          <w:sz w:val="20"/>
          <w:szCs w:val="20"/>
        </w:rPr>
        <w:footnoteReference w:id="76"/>
      </w:r>
    </w:p>
    <w:tbl>
      <w:tblPr>
        <w:tblW w:w="9042" w:type="dxa"/>
        <w:tblInd w:w="85" w:type="dxa"/>
        <w:tblLook w:val="04A0" w:firstRow="1" w:lastRow="0" w:firstColumn="1" w:lastColumn="0" w:noHBand="0" w:noVBand="1"/>
      </w:tblPr>
      <w:tblGrid>
        <w:gridCol w:w="1926"/>
        <w:gridCol w:w="1135"/>
        <w:gridCol w:w="1135"/>
        <w:gridCol w:w="1135"/>
        <w:gridCol w:w="1135"/>
        <w:gridCol w:w="1288"/>
        <w:gridCol w:w="1288"/>
      </w:tblGrid>
      <w:tr>
        <w:trPr>
          <w:trHeight w:val="330"/>
        </w:trPr>
        <w:tc>
          <w:tcPr>
            <w:tcW w:w="9042" w:type="dxa"/>
            <w:gridSpan w:val="7"/>
            <w:tcBorders>
              <w:top w:val="double" w:sz="6" w:space="0" w:color="auto"/>
              <w:left w:val="double" w:sz="6" w:space="0" w:color="auto"/>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 xml:space="preserve">Izsolītās neizmantotās kvotas saskaņā ar 10.c pantu </w:t>
            </w:r>
          </w:p>
        </w:tc>
      </w:tr>
      <w:tr>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Dalībvalsts</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2015</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2016</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2017</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2018</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2019</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2020</w:t>
            </w:r>
          </w:p>
        </w:tc>
      </w:tr>
      <w:tr>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BG</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5 444 169</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1 461 360</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920 823</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604 908</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1 386 372</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r>
      <w:tr>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CY</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r>
      <w:tr>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CZ</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90 694</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77 741</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66 740</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54 550</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80 295</w:t>
            </w:r>
          </w:p>
        </w:tc>
      </w:tr>
      <w:tr>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EE</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188 682</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134 897</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1 767 499</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761 088</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50 026</w:t>
            </w:r>
          </w:p>
        </w:tc>
      </w:tr>
      <w:tr>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LT</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259 924</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456 725</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191 229</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161 522</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128 105</w:t>
            </w:r>
          </w:p>
        </w:tc>
      </w:tr>
      <w:tr>
        <w:trPr>
          <w:trHeight w:val="405"/>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PL</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1196</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7491</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55 800 000</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49 520 000</w:t>
            </w:r>
          </w:p>
        </w:tc>
      </w:tr>
      <w:tr>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RO</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2 104 468</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6 710 664</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3 540 974</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3 011 456</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r>
      <w:tr>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HU</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135"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c>
          <w:tcPr>
            <w:tcW w:w="1288" w:type="dxa"/>
            <w:tcBorders>
              <w:top w:val="nil"/>
              <w:left w:val="nil"/>
              <w:bottom w:val="double" w:sz="6" w:space="0" w:color="auto"/>
              <w:right w:val="double" w:sz="6" w:space="0" w:color="auto"/>
            </w:tcBorders>
            <w:shd w:val="clear" w:color="auto" w:fill="auto"/>
            <w:noWrap/>
            <w:vAlign w:val="center"/>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0</w:t>
            </w:r>
          </w:p>
        </w:tc>
      </w:tr>
    </w:tbl>
    <w:p>
      <w:pPr>
        <w:rPr>
          <w:rFonts w:ascii="Times New Roman" w:hAnsi="Times New Roman"/>
          <w:noProof/>
          <w:sz w:val="18"/>
          <w:szCs w:val="18"/>
        </w:rPr>
      </w:pPr>
      <w:r>
        <w:rPr>
          <w:rFonts w:ascii="Times New Roman" w:hAnsi="Times New Roman"/>
          <w:noProof/>
          <w:sz w:val="18"/>
          <w:szCs w:val="18"/>
        </w:rPr>
        <w:t>Avots: Klimata politikas ģenerāldirektorāts.</w:t>
      </w:r>
    </w:p>
    <w:p>
      <w:pPr>
        <w:rPr>
          <w:rFonts w:ascii="Times New Roman" w:hAnsi="Times New Roman"/>
          <w:b/>
          <w:noProof/>
        </w:rPr>
      </w:pPr>
    </w:p>
    <w:p>
      <w:pPr>
        <w:rPr>
          <w:rFonts w:ascii="Times New Roman" w:hAnsi="Times New Roman"/>
          <w:b/>
          <w:noProof/>
        </w:rPr>
      </w:pPr>
      <w:r>
        <w:rPr>
          <w:rFonts w:ascii="Times New Roman" w:hAnsi="Times New Roman"/>
          <w:b/>
          <w:noProof/>
        </w:rPr>
        <w:t>2. papildinājums</w:t>
      </w:r>
    </w:p>
    <w:p>
      <w:pPr>
        <w:rPr>
          <w:rFonts w:ascii="Times New Roman" w:hAnsi="Times New Roman"/>
          <w:b/>
          <w:noProof/>
          <w:sz w:val="20"/>
          <w:szCs w:val="20"/>
        </w:rPr>
      </w:pPr>
      <w:r>
        <w:rPr>
          <w:rFonts w:ascii="Times New Roman" w:hAnsi="Times New Roman"/>
          <w:b/>
          <w:noProof/>
          <w:sz w:val="20"/>
          <w:szCs w:val="20"/>
        </w:rPr>
        <w:t>2.1. attēls. Solītāju skaits vispārīgo kvotu izsolēs no 2013. gada līdz 2019. gada 30. jūnijam</w:t>
      </w:r>
    </w:p>
    <w:p>
      <w:pPr>
        <w:spacing w:after="0"/>
        <w:rPr>
          <w:rFonts w:ascii="Times New Roman" w:hAnsi="Times New Roman"/>
          <w:b/>
          <w:noProof/>
          <w:color w:val="00B050"/>
          <w:sz w:val="24"/>
          <w:szCs w:val="24"/>
        </w:rPr>
      </w:pPr>
      <w:r>
        <w:rPr>
          <w:rFonts w:ascii="Times New Roman" w:hAnsi="Times New Roman"/>
          <w:b/>
          <w:noProof/>
          <w:color w:val="00B050"/>
          <w:lang w:val="en-GB" w:eastAsia="en-GB"/>
        </w:rPr>
        <w:drawing>
          <wp:inline distT="0" distB="0" distL="0" distR="0">
            <wp:extent cx="5908964" cy="296759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6383" cy="2976340"/>
                    </a:xfrm>
                    <a:prstGeom prst="rect">
                      <a:avLst/>
                    </a:prstGeom>
                    <a:noFill/>
                  </pic:spPr>
                </pic:pic>
              </a:graphicData>
            </a:graphic>
          </wp:inline>
        </w:drawing>
      </w:r>
    </w:p>
    <w:p>
      <w:pPr>
        <w:spacing w:after="0"/>
        <w:rPr>
          <w:rFonts w:ascii="Times New Roman" w:hAnsi="Times New Roman"/>
          <w:noProof/>
          <w:color w:val="000000" w:themeColor="text1"/>
          <w:sz w:val="18"/>
          <w:szCs w:val="18"/>
        </w:rPr>
      </w:pPr>
      <w:r>
        <w:rPr>
          <w:rFonts w:ascii="Times New Roman" w:hAnsi="Times New Roman"/>
          <w:noProof/>
          <w:sz w:val="18"/>
          <w:szCs w:val="18"/>
        </w:rPr>
        <w:t xml:space="preserve">Avots: </w:t>
      </w:r>
      <w:r>
        <w:rPr>
          <w:rFonts w:ascii="Times New Roman" w:hAnsi="Times New Roman"/>
          <w:i/>
          <w:noProof/>
          <w:sz w:val="18"/>
          <w:szCs w:val="18"/>
        </w:rPr>
        <w:t>EEX</w:t>
      </w:r>
      <w:r>
        <w:rPr>
          <w:rFonts w:ascii="Times New Roman" w:hAnsi="Times New Roman"/>
          <w:noProof/>
          <w:sz w:val="18"/>
          <w:szCs w:val="18"/>
        </w:rPr>
        <w:t>.</w:t>
      </w:r>
    </w:p>
    <w:p>
      <w:pPr>
        <w:rPr>
          <w:rFonts w:ascii="Times New Roman" w:hAnsi="Times New Roman"/>
          <w:b/>
          <w:noProof/>
        </w:rPr>
      </w:pPr>
      <w:r>
        <w:rPr>
          <w:rFonts w:ascii="Times New Roman" w:hAnsi="Times New Roman"/>
          <w:b/>
          <w:noProof/>
          <w:sz w:val="32"/>
          <w:szCs w:val="32"/>
        </w:rPr>
        <w:t>.</w:t>
      </w:r>
      <w:r>
        <w:rPr>
          <w:rFonts w:ascii="Times New Roman" w:hAnsi="Times New Roman"/>
          <w:b/>
          <w:noProof/>
          <w:sz w:val="20"/>
          <w:szCs w:val="20"/>
        </w:rPr>
        <w:t xml:space="preserve"> </w:t>
      </w:r>
      <w:r>
        <w:rPr>
          <w:rFonts w:ascii="Times New Roman" w:hAnsi="Times New Roman"/>
          <w:noProof/>
          <w:sz w:val="20"/>
          <w:szCs w:val="20"/>
        </w:rPr>
        <w:t>Solītāju skaits</w:t>
      </w:r>
      <w:r>
        <w:rPr>
          <w:rFonts w:ascii="Times New Roman" w:hAnsi="Times New Roman"/>
          <w:b/>
          <w:noProof/>
        </w:rPr>
        <w:t xml:space="preserve"> </w:t>
      </w:r>
    </w:p>
    <w:p>
      <w:pPr>
        <w:rPr>
          <w:rFonts w:ascii="Times New Roman" w:hAnsi="Times New Roman"/>
          <w:b/>
          <w:noProof/>
        </w:rPr>
      </w:pPr>
    </w:p>
    <w:p>
      <w:pPr>
        <w:rPr>
          <w:rFonts w:ascii="Times New Roman" w:hAnsi="Times New Roman"/>
          <w:b/>
          <w:noProof/>
          <w:sz w:val="20"/>
          <w:szCs w:val="20"/>
        </w:rPr>
      </w:pPr>
      <w:r>
        <w:rPr>
          <w:rFonts w:ascii="Times New Roman" w:hAnsi="Times New Roman"/>
          <w:noProof/>
        </w:rPr>
        <w:br w:type="page"/>
      </w:r>
    </w:p>
    <w:p>
      <w:pPr>
        <w:rPr>
          <w:rFonts w:ascii="Times New Roman" w:hAnsi="Times New Roman"/>
          <w:b/>
          <w:noProof/>
          <w:sz w:val="20"/>
          <w:szCs w:val="20"/>
        </w:rPr>
        <w:sectPr>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pgNumType w:start="1"/>
          <w:cols w:space="720"/>
          <w:docGrid w:linePitch="360"/>
        </w:sectPr>
      </w:pPr>
    </w:p>
    <w:p>
      <w:pPr>
        <w:rPr>
          <w:rFonts w:ascii="Times New Roman" w:hAnsi="Times New Roman"/>
          <w:b/>
          <w:noProof/>
          <w:sz w:val="20"/>
          <w:szCs w:val="20"/>
        </w:rPr>
      </w:pPr>
      <w:r>
        <w:rPr>
          <w:rFonts w:ascii="Times New Roman" w:hAnsi="Times New Roman"/>
          <w:b/>
          <w:noProof/>
          <w:sz w:val="20"/>
          <w:szCs w:val="20"/>
        </w:rPr>
        <w:t>2.1. tabula. Dalībvalstu no izsolēm gūtie ieņēmumi 2012.–2018. gadā</w:t>
      </w:r>
      <w:r>
        <w:rPr>
          <w:rStyle w:val="FootnoteReference"/>
          <w:rFonts w:ascii="Times New Roman" w:hAnsi="Times New Roman"/>
          <w:b/>
          <w:noProof/>
          <w:sz w:val="20"/>
          <w:szCs w:val="20"/>
        </w:rPr>
        <w:footnoteReference w:id="77"/>
      </w:r>
    </w:p>
    <w:tbl>
      <w:tblPr>
        <w:tblW w:w="14055" w:type="dxa"/>
        <w:tblInd w:w="-459" w:type="dxa"/>
        <w:tblLook w:val="04A0" w:firstRow="1" w:lastRow="0" w:firstColumn="1" w:lastColumn="0" w:noHBand="0" w:noVBand="1"/>
      </w:tblPr>
      <w:tblGrid>
        <w:gridCol w:w="877"/>
        <w:gridCol w:w="1043"/>
        <w:gridCol w:w="989"/>
        <w:gridCol w:w="1024"/>
        <w:gridCol w:w="930"/>
        <w:gridCol w:w="1024"/>
        <w:gridCol w:w="930"/>
        <w:gridCol w:w="1024"/>
        <w:gridCol w:w="930"/>
        <w:gridCol w:w="1024"/>
        <w:gridCol w:w="930"/>
        <w:gridCol w:w="1024"/>
        <w:gridCol w:w="930"/>
        <w:gridCol w:w="1024"/>
        <w:gridCol w:w="930"/>
      </w:tblGrid>
      <w:tr>
        <w:trPr>
          <w:trHeight w:val="319"/>
        </w:trPr>
        <w:tc>
          <w:tcPr>
            <w:tcW w:w="14055" w:type="dxa"/>
            <w:gridSpan w:val="15"/>
            <w:tcBorders>
              <w:top w:val="double" w:sz="6" w:space="0" w:color="auto"/>
              <w:left w:val="double" w:sz="6" w:space="0" w:color="auto"/>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 xml:space="preserve">                                        Ieņēmumi no emisijas kvotu izsolīšanas 2012.–2018. gadā (miljonos EUR)</w:t>
            </w:r>
          </w:p>
          <w:p>
            <w:pPr>
              <w:spacing w:after="0" w:line="240" w:lineRule="auto"/>
              <w:rPr>
                <w:rFonts w:ascii="Times New Roman" w:eastAsia="Times New Roman" w:hAnsi="Times New Roman"/>
                <w:noProof/>
                <w:color w:val="000000"/>
                <w:sz w:val="20"/>
                <w:szCs w:val="20"/>
              </w:rPr>
            </w:pPr>
            <w:r>
              <w:rPr>
                <w:rFonts w:ascii="Times New Roman" w:hAnsi="Times New Roman"/>
                <w:noProof/>
                <w:sz w:val="20"/>
                <w:szCs w:val="20"/>
              </w:rPr>
              <w:t> </w:t>
            </w:r>
          </w:p>
        </w:tc>
      </w:tr>
      <w:tr>
        <w:trPr>
          <w:trHeight w:val="315"/>
        </w:trPr>
        <w:tc>
          <w:tcPr>
            <w:tcW w:w="917" w:type="dxa"/>
            <w:tcBorders>
              <w:top w:val="nil"/>
              <w:left w:val="double" w:sz="6" w:space="0" w:color="auto"/>
              <w:bottom w:val="nil"/>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 </w:t>
            </w:r>
          </w:p>
        </w:tc>
        <w:tc>
          <w:tcPr>
            <w:tcW w:w="2129" w:type="dxa"/>
            <w:gridSpan w:val="2"/>
            <w:tcBorders>
              <w:top w:val="double" w:sz="6" w:space="0" w:color="auto"/>
              <w:left w:val="nil"/>
              <w:bottom w:val="double" w:sz="6" w:space="0" w:color="auto"/>
              <w:right w:val="double" w:sz="6" w:space="0" w:color="000000"/>
            </w:tcBorders>
            <w:shd w:val="clear" w:color="auto" w:fill="auto"/>
            <w:noWrap/>
            <w:vAlign w:val="bottom"/>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2012</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2013</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2014</w:t>
            </w:r>
          </w:p>
        </w:tc>
        <w:tc>
          <w:tcPr>
            <w:tcW w:w="1834" w:type="dxa"/>
            <w:gridSpan w:val="2"/>
            <w:tcBorders>
              <w:top w:val="double" w:sz="6" w:space="0" w:color="auto"/>
              <w:left w:val="nil"/>
              <w:bottom w:val="double" w:sz="6" w:space="0" w:color="auto"/>
              <w:right w:val="double" w:sz="6" w:space="0" w:color="000000"/>
            </w:tcBorders>
            <w:shd w:val="clear" w:color="auto" w:fill="auto"/>
            <w:noWrap/>
            <w:vAlign w:val="bottom"/>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2015</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2016</w:t>
            </w:r>
          </w:p>
        </w:tc>
        <w:tc>
          <w:tcPr>
            <w:tcW w:w="1834" w:type="dxa"/>
            <w:gridSpan w:val="2"/>
            <w:tcBorders>
              <w:top w:val="double" w:sz="6" w:space="0" w:color="auto"/>
              <w:left w:val="nil"/>
              <w:bottom w:val="double" w:sz="6" w:space="0" w:color="auto"/>
              <w:right w:val="double" w:sz="6" w:space="0" w:color="000000"/>
            </w:tcBorders>
            <w:shd w:val="clear" w:color="auto" w:fill="auto"/>
            <w:noWrap/>
            <w:vAlign w:val="bottom"/>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2017</w:t>
            </w:r>
          </w:p>
        </w:tc>
        <w:tc>
          <w:tcPr>
            <w:tcW w:w="1890" w:type="dxa"/>
            <w:gridSpan w:val="2"/>
            <w:tcBorders>
              <w:top w:val="double" w:sz="6" w:space="0" w:color="auto"/>
              <w:left w:val="nil"/>
              <w:bottom w:val="double" w:sz="6" w:space="0" w:color="auto"/>
              <w:right w:val="double" w:sz="6" w:space="0" w:color="000000"/>
            </w:tcBorders>
            <w:shd w:val="clear" w:color="auto" w:fill="auto"/>
            <w:noWrap/>
            <w:vAlign w:val="bottom"/>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bCs/>
                <w:noProof/>
                <w:sz w:val="20"/>
                <w:szCs w:val="20"/>
              </w:rPr>
              <w:t>2018</w:t>
            </w:r>
          </w:p>
        </w:tc>
      </w:tr>
      <w:tr>
        <w:trPr>
          <w:trHeight w:val="889"/>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 </w:t>
            </w:r>
          </w:p>
        </w:tc>
        <w:tc>
          <w:tcPr>
            <w:tcW w:w="1093" w:type="dxa"/>
            <w:tcBorders>
              <w:top w:val="nil"/>
              <w:left w:val="nil"/>
              <w:bottom w:val="double" w:sz="6" w:space="0" w:color="auto"/>
              <w:right w:val="double" w:sz="6" w:space="0" w:color="auto"/>
            </w:tcBorders>
            <w:shd w:val="clear" w:color="auto" w:fill="auto"/>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Vispārīgās (agrīnās izsoles)</w:t>
            </w:r>
          </w:p>
        </w:tc>
        <w:tc>
          <w:tcPr>
            <w:tcW w:w="1036" w:type="dxa"/>
            <w:tcBorders>
              <w:top w:val="nil"/>
              <w:left w:val="nil"/>
              <w:bottom w:val="double" w:sz="6" w:space="0" w:color="auto"/>
              <w:right w:val="double" w:sz="6" w:space="0" w:color="auto"/>
            </w:tcBorders>
            <w:shd w:val="clear" w:color="auto" w:fill="auto"/>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Aviācijas (agrīnās izsoles)</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 xml:space="preserve">Vispārīgās </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Aviācijas</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Vispārīgās</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Aviācijas</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Vispārīgās</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Aviācijas</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Vispārīgās</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Aviācijas</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Vispārīgās</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Aviācijas</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Vispārīgās</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sz w:val="20"/>
                <w:szCs w:val="20"/>
              </w:rPr>
              <w:t>Aviācijas</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AT</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11,05</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55,75</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52,17</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1,18</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76,24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2,36</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58,81</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0,65</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78,74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0,69</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208,20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2,16</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BE</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114,99</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95,03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2,05</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138,96</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2,69</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107,14</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0,74</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143,52</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0,79</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379,00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2,47</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BG</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22,14</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52,63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36,19</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0,22</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120,91</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0,91</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85,08</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0,25</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130,15</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0,27</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367,34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0,83</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CY</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1,58</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0,35</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0,43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0,30</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1,42</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0,39</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6,15</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0,41</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 xml:space="preserve">24,66 </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1,30</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HR</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86,40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0,49</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20,09</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0,16</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26,97</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0,18</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70,96</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0,55</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CZ</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55,24</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0,47</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110,30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1,20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117,63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0,33</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199,43</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0,35</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 xml:space="preserve">583,33 </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1,10</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DE</w:t>
            </w:r>
          </w:p>
        </w:tc>
        <w:tc>
          <w:tcPr>
            <w:tcW w:w="1093"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166,18</w:t>
            </w:r>
          </w:p>
        </w:tc>
        <w:tc>
          <w:tcPr>
            <w:tcW w:w="1036"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17,52</w:t>
            </w:r>
          </w:p>
        </w:tc>
        <w:tc>
          <w:tcPr>
            <w:tcW w:w="892"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791,25</w:t>
            </w:r>
          </w:p>
        </w:tc>
        <w:tc>
          <w:tcPr>
            <w:tcW w:w="925"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749,97</w:t>
            </w:r>
          </w:p>
        </w:tc>
        <w:tc>
          <w:tcPr>
            <w:tcW w:w="925"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910"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1093,31</w:t>
            </w:r>
          </w:p>
        </w:tc>
        <w:tc>
          <w:tcPr>
            <w:tcW w:w="924"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16,87</w:t>
            </w:r>
          </w:p>
        </w:tc>
        <w:tc>
          <w:tcPr>
            <w:tcW w:w="892"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845,74</w:t>
            </w:r>
          </w:p>
        </w:tc>
        <w:tc>
          <w:tcPr>
            <w:tcW w:w="925"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4,65</w:t>
            </w:r>
          </w:p>
        </w:tc>
        <w:tc>
          <w:tcPr>
            <w:tcW w:w="910"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1141,74</w:t>
            </w:r>
          </w:p>
        </w:tc>
        <w:tc>
          <w:tcPr>
            <w:tcW w:w="924"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5,07</w:t>
            </w:r>
          </w:p>
        </w:tc>
        <w:tc>
          <w:tcPr>
            <w:tcW w:w="966"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2565,34</w:t>
            </w:r>
          </w:p>
        </w:tc>
        <w:tc>
          <w:tcPr>
            <w:tcW w:w="924" w:type="dxa"/>
            <w:tcBorders>
              <w:top w:val="nil"/>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16,31</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DK</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1,07</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56,06</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46,93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1,16</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68,64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2,71</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52,93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0,74</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70,93</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0,79</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187,32</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2,48</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EE</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18,07</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7,41</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0,04</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21,13</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0,15</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23,57</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0,04</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39,31</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0,05</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139,89</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0,14</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EL</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14,84</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147,64</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129,97</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1,10</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190,17</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4,99</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146,68</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1,37</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196,57</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1,46</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518,96</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4,57</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ES</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68,53</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346,11</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323,53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6,56</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473,20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16,32</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364,97</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4,48</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488,78</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4,77</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1291,07</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14,97</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FI</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13,28</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66,97</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62,68</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0,81</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91,64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2,13</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70,63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0,58</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94,64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0,62</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249,84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1,96</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FR</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43,46</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219,25</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205,29</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10,05</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299,94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12,18</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231,34</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3,35</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309,85</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3,55</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818,40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11,16</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HU</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3,99</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34,59</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56,21</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0,29</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82,28</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0,99</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63,43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0,27</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84,94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0,29</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224,48</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0,91</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IE</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41,68</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35,11</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0,87</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51,32</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2,15</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39,54</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0,59</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52,93</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0,63</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140,10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1,97</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IT</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76,50</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385,98</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361,25</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5,24</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528,00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14,41</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407,23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3,96</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545,44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4,21</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1440,10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13,22</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LT</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3,29</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19,98</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17,28</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0,06</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28,13</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0,29</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20,76</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0,08</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31,43</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0,09</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80,11</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0,25</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LU</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0,74</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4,97</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4,52</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0,63</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6,62</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0,22</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5,08</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0,06</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6,81</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0,07</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18,09</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b/>
                <w:bCs/>
                <w:noProof/>
                <w:color w:val="000000"/>
                <w:sz w:val="20"/>
                <w:szCs w:val="20"/>
              </w:rPr>
            </w:pPr>
            <w:r>
              <w:rPr>
                <w:rFonts w:ascii="Times New Roman" w:hAnsi="Times New Roman"/>
                <w:b/>
                <w:bCs/>
                <w:noProof/>
                <w:sz w:val="20"/>
                <w:szCs w:val="20"/>
              </w:rPr>
              <w:t>0,20</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LV</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2,13</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10,79</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10,08</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0,14</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14,76</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0,53</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11,36</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0,15</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15,24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0,15</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40,20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0,49</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MT</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0,27</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4,47</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3,81</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0,10</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5,62</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0,57</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4,30</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0,16</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5,78</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0,17</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15,19</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0,52</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NL</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25,61</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134,24</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125,63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5,47</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183,57</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3,68</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141,59</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1,01</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189,63</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1,07</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500,84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3,37</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PL</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244,02</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78,01</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129,84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2,98</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135,57</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0,58</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505,31</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0,69</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1209,98</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1,59</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PT</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10,65</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72,78</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65,82</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1,27</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96,32</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2,89</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74,29</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0,79</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99,50</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0,85</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262,96</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2,65</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RO</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39,71</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122,74</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97,57</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0,32</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193,62</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1,60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193,56</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0,44</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260,29</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0,47</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717,64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1,45</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SE</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7,07</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35,67</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33,34</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1,02</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48,79</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3,63</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37,61</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1,00</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50,45</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1,06</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132,98</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3,34</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SI</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3,51</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17,74</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16,59</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0,05</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24,28</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0,14</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18,70</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0,04</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25,05</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0,04</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66,19</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0,12</w:t>
            </w:r>
          </w:p>
        </w:tc>
      </w:tr>
      <w:tr>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SK</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12,19</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61,70</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57,59</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0,04</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84,31</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0,20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64,99</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0,06</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87,01</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0,06</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229,74</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0,18</w:t>
            </w:r>
          </w:p>
        </w:tc>
      </w:tr>
      <w:tr>
        <w:trPr>
          <w:trHeight w:val="373"/>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UK</w:t>
            </w:r>
          </w:p>
        </w:tc>
        <w:tc>
          <w:tcPr>
            <w:tcW w:w="1093"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75,74</w:t>
            </w:r>
          </w:p>
        </w:tc>
        <w:tc>
          <w:tcPr>
            <w:tcW w:w="103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409,63</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387,42</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14,08</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567,72</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18,54</w:t>
            </w:r>
          </w:p>
        </w:tc>
        <w:tc>
          <w:tcPr>
            <w:tcW w:w="892"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418,96</w:t>
            </w:r>
          </w:p>
        </w:tc>
        <w:tc>
          <w:tcPr>
            <w:tcW w:w="925"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5,37</w:t>
            </w:r>
          </w:p>
        </w:tc>
        <w:tc>
          <w:tcPr>
            <w:tcW w:w="910"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604,02</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5,30</w:t>
            </w:r>
          </w:p>
        </w:tc>
        <w:tc>
          <w:tcPr>
            <w:tcW w:w="966"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1607,32</w:t>
            </w:r>
          </w:p>
        </w:tc>
        <w:tc>
          <w:tcPr>
            <w:tcW w:w="924" w:type="dxa"/>
            <w:tcBorders>
              <w:top w:val="nil"/>
              <w:left w:val="nil"/>
              <w:bottom w:val="double" w:sz="6" w:space="0" w:color="auto"/>
              <w:right w:val="double" w:sz="6" w:space="0" w:color="auto"/>
            </w:tcBorders>
            <w:shd w:val="clear" w:color="auto" w:fill="auto"/>
            <w:noWrap/>
            <w:vAlign w:val="bottom"/>
            <w:hideMark/>
          </w:tcPr>
          <w:p>
            <w:pPr>
              <w:spacing w:after="0" w:line="240" w:lineRule="auto"/>
              <w:jc w:val="right"/>
              <w:rPr>
                <w:rFonts w:ascii="Times New Roman" w:eastAsia="Times New Roman" w:hAnsi="Times New Roman"/>
                <w:noProof/>
                <w:color w:val="000000"/>
                <w:sz w:val="20"/>
                <w:szCs w:val="20"/>
              </w:rPr>
            </w:pPr>
            <w:r>
              <w:rPr>
                <w:rFonts w:ascii="Times New Roman" w:hAnsi="Times New Roman"/>
                <w:noProof/>
                <w:sz w:val="20"/>
                <w:szCs w:val="20"/>
              </w:rPr>
              <w:t>0,00</w:t>
            </w:r>
          </w:p>
        </w:tc>
      </w:tr>
      <w:tr>
        <w:trPr>
          <w:trHeight w:val="315"/>
        </w:trPr>
        <w:tc>
          <w:tcPr>
            <w:tcW w:w="917" w:type="dxa"/>
            <w:tcBorders>
              <w:top w:val="double" w:sz="4" w:space="0" w:color="auto"/>
              <w:left w:val="double" w:sz="6" w:space="0" w:color="auto"/>
              <w:bottom w:val="double" w:sz="6" w:space="0" w:color="auto"/>
              <w:right w:val="double" w:sz="6" w:space="0" w:color="auto"/>
            </w:tcBorders>
            <w:shd w:val="clear" w:color="auto" w:fill="auto"/>
            <w:noWrap/>
            <w:vAlign w:val="bottom"/>
          </w:tcPr>
          <w:p>
            <w:pPr>
              <w:spacing w:after="0" w:line="240" w:lineRule="auto"/>
              <w:rPr>
                <w:rFonts w:ascii="Times New Roman" w:eastAsia="Times New Roman" w:hAnsi="Times New Roman"/>
                <w:b/>
                <w:bCs/>
                <w:noProof/>
                <w:color w:val="000000"/>
                <w:sz w:val="20"/>
                <w:szCs w:val="20"/>
              </w:rPr>
            </w:pPr>
            <w:r>
              <w:rPr>
                <w:rFonts w:ascii="Times New Roman" w:hAnsi="Times New Roman"/>
                <w:b/>
                <w:bCs/>
                <w:noProof/>
                <w:sz w:val="20"/>
                <w:szCs w:val="20"/>
              </w:rPr>
              <w:t>KOPĀ</w:t>
            </w:r>
          </w:p>
        </w:tc>
        <w:tc>
          <w:tcPr>
            <w:tcW w:w="1093"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603,52</w:t>
            </w:r>
          </w:p>
        </w:tc>
        <w:tc>
          <w:tcPr>
            <w:tcW w:w="1036"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17,53</w:t>
            </w:r>
          </w:p>
        </w:tc>
        <w:tc>
          <w:tcPr>
            <w:tcW w:w="892"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3550,73</w:t>
            </w:r>
          </w:p>
        </w:tc>
        <w:tc>
          <w:tcPr>
            <w:tcW w:w="925"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0,00</w:t>
            </w:r>
          </w:p>
        </w:tc>
        <w:tc>
          <w:tcPr>
            <w:tcW w:w="892"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3115,11</w:t>
            </w:r>
          </w:p>
        </w:tc>
        <w:tc>
          <w:tcPr>
            <w:tcW w:w="925"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53,53</w:t>
            </w:r>
          </w:p>
        </w:tc>
        <w:tc>
          <w:tcPr>
            <w:tcW w:w="910"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4815,97</w:t>
            </w:r>
          </w:p>
        </w:tc>
        <w:tc>
          <w:tcPr>
            <w:tcW w:w="924"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117,26</w:t>
            </w:r>
          </w:p>
        </w:tc>
        <w:tc>
          <w:tcPr>
            <w:tcW w:w="892"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3761,57</w:t>
            </w:r>
          </w:p>
        </w:tc>
        <w:tc>
          <w:tcPr>
            <w:tcW w:w="925"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32,28</w:t>
            </w:r>
          </w:p>
        </w:tc>
        <w:tc>
          <w:tcPr>
            <w:tcW w:w="910"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5490,60</w:t>
            </w:r>
          </w:p>
        </w:tc>
        <w:tc>
          <w:tcPr>
            <w:tcW w:w="924"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34,14</w:t>
            </w:r>
          </w:p>
        </w:tc>
        <w:tc>
          <w:tcPr>
            <w:tcW w:w="966"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14 090,23</w:t>
            </w:r>
          </w:p>
        </w:tc>
        <w:tc>
          <w:tcPr>
            <w:tcW w:w="924" w:type="dxa"/>
            <w:tcBorders>
              <w:top w:val="double" w:sz="4" w:space="0" w:color="auto"/>
              <w:left w:val="nil"/>
              <w:bottom w:val="double" w:sz="6" w:space="0" w:color="auto"/>
              <w:right w:val="double" w:sz="6" w:space="0" w:color="auto"/>
            </w:tcBorders>
            <w:shd w:val="clear" w:color="auto" w:fill="auto"/>
            <w:noWrap/>
            <w:vAlign w:val="bottom"/>
          </w:tcPr>
          <w:p>
            <w:pPr>
              <w:spacing w:after="0" w:line="240" w:lineRule="auto"/>
              <w:jc w:val="right"/>
              <w:rPr>
                <w:rFonts w:ascii="Times New Roman" w:eastAsia="Times New Roman" w:hAnsi="Times New Roman"/>
                <w:b/>
                <w:noProof/>
                <w:color w:val="000000"/>
                <w:sz w:val="20"/>
                <w:szCs w:val="20"/>
              </w:rPr>
            </w:pPr>
            <w:r>
              <w:rPr>
                <w:rFonts w:ascii="Times New Roman" w:hAnsi="Times New Roman"/>
                <w:b/>
                <w:noProof/>
                <w:sz w:val="20"/>
                <w:szCs w:val="20"/>
              </w:rPr>
              <w:t>90,27</w:t>
            </w:r>
          </w:p>
        </w:tc>
      </w:tr>
    </w:tbl>
    <w:p>
      <w:pPr>
        <w:rPr>
          <w:rFonts w:ascii="Times New Roman" w:hAnsi="Times New Roman"/>
          <w:b/>
          <w:noProof/>
        </w:rPr>
        <w:sectPr>
          <w:headerReference w:type="even" r:id="rId30"/>
          <w:headerReference w:type="default" r:id="rId31"/>
          <w:footerReference w:type="even" r:id="rId32"/>
          <w:footerReference w:type="default" r:id="rId33"/>
          <w:headerReference w:type="first" r:id="rId34"/>
          <w:footerReference w:type="first" r:id="rId35"/>
          <w:pgSz w:w="16838" w:h="11906" w:orient="landscape"/>
          <w:pgMar w:top="1440" w:right="1440" w:bottom="1440" w:left="1440" w:header="709" w:footer="709" w:gutter="0"/>
          <w:cols w:space="720"/>
          <w:docGrid w:linePitch="360"/>
        </w:sectPr>
      </w:pPr>
    </w:p>
    <w:p>
      <w:pPr>
        <w:rPr>
          <w:rFonts w:ascii="Times New Roman" w:hAnsi="Times New Roman"/>
          <w:b/>
          <w:noProof/>
        </w:rPr>
      </w:pPr>
      <w:r>
        <w:rPr>
          <w:rFonts w:ascii="Times New Roman" w:hAnsi="Times New Roman"/>
          <w:b/>
          <w:noProof/>
        </w:rPr>
        <w:t>3. papildinājums</w:t>
      </w:r>
    </w:p>
    <w:p>
      <w:pPr>
        <w:rPr>
          <w:rFonts w:ascii="Times New Roman" w:hAnsi="Times New Roman"/>
          <w:b/>
          <w:noProof/>
          <w:sz w:val="20"/>
          <w:szCs w:val="20"/>
        </w:rPr>
      </w:pPr>
      <w:r>
        <w:rPr>
          <w:rFonts w:ascii="Times New Roman" w:hAnsi="Times New Roman"/>
          <w:b/>
          <w:noProof/>
          <w:sz w:val="20"/>
          <w:szCs w:val="20"/>
        </w:rPr>
        <w:t>3.1. tabula. Kopsavilkums par starptautisko kredītu apmaiņu līdz 2019. gada jūnija beigām</w:t>
      </w:r>
      <w:r>
        <w:rPr>
          <w:rStyle w:val="FootnoteReference"/>
          <w:rFonts w:ascii="Times New Roman" w:hAnsi="Times New Roman"/>
          <w:b/>
          <w:noProof/>
          <w:sz w:val="20"/>
          <w:szCs w:val="20"/>
        </w:rPr>
        <w:footnoteReference w:id="78"/>
      </w:r>
    </w:p>
    <w:tbl>
      <w:tblPr>
        <w:tblW w:w="4957"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86"/>
        <w:gridCol w:w="1397"/>
        <w:gridCol w:w="1547"/>
        <w:gridCol w:w="1635"/>
        <w:gridCol w:w="1455"/>
        <w:gridCol w:w="1543"/>
      </w:tblGrid>
      <w:tr>
        <w:trPr>
          <w:trHeight w:val="238"/>
        </w:trPr>
        <w:tc>
          <w:tcPr>
            <w:tcW w:w="865" w:type="pct"/>
            <w:shd w:val="clear" w:color="auto" w:fill="auto"/>
            <w:noWrap/>
            <w:hideMark/>
          </w:tcPr>
          <w:p>
            <w:pPr>
              <w:spacing w:after="0" w:line="240" w:lineRule="auto"/>
              <w:ind w:right="57"/>
              <w:rPr>
                <w:rFonts w:ascii="Times New Roman" w:eastAsia="Times New Roman" w:hAnsi="Times New Roman"/>
                <w:b/>
                <w:bCs/>
                <w:noProof/>
                <w:color w:val="000000"/>
                <w:sz w:val="20"/>
                <w:szCs w:val="20"/>
              </w:rPr>
            </w:pPr>
            <w:r>
              <w:rPr>
                <w:rFonts w:ascii="Times New Roman" w:hAnsi="Times New Roman"/>
                <w:b/>
                <w:noProof/>
                <w:sz w:val="20"/>
                <w:szCs w:val="20"/>
              </w:rPr>
              <w:t>Līdz 2019. gada jūnija beigām apmainītie starptautiskie kredīti</w:t>
            </w:r>
          </w:p>
        </w:tc>
        <w:tc>
          <w:tcPr>
            <w:tcW w:w="762" w:type="pct"/>
            <w:shd w:val="clear" w:color="auto" w:fill="auto"/>
            <w:noWrap/>
            <w:hideMark/>
          </w:tcPr>
          <w:p>
            <w:pPr>
              <w:spacing w:after="0" w:line="240" w:lineRule="auto"/>
              <w:ind w:right="57"/>
              <w:jc w:val="center"/>
              <w:rPr>
                <w:rFonts w:ascii="Times New Roman" w:eastAsia="Times New Roman" w:hAnsi="Times New Roman"/>
                <w:b/>
                <w:bCs/>
                <w:noProof/>
                <w:color w:val="000000"/>
                <w:sz w:val="20"/>
                <w:szCs w:val="20"/>
              </w:rPr>
            </w:pPr>
            <w:r>
              <w:rPr>
                <w:rFonts w:ascii="Times New Roman" w:hAnsi="Times New Roman"/>
                <w:b/>
                <w:noProof/>
                <w:sz w:val="20"/>
                <w:szCs w:val="20"/>
              </w:rPr>
              <w:t>miljoni</w:t>
            </w:r>
          </w:p>
        </w:tc>
        <w:tc>
          <w:tcPr>
            <w:tcW w:w="844" w:type="pct"/>
            <w:shd w:val="clear" w:color="auto" w:fill="auto"/>
            <w:noWrap/>
            <w:hideMark/>
          </w:tcPr>
          <w:p>
            <w:pPr>
              <w:spacing w:after="0" w:line="240" w:lineRule="auto"/>
              <w:ind w:right="57"/>
              <w:jc w:val="center"/>
              <w:rPr>
                <w:rFonts w:ascii="Times New Roman" w:eastAsia="Times New Roman" w:hAnsi="Times New Roman"/>
                <w:b/>
                <w:bCs/>
                <w:noProof/>
                <w:color w:val="000000"/>
                <w:sz w:val="20"/>
                <w:szCs w:val="20"/>
              </w:rPr>
            </w:pPr>
            <w:r>
              <w:rPr>
                <w:rFonts w:ascii="Times New Roman" w:hAnsi="Times New Roman"/>
                <w:b/>
                <w:noProof/>
                <w:sz w:val="20"/>
                <w:szCs w:val="20"/>
              </w:rPr>
              <w:t>procenti</w:t>
            </w:r>
          </w:p>
        </w:tc>
        <w:tc>
          <w:tcPr>
            <w:tcW w:w="892" w:type="pct"/>
            <w:shd w:val="clear" w:color="auto" w:fill="auto"/>
            <w:noWrap/>
            <w:hideMark/>
          </w:tcPr>
          <w:p>
            <w:pPr>
              <w:spacing w:after="0" w:line="240" w:lineRule="auto"/>
              <w:ind w:right="57"/>
              <w:jc w:val="center"/>
              <w:rPr>
                <w:rFonts w:ascii="Times New Roman" w:eastAsia="Times New Roman" w:hAnsi="Times New Roman"/>
                <w:b/>
                <w:noProof/>
                <w:color w:val="000000"/>
                <w:sz w:val="20"/>
                <w:szCs w:val="20"/>
              </w:rPr>
            </w:pPr>
            <w:r>
              <w:rPr>
                <w:rFonts w:ascii="Times New Roman" w:hAnsi="Times New Roman"/>
                <w:b/>
                <w:noProof/>
                <w:sz w:val="20"/>
                <w:szCs w:val="20"/>
              </w:rPr>
              <w:t>Līdz 2019. gada jūnija beigām apmainītie starptautiskie kredīti</w:t>
            </w:r>
          </w:p>
        </w:tc>
        <w:tc>
          <w:tcPr>
            <w:tcW w:w="794" w:type="pct"/>
            <w:shd w:val="clear" w:color="auto" w:fill="auto"/>
            <w:noWrap/>
            <w:hideMark/>
          </w:tcPr>
          <w:p>
            <w:pPr>
              <w:spacing w:after="0" w:line="240" w:lineRule="auto"/>
              <w:ind w:right="57"/>
              <w:jc w:val="center"/>
              <w:rPr>
                <w:rFonts w:ascii="Times New Roman" w:eastAsia="Times New Roman" w:hAnsi="Times New Roman"/>
                <w:b/>
                <w:noProof/>
                <w:color w:val="000000"/>
                <w:sz w:val="20"/>
                <w:szCs w:val="20"/>
              </w:rPr>
            </w:pPr>
            <w:r>
              <w:rPr>
                <w:rFonts w:ascii="Times New Roman" w:hAnsi="Times New Roman"/>
                <w:b/>
                <w:noProof/>
                <w:sz w:val="20"/>
                <w:szCs w:val="20"/>
              </w:rPr>
              <w:t>miljoni</w:t>
            </w:r>
          </w:p>
        </w:tc>
        <w:tc>
          <w:tcPr>
            <w:tcW w:w="842" w:type="pct"/>
            <w:shd w:val="clear" w:color="auto" w:fill="auto"/>
            <w:noWrap/>
            <w:hideMark/>
          </w:tcPr>
          <w:p>
            <w:pPr>
              <w:spacing w:after="0" w:line="240" w:lineRule="auto"/>
              <w:ind w:right="57"/>
              <w:jc w:val="center"/>
              <w:rPr>
                <w:rFonts w:ascii="Times New Roman" w:eastAsia="Times New Roman" w:hAnsi="Times New Roman"/>
                <w:b/>
                <w:noProof/>
                <w:color w:val="000000"/>
                <w:sz w:val="20"/>
                <w:szCs w:val="20"/>
              </w:rPr>
            </w:pPr>
            <w:r>
              <w:rPr>
                <w:rFonts w:ascii="Times New Roman" w:hAnsi="Times New Roman"/>
                <w:b/>
                <w:noProof/>
                <w:sz w:val="20"/>
                <w:szCs w:val="20"/>
              </w:rPr>
              <w:t>procenti</w:t>
            </w:r>
          </w:p>
        </w:tc>
      </w:tr>
      <w:tr>
        <w:trPr>
          <w:trHeight w:val="238"/>
        </w:trPr>
        <w:tc>
          <w:tcPr>
            <w:tcW w:w="865" w:type="pct"/>
            <w:shd w:val="clear" w:color="auto" w:fill="auto"/>
            <w:noWrap/>
            <w:hideMark/>
          </w:tcPr>
          <w:p>
            <w:pPr>
              <w:spacing w:after="120" w:line="240" w:lineRule="auto"/>
              <w:ind w:right="57"/>
              <w:rPr>
                <w:rFonts w:ascii="Times New Roman" w:eastAsia="Times New Roman" w:hAnsi="Times New Roman"/>
                <w:b/>
                <w:bCs/>
                <w:noProof/>
                <w:color w:val="000000"/>
                <w:sz w:val="20"/>
                <w:szCs w:val="20"/>
              </w:rPr>
            </w:pPr>
            <w:r>
              <w:rPr>
                <w:rFonts w:ascii="Times New Roman" w:hAnsi="Times New Roman"/>
                <w:b/>
                <w:i/>
                <w:noProof/>
                <w:sz w:val="20"/>
                <w:szCs w:val="20"/>
              </w:rPr>
              <w:t>CER</w:t>
            </w:r>
          </w:p>
        </w:tc>
        <w:tc>
          <w:tcPr>
            <w:tcW w:w="762" w:type="pct"/>
            <w:shd w:val="clear" w:color="auto" w:fill="auto"/>
            <w:noWrap/>
            <w:hideMark/>
          </w:tcPr>
          <w:p>
            <w:pPr>
              <w:spacing w:after="120" w:line="240" w:lineRule="auto"/>
              <w:ind w:right="57"/>
              <w:jc w:val="center"/>
              <w:rPr>
                <w:rFonts w:ascii="Times New Roman" w:eastAsia="Times New Roman" w:hAnsi="Times New Roman"/>
                <w:b/>
                <w:bCs/>
                <w:noProof/>
                <w:color w:val="000000"/>
                <w:sz w:val="20"/>
                <w:szCs w:val="20"/>
              </w:rPr>
            </w:pPr>
            <w:r>
              <w:rPr>
                <w:rFonts w:ascii="Times New Roman" w:hAnsi="Times New Roman"/>
                <w:b/>
                <w:noProof/>
                <w:sz w:val="20"/>
                <w:szCs w:val="20"/>
              </w:rPr>
              <w:t xml:space="preserve"> 261,42</w:t>
            </w:r>
          </w:p>
        </w:tc>
        <w:tc>
          <w:tcPr>
            <w:tcW w:w="844" w:type="pct"/>
            <w:shd w:val="clear" w:color="auto" w:fill="auto"/>
            <w:noWrap/>
            <w:hideMark/>
          </w:tcPr>
          <w:p>
            <w:pPr>
              <w:spacing w:after="120"/>
              <w:jc w:val="center"/>
              <w:rPr>
                <w:rFonts w:ascii="Times New Roman" w:hAnsi="Times New Roman"/>
                <w:b/>
                <w:noProof/>
                <w:sz w:val="20"/>
                <w:szCs w:val="20"/>
              </w:rPr>
            </w:pPr>
            <w:r>
              <w:rPr>
                <w:rFonts w:ascii="Times New Roman" w:hAnsi="Times New Roman"/>
                <w:b/>
                <w:noProof/>
                <w:sz w:val="20"/>
                <w:szCs w:val="20"/>
              </w:rPr>
              <w:t>57,65 %</w:t>
            </w:r>
          </w:p>
        </w:tc>
        <w:tc>
          <w:tcPr>
            <w:tcW w:w="89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b/>
                <w:i/>
                <w:noProof/>
                <w:sz w:val="20"/>
                <w:szCs w:val="20"/>
              </w:rPr>
              <w:t>ERU</w:t>
            </w:r>
          </w:p>
        </w:tc>
        <w:tc>
          <w:tcPr>
            <w:tcW w:w="794"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b/>
                <w:noProof/>
                <w:sz w:val="20"/>
                <w:szCs w:val="20"/>
              </w:rPr>
              <w:t>192,07</w:t>
            </w:r>
          </w:p>
        </w:tc>
        <w:tc>
          <w:tcPr>
            <w:tcW w:w="84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b/>
                <w:noProof/>
                <w:sz w:val="20"/>
                <w:szCs w:val="20"/>
              </w:rPr>
              <w:t>42,35 %</w:t>
            </w:r>
          </w:p>
        </w:tc>
      </w:tr>
      <w:tr>
        <w:trPr>
          <w:trHeight w:val="229"/>
        </w:trPr>
        <w:tc>
          <w:tcPr>
            <w:tcW w:w="865"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Ķīna</w:t>
            </w:r>
          </w:p>
        </w:tc>
        <w:tc>
          <w:tcPr>
            <w:tcW w:w="762" w:type="pct"/>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szCs w:val="20"/>
              </w:rPr>
              <w:t xml:space="preserve">195,20 </w:t>
            </w:r>
          </w:p>
        </w:tc>
        <w:tc>
          <w:tcPr>
            <w:tcW w:w="844" w:type="pct"/>
            <w:shd w:val="clear" w:color="auto" w:fill="auto"/>
            <w:noWrap/>
          </w:tcPr>
          <w:p>
            <w:pPr>
              <w:spacing w:after="120"/>
              <w:jc w:val="center"/>
              <w:rPr>
                <w:rFonts w:ascii="Times New Roman" w:hAnsi="Times New Roman"/>
                <w:noProof/>
                <w:sz w:val="20"/>
                <w:szCs w:val="20"/>
              </w:rPr>
            </w:pPr>
            <w:r>
              <w:rPr>
                <w:rFonts w:ascii="Times New Roman" w:hAnsi="Times New Roman"/>
                <w:noProof/>
                <w:sz w:val="20"/>
                <w:szCs w:val="20"/>
              </w:rPr>
              <w:t xml:space="preserve">74,67 </w:t>
            </w:r>
          </w:p>
        </w:tc>
        <w:tc>
          <w:tcPr>
            <w:tcW w:w="89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Ukraina</w:t>
            </w:r>
          </w:p>
        </w:tc>
        <w:tc>
          <w:tcPr>
            <w:tcW w:w="794"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147,69</w:t>
            </w:r>
          </w:p>
        </w:tc>
        <w:tc>
          <w:tcPr>
            <w:tcW w:w="84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76,89 %</w:t>
            </w:r>
          </w:p>
        </w:tc>
      </w:tr>
      <w:tr>
        <w:trPr>
          <w:trHeight w:val="249"/>
        </w:trPr>
        <w:tc>
          <w:tcPr>
            <w:tcW w:w="865"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Indija</w:t>
            </w:r>
          </w:p>
        </w:tc>
        <w:tc>
          <w:tcPr>
            <w:tcW w:w="762" w:type="pct"/>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szCs w:val="20"/>
              </w:rPr>
              <w:t xml:space="preserve">17,27 </w:t>
            </w:r>
          </w:p>
        </w:tc>
        <w:tc>
          <w:tcPr>
            <w:tcW w:w="844" w:type="pct"/>
            <w:shd w:val="clear" w:color="auto" w:fill="auto"/>
            <w:noWrap/>
          </w:tcPr>
          <w:p>
            <w:pPr>
              <w:spacing w:after="120"/>
              <w:jc w:val="center"/>
              <w:rPr>
                <w:rFonts w:ascii="Times New Roman" w:hAnsi="Times New Roman"/>
                <w:noProof/>
                <w:sz w:val="20"/>
                <w:szCs w:val="20"/>
              </w:rPr>
            </w:pPr>
            <w:r>
              <w:rPr>
                <w:rFonts w:ascii="Times New Roman" w:hAnsi="Times New Roman"/>
                <w:noProof/>
                <w:sz w:val="20"/>
                <w:szCs w:val="20"/>
              </w:rPr>
              <w:t xml:space="preserve">6,61 </w:t>
            </w:r>
          </w:p>
        </w:tc>
        <w:tc>
          <w:tcPr>
            <w:tcW w:w="89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Krievija</w:t>
            </w:r>
          </w:p>
        </w:tc>
        <w:tc>
          <w:tcPr>
            <w:tcW w:w="794"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32,06</w:t>
            </w:r>
          </w:p>
        </w:tc>
        <w:tc>
          <w:tcPr>
            <w:tcW w:w="84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16,69 %</w:t>
            </w:r>
          </w:p>
        </w:tc>
      </w:tr>
      <w:tr>
        <w:trPr>
          <w:trHeight w:val="249"/>
        </w:trPr>
        <w:tc>
          <w:tcPr>
            <w:tcW w:w="865"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Uzbekistāna</w:t>
            </w:r>
          </w:p>
        </w:tc>
        <w:tc>
          <w:tcPr>
            <w:tcW w:w="762" w:type="pct"/>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szCs w:val="20"/>
              </w:rPr>
              <w:t xml:space="preserve">9,89 </w:t>
            </w:r>
          </w:p>
        </w:tc>
        <w:tc>
          <w:tcPr>
            <w:tcW w:w="844" w:type="pct"/>
            <w:shd w:val="clear" w:color="auto" w:fill="auto"/>
            <w:noWrap/>
          </w:tcPr>
          <w:p>
            <w:pPr>
              <w:spacing w:after="120"/>
              <w:jc w:val="center"/>
              <w:rPr>
                <w:rFonts w:ascii="Times New Roman" w:hAnsi="Times New Roman"/>
                <w:noProof/>
                <w:sz w:val="20"/>
                <w:szCs w:val="20"/>
              </w:rPr>
            </w:pPr>
            <w:r>
              <w:rPr>
                <w:rFonts w:ascii="Times New Roman" w:hAnsi="Times New Roman"/>
                <w:noProof/>
                <w:sz w:val="20"/>
                <w:szCs w:val="20"/>
              </w:rPr>
              <w:t xml:space="preserve">3,79 </w:t>
            </w:r>
          </w:p>
        </w:tc>
        <w:tc>
          <w:tcPr>
            <w:tcW w:w="89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Polija</w:t>
            </w:r>
          </w:p>
        </w:tc>
        <w:tc>
          <w:tcPr>
            <w:tcW w:w="794"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2,82</w:t>
            </w:r>
          </w:p>
        </w:tc>
        <w:tc>
          <w:tcPr>
            <w:tcW w:w="84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1,46 %</w:t>
            </w:r>
          </w:p>
        </w:tc>
      </w:tr>
      <w:tr>
        <w:trPr>
          <w:trHeight w:val="249"/>
        </w:trPr>
        <w:tc>
          <w:tcPr>
            <w:tcW w:w="865"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Brazīlija</w:t>
            </w:r>
          </w:p>
        </w:tc>
        <w:tc>
          <w:tcPr>
            <w:tcW w:w="762" w:type="pct"/>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szCs w:val="20"/>
              </w:rPr>
              <w:t xml:space="preserve">5,43 </w:t>
            </w:r>
          </w:p>
        </w:tc>
        <w:tc>
          <w:tcPr>
            <w:tcW w:w="844" w:type="pct"/>
            <w:shd w:val="clear" w:color="auto" w:fill="auto"/>
            <w:noWrap/>
          </w:tcPr>
          <w:p>
            <w:pPr>
              <w:spacing w:after="120"/>
              <w:jc w:val="center"/>
              <w:rPr>
                <w:rFonts w:ascii="Times New Roman" w:hAnsi="Times New Roman"/>
                <w:noProof/>
                <w:sz w:val="20"/>
                <w:szCs w:val="20"/>
              </w:rPr>
            </w:pPr>
            <w:r>
              <w:rPr>
                <w:rFonts w:ascii="Times New Roman" w:hAnsi="Times New Roman"/>
                <w:noProof/>
                <w:sz w:val="20"/>
                <w:szCs w:val="20"/>
              </w:rPr>
              <w:t xml:space="preserve">2,08 </w:t>
            </w:r>
          </w:p>
        </w:tc>
        <w:tc>
          <w:tcPr>
            <w:tcW w:w="89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Vācija</w:t>
            </w:r>
          </w:p>
        </w:tc>
        <w:tc>
          <w:tcPr>
            <w:tcW w:w="794"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1,65</w:t>
            </w:r>
          </w:p>
        </w:tc>
        <w:tc>
          <w:tcPr>
            <w:tcW w:w="84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0,85 %</w:t>
            </w:r>
          </w:p>
        </w:tc>
      </w:tr>
      <w:tr>
        <w:trPr>
          <w:trHeight w:val="249"/>
        </w:trPr>
        <w:tc>
          <w:tcPr>
            <w:tcW w:w="865"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Čīle</w:t>
            </w:r>
          </w:p>
        </w:tc>
        <w:tc>
          <w:tcPr>
            <w:tcW w:w="762" w:type="pct"/>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szCs w:val="20"/>
              </w:rPr>
              <w:t>3,16</w:t>
            </w:r>
          </w:p>
        </w:tc>
        <w:tc>
          <w:tcPr>
            <w:tcW w:w="844" w:type="pct"/>
            <w:shd w:val="clear" w:color="auto" w:fill="auto"/>
            <w:noWrap/>
          </w:tcPr>
          <w:p>
            <w:pPr>
              <w:spacing w:after="120"/>
              <w:jc w:val="center"/>
              <w:rPr>
                <w:rFonts w:ascii="Times New Roman" w:hAnsi="Times New Roman"/>
                <w:noProof/>
                <w:sz w:val="20"/>
                <w:szCs w:val="20"/>
              </w:rPr>
            </w:pPr>
            <w:r>
              <w:rPr>
                <w:rFonts w:ascii="Times New Roman" w:hAnsi="Times New Roman"/>
                <w:noProof/>
                <w:sz w:val="20"/>
                <w:szCs w:val="20"/>
              </w:rPr>
              <w:t xml:space="preserve">1,21 </w:t>
            </w:r>
          </w:p>
        </w:tc>
        <w:tc>
          <w:tcPr>
            <w:tcW w:w="89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Francija</w:t>
            </w:r>
          </w:p>
        </w:tc>
        <w:tc>
          <w:tcPr>
            <w:tcW w:w="794"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1,24</w:t>
            </w:r>
          </w:p>
        </w:tc>
        <w:tc>
          <w:tcPr>
            <w:tcW w:w="84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0,64 %</w:t>
            </w:r>
          </w:p>
        </w:tc>
      </w:tr>
      <w:tr>
        <w:trPr>
          <w:trHeight w:val="249"/>
        </w:trPr>
        <w:tc>
          <w:tcPr>
            <w:tcW w:w="865"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Koreja</w:t>
            </w:r>
          </w:p>
        </w:tc>
        <w:tc>
          <w:tcPr>
            <w:tcW w:w="762" w:type="pct"/>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szCs w:val="20"/>
              </w:rPr>
              <w:t>2,93</w:t>
            </w:r>
          </w:p>
        </w:tc>
        <w:tc>
          <w:tcPr>
            <w:tcW w:w="844" w:type="pct"/>
            <w:shd w:val="clear" w:color="auto" w:fill="auto"/>
            <w:noWrap/>
          </w:tcPr>
          <w:p>
            <w:pPr>
              <w:spacing w:after="120"/>
              <w:jc w:val="center"/>
              <w:rPr>
                <w:rFonts w:ascii="Times New Roman" w:hAnsi="Times New Roman"/>
                <w:noProof/>
                <w:sz w:val="20"/>
                <w:szCs w:val="20"/>
              </w:rPr>
            </w:pPr>
            <w:r>
              <w:rPr>
                <w:rFonts w:ascii="Times New Roman" w:hAnsi="Times New Roman"/>
                <w:noProof/>
                <w:sz w:val="20"/>
                <w:szCs w:val="20"/>
              </w:rPr>
              <w:t xml:space="preserve">1,12 </w:t>
            </w:r>
          </w:p>
        </w:tc>
        <w:tc>
          <w:tcPr>
            <w:tcW w:w="89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Bulgārija</w:t>
            </w:r>
          </w:p>
        </w:tc>
        <w:tc>
          <w:tcPr>
            <w:tcW w:w="794"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0,50</w:t>
            </w:r>
          </w:p>
        </w:tc>
        <w:tc>
          <w:tcPr>
            <w:tcW w:w="84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0,26 %</w:t>
            </w:r>
          </w:p>
        </w:tc>
      </w:tr>
      <w:tr>
        <w:trPr>
          <w:trHeight w:val="260"/>
        </w:trPr>
        <w:tc>
          <w:tcPr>
            <w:tcW w:w="865"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Meksika</w:t>
            </w:r>
          </w:p>
        </w:tc>
        <w:tc>
          <w:tcPr>
            <w:tcW w:w="762" w:type="pct"/>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szCs w:val="20"/>
              </w:rPr>
              <w:t xml:space="preserve">2,89 </w:t>
            </w:r>
          </w:p>
        </w:tc>
        <w:tc>
          <w:tcPr>
            <w:tcW w:w="844" w:type="pct"/>
            <w:shd w:val="clear" w:color="auto" w:fill="auto"/>
            <w:noWrap/>
          </w:tcPr>
          <w:p>
            <w:pPr>
              <w:spacing w:after="120"/>
              <w:jc w:val="center"/>
              <w:rPr>
                <w:rFonts w:ascii="Times New Roman" w:hAnsi="Times New Roman"/>
                <w:noProof/>
                <w:sz w:val="20"/>
                <w:szCs w:val="20"/>
              </w:rPr>
            </w:pPr>
            <w:r>
              <w:rPr>
                <w:rFonts w:ascii="Times New Roman" w:hAnsi="Times New Roman"/>
                <w:noProof/>
                <w:sz w:val="20"/>
                <w:szCs w:val="20"/>
              </w:rPr>
              <w:t xml:space="preserve">1,10 </w:t>
            </w:r>
          </w:p>
        </w:tc>
        <w:tc>
          <w:tcPr>
            <w:tcW w:w="89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Citi</w:t>
            </w:r>
          </w:p>
        </w:tc>
        <w:tc>
          <w:tcPr>
            <w:tcW w:w="794"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6,11</w:t>
            </w:r>
          </w:p>
        </w:tc>
        <w:tc>
          <w:tcPr>
            <w:tcW w:w="842"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3,21 %</w:t>
            </w:r>
          </w:p>
        </w:tc>
      </w:tr>
      <w:tr>
        <w:trPr>
          <w:trHeight w:val="260"/>
        </w:trPr>
        <w:tc>
          <w:tcPr>
            <w:tcW w:w="865" w:type="pct"/>
            <w:shd w:val="clear" w:color="auto" w:fill="auto"/>
            <w:noWrap/>
          </w:tcPr>
          <w:p>
            <w:pPr>
              <w:spacing w:after="120" w:line="240" w:lineRule="auto"/>
              <w:ind w:right="57"/>
              <w:rPr>
                <w:rFonts w:ascii="Times New Roman" w:eastAsia="Times New Roman" w:hAnsi="Times New Roman"/>
                <w:noProof/>
                <w:sz w:val="20"/>
                <w:szCs w:val="20"/>
              </w:rPr>
            </w:pPr>
            <w:r>
              <w:rPr>
                <w:rFonts w:ascii="Times New Roman" w:hAnsi="Times New Roman"/>
                <w:noProof/>
                <w:sz w:val="20"/>
                <w:szCs w:val="20"/>
              </w:rPr>
              <w:t>Citi</w:t>
            </w:r>
          </w:p>
        </w:tc>
        <w:tc>
          <w:tcPr>
            <w:tcW w:w="762" w:type="pct"/>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szCs w:val="20"/>
              </w:rPr>
              <w:t xml:space="preserve">24,65 </w:t>
            </w:r>
          </w:p>
        </w:tc>
        <w:tc>
          <w:tcPr>
            <w:tcW w:w="844" w:type="pct"/>
            <w:shd w:val="clear" w:color="auto" w:fill="auto"/>
            <w:noWrap/>
          </w:tcPr>
          <w:p>
            <w:pPr>
              <w:spacing w:after="120"/>
              <w:jc w:val="center"/>
              <w:rPr>
                <w:rFonts w:ascii="Times New Roman" w:hAnsi="Times New Roman"/>
                <w:noProof/>
                <w:sz w:val="20"/>
                <w:szCs w:val="20"/>
              </w:rPr>
            </w:pPr>
            <w:r>
              <w:rPr>
                <w:rFonts w:ascii="Times New Roman" w:hAnsi="Times New Roman"/>
                <w:noProof/>
                <w:sz w:val="20"/>
                <w:szCs w:val="20"/>
              </w:rPr>
              <w:t xml:space="preserve">9,43 </w:t>
            </w:r>
          </w:p>
        </w:tc>
        <w:tc>
          <w:tcPr>
            <w:tcW w:w="892" w:type="pct"/>
            <w:shd w:val="clear" w:color="auto" w:fill="auto"/>
            <w:noWrap/>
          </w:tcPr>
          <w:p>
            <w:pPr>
              <w:spacing w:after="120" w:line="240" w:lineRule="auto"/>
              <w:ind w:right="57"/>
              <w:rPr>
                <w:rFonts w:ascii="Times New Roman" w:eastAsia="Times New Roman" w:hAnsi="Times New Roman"/>
                <w:noProof/>
                <w:color w:val="000000"/>
                <w:sz w:val="20"/>
                <w:szCs w:val="20"/>
                <w:highlight w:val="yellow"/>
              </w:rPr>
            </w:pPr>
          </w:p>
        </w:tc>
        <w:tc>
          <w:tcPr>
            <w:tcW w:w="794" w:type="pct"/>
            <w:shd w:val="clear" w:color="auto" w:fill="auto"/>
            <w:noWrap/>
          </w:tcPr>
          <w:p>
            <w:pPr>
              <w:spacing w:after="120" w:line="240" w:lineRule="auto"/>
              <w:ind w:right="57"/>
              <w:rPr>
                <w:rFonts w:ascii="Times New Roman" w:eastAsia="Times New Roman" w:hAnsi="Times New Roman"/>
                <w:noProof/>
                <w:color w:val="000000"/>
                <w:sz w:val="20"/>
                <w:szCs w:val="20"/>
                <w:highlight w:val="yellow"/>
              </w:rPr>
            </w:pPr>
          </w:p>
        </w:tc>
        <w:tc>
          <w:tcPr>
            <w:tcW w:w="842" w:type="pct"/>
            <w:shd w:val="clear" w:color="auto" w:fill="auto"/>
            <w:noWrap/>
          </w:tcPr>
          <w:p>
            <w:pPr>
              <w:spacing w:after="120" w:line="240" w:lineRule="auto"/>
              <w:ind w:right="57"/>
              <w:rPr>
                <w:rFonts w:ascii="Times New Roman" w:eastAsia="Times New Roman" w:hAnsi="Times New Roman"/>
                <w:noProof/>
                <w:color w:val="000000"/>
                <w:sz w:val="20"/>
                <w:szCs w:val="20"/>
              </w:rPr>
            </w:pPr>
          </w:p>
        </w:tc>
      </w:tr>
      <w:tr>
        <w:trPr>
          <w:trHeight w:val="260"/>
        </w:trPr>
        <w:tc>
          <w:tcPr>
            <w:tcW w:w="865" w:type="pct"/>
            <w:shd w:val="clear" w:color="auto" w:fill="auto"/>
            <w:noWrap/>
          </w:tcPr>
          <w:p>
            <w:pPr>
              <w:spacing w:after="120" w:line="240" w:lineRule="auto"/>
              <w:ind w:right="57"/>
              <w:rPr>
                <w:rFonts w:ascii="Times New Roman" w:eastAsia="Times New Roman" w:hAnsi="Times New Roman"/>
                <w:b/>
                <w:noProof/>
                <w:sz w:val="20"/>
                <w:szCs w:val="20"/>
              </w:rPr>
            </w:pPr>
            <w:r>
              <w:rPr>
                <w:rFonts w:ascii="Times New Roman" w:hAnsi="Times New Roman"/>
                <w:b/>
                <w:noProof/>
                <w:sz w:val="20"/>
                <w:szCs w:val="20"/>
              </w:rPr>
              <w:t xml:space="preserve">KOPĀ </w:t>
            </w:r>
            <w:r>
              <w:rPr>
                <w:rFonts w:ascii="Times New Roman" w:hAnsi="Times New Roman"/>
                <w:b/>
                <w:i/>
                <w:noProof/>
                <w:sz w:val="20"/>
                <w:szCs w:val="20"/>
              </w:rPr>
              <w:t>CER</w:t>
            </w:r>
            <w:r>
              <w:rPr>
                <w:rFonts w:ascii="Times New Roman" w:hAnsi="Times New Roman"/>
                <w:b/>
                <w:noProof/>
                <w:sz w:val="20"/>
                <w:szCs w:val="20"/>
              </w:rPr>
              <w:t xml:space="preserve"> un </w:t>
            </w:r>
            <w:r>
              <w:rPr>
                <w:rFonts w:ascii="Times New Roman" w:hAnsi="Times New Roman"/>
                <w:b/>
                <w:i/>
                <w:noProof/>
                <w:sz w:val="20"/>
                <w:szCs w:val="20"/>
              </w:rPr>
              <w:t>ERU</w:t>
            </w:r>
          </w:p>
        </w:tc>
        <w:tc>
          <w:tcPr>
            <w:tcW w:w="762" w:type="pct"/>
            <w:shd w:val="clear" w:color="auto" w:fill="auto"/>
            <w:noWrap/>
          </w:tcPr>
          <w:p>
            <w:pPr>
              <w:spacing w:after="120" w:line="240" w:lineRule="auto"/>
              <w:ind w:right="57"/>
              <w:jc w:val="center"/>
              <w:rPr>
                <w:rFonts w:ascii="Times New Roman" w:eastAsia="Times New Roman" w:hAnsi="Times New Roman"/>
                <w:b/>
                <w:noProof/>
                <w:sz w:val="20"/>
                <w:szCs w:val="20"/>
              </w:rPr>
            </w:pPr>
            <w:r>
              <w:rPr>
                <w:rFonts w:ascii="Times New Roman" w:hAnsi="Times New Roman"/>
                <w:b/>
                <w:noProof/>
                <w:sz w:val="20"/>
                <w:szCs w:val="20"/>
              </w:rPr>
              <w:t xml:space="preserve">453,49 </w:t>
            </w:r>
          </w:p>
        </w:tc>
        <w:tc>
          <w:tcPr>
            <w:tcW w:w="844" w:type="pct"/>
            <w:shd w:val="clear" w:color="auto" w:fill="auto"/>
            <w:noWrap/>
          </w:tcPr>
          <w:p>
            <w:pPr>
              <w:spacing w:after="120"/>
              <w:jc w:val="center"/>
              <w:rPr>
                <w:rFonts w:ascii="Times New Roman" w:hAnsi="Times New Roman"/>
                <w:b/>
                <w:noProof/>
                <w:sz w:val="20"/>
                <w:szCs w:val="20"/>
              </w:rPr>
            </w:pPr>
            <w:r>
              <w:rPr>
                <w:rFonts w:ascii="Times New Roman" w:hAnsi="Times New Roman"/>
                <w:b/>
                <w:noProof/>
                <w:sz w:val="20"/>
                <w:szCs w:val="20"/>
              </w:rPr>
              <w:t>100 %</w:t>
            </w:r>
          </w:p>
        </w:tc>
        <w:tc>
          <w:tcPr>
            <w:tcW w:w="892" w:type="pct"/>
            <w:shd w:val="clear" w:color="auto" w:fill="auto"/>
            <w:noWrap/>
          </w:tcPr>
          <w:p>
            <w:pPr>
              <w:spacing w:after="120" w:line="240" w:lineRule="auto"/>
              <w:ind w:right="57"/>
              <w:rPr>
                <w:rFonts w:ascii="Times New Roman" w:eastAsia="Times New Roman" w:hAnsi="Times New Roman"/>
                <w:b/>
                <w:noProof/>
                <w:color w:val="000000"/>
                <w:sz w:val="20"/>
                <w:szCs w:val="20"/>
              </w:rPr>
            </w:pPr>
          </w:p>
        </w:tc>
        <w:tc>
          <w:tcPr>
            <w:tcW w:w="794" w:type="pct"/>
            <w:shd w:val="clear" w:color="auto" w:fill="auto"/>
            <w:noWrap/>
          </w:tcPr>
          <w:p>
            <w:pPr>
              <w:spacing w:after="120" w:line="240" w:lineRule="auto"/>
              <w:ind w:right="57"/>
              <w:rPr>
                <w:rFonts w:ascii="Times New Roman" w:eastAsia="Times New Roman" w:hAnsi="Times New Roman"/>
                <w:b/>
                <w:noProof/>
                <w:color w:val="000000"/>
                <w:sz w:val="20"/>
                <w:szCs w:val="20"/>
              </w:rPr>
            </w:pPr>
          </w:p>
        </w:tc>
        <w:tc>
          <w:tcPr>
            <w:tcW w:w="842" w:type="pct"/>
            <w:shd w:val="clear" w:color="auto" w:fill="auto"/>
            <w:noWrap/>
          </w:tcPr>
          <w:p>
            <w:pPr>
              <w:spacing w:after="120" w:line="240" w:lineRule="auto"/>
              <w:ind w:right="57"/>
              <w:rPr>
                <w:rFonts w:ascii="Times New Roman" w:eastAsia="Times New Roman" w:hAnsi="Times New Roman"/>
                <w:b/>
                <w:noProof/>
                <w:color w:val="000000"/>
                <w:sz w:val="20"/>
                <w:szCs w:val="20"/>
              </w:rPr>
            </w:pPr>
          </w:p>
        </w:tc>
      </w:tr>
    </w:tbl>
    <w:p>
      <w:pPr>
        <w:rPr>
          <w:rFonts w:ascii="Times New Roman" w:hAnsi="Times New Roman"/>
          <w:b/>
          <w:noProof/>
          <w:sz w:val="18"/>
          <w:szCs w:val="18"/>
        </w:rPr>
      </w:pPr>
      <w:r>
        <w:rPr>
          <w:rFonts w:ascii="Times New Roman" w:hAnsi="Times New Roman"/>
          <w:b/>
          <w:noProof/>
          <w:sz w:val="18"/>
          <w:szCs w:val="18"/>
        </w:rPr>
        <w:t xml:space="preserve">Avots: </w:t>
      </w:r>
      <w:r>
        <w:rPr>
          <w:rFonts w:ascii="Times New Roman" w:hAnsi="Times New Roman"/>
          <w:b/>
          <w:i/>
          <w:noProof/>
          <w:sz w:val="18"/>
          <w:szCs w:val="18"/>
        </w:rPr>
        <w:t>EUTL</w:t>
      </w:r>
      <w:r>
        <w:rPr>
          <w:rFonts w:ascii="Times New Roman" w:hAnsi="Times New Roman"/>
          <w:b/>
          <w:noProof/>
          <w:sz w:val="18"/>
          <w:szCs w:val="18"/>
        </w:rPr>
        <w:t>.</w:t>
      </w:r>
    </w:p>
    <w:p>
      <w:pPr>
        <w:rPr>
          <w:rFonts w:ascii="Times New Roman" w:hAnsi="Times New Roman"/>
          <w:b/>
          <w:noProof/>
          <w:sz w:val="20"/>
          <w:szCs w:val="20"/>
        </w:rPr>
      </w:pPr>
      <w:r>
        <w:rPr>
          <w:rFonts w:ascii="Times New Roman" w:hAnsi="Times New Roman"/>
          <w:b/>
          <w:noProof/>
          <w:sz w:val="20"/>
          <w:szCs w:val="20"/>
        </w:rPr>
        <w:t xml:space="preserve">3.2. tabula. Kopsavilkums par starptautisko kredītu apmaiņu līdz 2019. gada jūnija beigām pa iekārtu veidiem </w:t>
      </w:r>
    </w:p>
    <w:tbl>
      <w:tblPr>
        <w:tblW w:w="4111"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33"/>
        <w:gridCol w:w="2534"/>
        <w:gridCol w:w="2532"/>
      </w:tblGrid>
      <w:tr>
        <w:trPr>
          <w:trHeight w:val="247"/>
        </w:trPr>
        <w:tc>
          <w:tcPr>
            <w:tcW w:w="1667" w:type="pct"/>
            <w:shd w:val="clear" w:color="auto" w:fill="auto"/>
            <w:noWrap/>
            <w:hideMark/>
          </w:tcPr>
          <w:p>
            <w:pPr>
              <w:spacing w:after="0" w:line="240" w:lineRule="auto"/>
              <w:ind w:right="57"/>
              <w:rPr>
                <w:rFonts w:ascii="Times New Roman" w:eastAsia="Times New Roman" w:hAnsi="Times New Roman"/>
                <w:b/>
                <w:bCs/>
                <w:noProof/>
                <w:color w:val="000000"/>
                <w:sz w:val="20"/>
                <w:szCs w:val="20"/>
              </w:rPr>
            </w:pPr>
            <w:r>
              <w:rPr>
                <w:rFonts w:ascii="Times New Roman" w:hAnsi="Times New Roman"/>
                <w:b/>
                <w:noProof/>
                <w:sz w:val="20"/>
                <w:szCs w:val="20"/>
              </w:rPr>
              <w:t>Līdz 2019. gada jūnija beigām apmainītie starptautiskie kredīti</w:t>
            </w:r>
          </w:p>
        </w:tc>
        <w:tc>
          <w:tcPr>
            <w:tcW w:w="1667" w:type="pct"/>
            <w:shd w:val="clear" w:color="auto" w:fill="auto"/>
            <w:noWrap/>
            <w:hideMark/>
          </w:tcPr>
          <w:p>
            <w:pPr>
              <w:spacing w:after="0" w:line="240" w:lineRule="auto"/>
              <w:ind w:right="57"/>
              <w:jc w:val="center"/>
              <w:rPr>
                <w:rFonts w:ascii="Times New Roman" w:eastAsia="Times New Roman" w:hAnsi="Times New Roman"/>
                <w:b/>
                <w:noProof/>
                <w:sz w:val="20"/>
                <w:szCs w:val="20"/>
              </w:rPr>
            </w:pPr>
            <w:r>
              <w:rPr>
                <w:rFonts w:ascii="Times New Roman" w:hAnsi="Times New Roman"/>
                <w:b/>
                <w:i/>
                <w:noProof/>
                <w:sz w:val="20"/>
                <w:szCs w:val="20"/>
              </w:rPr>
              <w:t>CER</w:t>
            </w:r>
          </w:p>
          <w:p>
            <w:pPr>
              <w:spacing w:after="0" w:line="240" w:lineRule="auto"/>
              <w:ind w:right="57"/>
              <w:jc w:val="center"/>
              <w:rPr>
                <w:rFonts w:ascii="Times New Roman" w:eastAsia="Times New Roman" w:hAnsi="Times New Roman"/>
                <w:b/>
                <w:bCs/>
                <w:noProof/>
                <w:color w:val="000000"/>
                <w:sz w:val="20"/>
                <w:szCs w:val="20"/>
              </w:rPr>
            </w:pPr>
            <w:r>
              <w:rPr>
                <w:rFonts w:ascii="Times New Roman" w:hAnsi="Times New Roman"/>
                <w:b/>
                <w:noProof/>
                <w:sz w:val="20"/>
                <w:szCs w:val="20"/>
              </w:rPr>
              <w:t xml:space="preserve">miljonos </w:t>
            </w:r>
          </w:p>
        </w:tc>
        <w:tc>
          <w:tcPr>
            <w:tcW w:w="1666" w:type="pct"/>
            <w:shd w:val="clear" w:color="auto" w:fill="auto"/>
            <w:noWrap/>
            <w:hideMark/>
          </w:tcPr>
          <w:p>
            <w:pPr>
              <w:spacing w:after="0" w:line="240" w:lineRule="auto"/>
              <w:ind w:right="57"/>
              <w:jc w:val="center"/>
              <w:rPr>
                <w:rFonts w:ascii="Times New Roman" w:eastAsia="Times New Roman" w:hAnsi="Times New Roman"/>
                <w:b/>
                <w:noProof/>
                <w:sz w:val="20"/>
                <w:szCs w:val="20"/>
              </w:rPr>
            </w:pPr>
            <w:r>
              <w:rPr>
                <w:rFonts w:ascii="Times New Roman" w:hAnsi="Times New Roman"/>
                <w:b/>
                <w:i/>
                <w:noProof/>
                <w:sz w:val="20"/>
                <w:szCs w:val="20"/>
              </w:rPr>
              <w:t>ERU</w:t>
            </w:r>
          </w:p>
          <w:p>
            <w:pPr>
              <w:spacing w:after="0" w:line="240" w:lineRule="auto"/>
              <w:ind w:right="57"/>
              <w:jc w:val="center"/>
              <w:rPr>
                <w:rFonts w:ascii="Times New Roman" w:eastAsia="Times New Roman" w:hAnsi="Times New Roman"/>
                <w:b/>
                <w:bCs/>
                <w:noProof/>
                <w:color w:val="000000"/>
                <w:sz w:val="20"/>
                <w:szCs w:val="20"/>
              </w:rPr>
            </w:pPr>
            <w:r>
              <w:rPr>
                <w:rFonts w:ascii="Times New Roman" w:hAnsi="Times New Roman"/>
                <w:b/>
                <w:noProof/>
                <w:sz w:val="20"/>
                <w:szCs w:val="20"/>
              </w:rPr>
              <w:t xml:space="preserve">miljonos </w:t>
            </w:r>
          </w:p>
        </w:tc>
      </w:tr>
      <w:tr>
        <w:trPr>
          <w:trHeight w:val="247"/>
        </w:trPr>
        <w:tc>
          <w:tcPr>
            <w:tcW w:w="1667" w:type="pct"/>
            <w:shd w:val="clear" w:color="auto" w:fill="auto"/>
            <w:noWrap/>
            <w:hideMark/>
          </w:tcPr>
          <w:p>
            <w:pPr>
              <w:spacing w:after="120" w:line="240" w:lineRule="auto"/>
              <w:ind w:right="57"/>
              <w:rPr>
                <w:rFonts w:ascii="Times New Roman" w:eastAsia="Times New Roman" w:hAnsi="Times New Roman"/>
                <w:bCs/>
                <w:noProof/>
                <w:color w:val="000000"/>
                <w:sz w:val="20"/>
                <w:szCs w:val="20"/>
              </w:rPr>
            </w:pPr>
            <w:r>
              <w:rPr>
                <w:rFonts w:ascii="Times New Roman" w:hAnsi="Times New Roman"/>
                <w:noProof/>
                <w:sz w:val="20"/>
                <w:szCs w:val="20"/>
              </w:rPr>
              <w:t>Stacionārās iekārtas</w:t>
            </w:r>
          </w:p>
        </w:tc>
        <w:tc>
          <w:tcPr>
            <w:tcW w:w="1667" w:type="pct"/>
            <w:shd w:val="clear" w:color="auto" w:fill="auto"/>
            <w:noWrap/>
            <w:hideMark/>
          </w:tcPr>
          <w:p>
            <w:pPr>
              <w:spacing w:after="120" w:line="240" w:lineRule="auto"/>
              <w:ind w:right="57"/>
              <w:jc w:val="center"/>
              <w:rPr>
                <w:rFonts w:ascii="Times New Roman" w:eastAsia="Times New Roman" w:hAnsi="Times New Roman"/>
                <w:bCs/>
                <w:noProof/>
                <w:color w:val="000000"/>
                <w:sz w:val="20"/>
                <w:szCs w:val="20"/>
              </w:rPr>
            </w:pPr>
            <w:r>
              <w:rPr>
                <w:rFonts w:ascii="Times New Roman" w:hAnsi="Times New Roman"/>
                <w:noProof/>
                <w:sz w:val="20"/>
                <w:szCs w:val="20"/>
              </w:rPr>
              <w:t>256,46</w:t>
            </w:r>
          </w:p>
        </w:tc>
        <w:tc>
          <w:tcPr>
            <w:tcW w:w="1666" w:type="pct"/>
            <w:shd w:val="clear" w:color="auto" w:fill="auto"/>
            <w:noWrap/>
            <w:hideMark/>
          </w:tcPr>
          <w:p>
            <w:pPr>
              <w:spacing w:after="120"/>
              <w:jc w:val="center"/>
              <w:rPr>
                <w:rFonts w:ascii="Times New Roman" w:hAnsi="Times New Roman"/>
                <w:noProof/>
                <w:sz w:val="20"/>
                <w:szCs w:val="20"/>
              </w:rPr>
            </w:pPr>
            <w:r>
              <w:rPr>
                <w:rFonts w:ascii="Times New Roman" w:hAnsi="Times New Roman"/>
                <w:noProof/>
                <w:sz w:val="20"/>
                <w:szCs w:val="20"/>
              </w:rPr>
              <w:t>191,25</w:t>
            </w:r>
          </w:p>
        </w:tc>
      </w:tr>
      <w:tr>
        <w:trPr>
          <w:trHeight w:val="237"/>
        </w:trPr>
        <w:tc>
          <w:tcPr>
            <w:tcW w:w="1667" w:type="pct"/>
            <w:shd w:val="clear" w:color="auto" w:fill="auto"/>
            <w:noWrap/>
            <w:hideMark/>
          </w:tcPr>
          <w:p>
            <w:pPr>
              <w:spacing w:after="120" w:line="240" w:lineRule="auto"/>
              <w:ind w:right="57"/>
              <w:rPr>
                <w:rFonts w:ascii="Times New Roman" w:eastAsia="Times New Roman" w:hAnsi="Times New Roman"/>
                <w:noProof/>
                <w:color w:val="000000"/>
                <w:sz w:val="20"/>
                <w:szCs w:val="20"/>
              </w:rPr>
            </w:pPr>
            <w:r>
              <w:rPr>
                <w:rFonts w:ascii="Times New Roman" w:hAnsi="Times New Roman"/>
                <w:noProof/>
                <w:sz w:val="20"/>
                <w:szCs w:val="20"/>
              </w:rPr>
              <w:t xml:space="preserve">Aviācijas operatori </w:t>
            </w:r>
          </w:p>
        </w:tc>
        <w:tc>
          <w:tcPr>
            <w:tcW w:w="1667" w:type="pct"/>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szCs w:val="20"/>
              </w:rPr>
              <w:t>4,96</w:t>
            </w:r>
          </w:p>
        </w:tc>
        <w:tc>
          <w:tcPr>
            <w:tcW w:w="1666" w:type="pct"/>
            <w:shd w:val="clear" w:color="auto" w:fill="auto"/>
            <w:noWrap/>
          </w:tcPr>
          <w:p>
            <w:pPr>
              <w:spacing w:after="120"/>
              <w:jc w:val="center"/>
              <w:rPr>
                <w:rFonts w:ascii="Times New Roman" w:hAnsi="Times New Roman"/>
                <w:noProof/>
                <w:sz w:val="20"/>
                <w:szCs w:val="20"/>
              </w:rPr>
            </w:pPr>
            <w:r>
              <w:rPr>
                <w:rFonts w:ascii="Times New Roman" w:hAnsi="Times New Roman"/>
                <w:noProof/>
                <w:sz w:val="20"/>
                <w:szCs w:val="20"/>
              </w:rPr>
              <w:t>0,82</w:t>
            </w:r>
          </w:p>
        </w:tc>
      </w:tr>
      <w:tr>
        <w:trPr>
          <w:trHeight w:val="269"/>
        </w:trPr>
        <w:tc>
          <w:tcPr>
            <w:tcW w:w="1667" w:type="pct"/>
            <w:shd w:val="clear" w:color="auto" w:fill="auto"/>
            <w:noWrap/>
          </w:tcPr>
          <w:p>
            <w:pPr>
              <w:spacing w:after="120" w:line="240" w:lineRule="auto"/>
              <w:ind w:right="57"/>
              <w:rPr>
                <w:rFonts w:ascii="Times New Roman" w:eastAsia="Times New Roman" w:hAnsi="Times New Roman"/>
                <w:b/>
                <w:noProof/>
                <w:sz w:val="20"/>
                <w:szCs w:val="20"/>
              </w:rPr>
            </w:pPr>
            <w:r>
              <w:rPr>
                <w:rFonts w:ascii="Times New Roman" w:hAnsi="Times New Roman"/>
                <w:b/>
                <w:noProof/>
                <w:sz w:val="20"/>
                <w:szCs w:val="20"/>
              </w:rPr>
              <w:t>KOPĀ</w:t>
            </w:r>
          </w:p>
        </w:tc>
        <w:tc>
          <w:tcPr>
            <w:tcW w:w="1667" w:type="pct"/>
            <w:shd w:val="clear" w:color="auto" w:fill="auto"/>
            <w:noWrap/>
          </w:tcPr>
          <w:p>
            <w:pPr>
              <w:spacing w:after="120" w:line="240" w:lineRule="auto"/>
              <w:ind w:right="57"/>
              <w:jc w:val="center"/>
              <w:rPr>
                <w:rFonts w:ascii="Times New Roman" w:eastAsia="Times New Roman" w:hAnsi="Times New Roman"/>
                <w:b/>
                <w:noProof/>
                <w:sz w:val="20"/>
                <w:szCs w:val="20"/>
              </w:rPr>
            </w:pPr>
            <w:r>
              <w:rPr>
                <w:rFonts w:ascii="Times New Roman" w:hAnsi="Times New Roman"/>
                <w:b/>
                <w:noProof/>
                <w:sz w:val="20"/>
                <w:szCs w:val="20"/>
              </w:rPr>
              <w:t>261,42</w:t>
            </w:r>
          </w:p>
        </w:tc>
        <w:tc>
          <w:tcPr>
            <w:tcW w:w="1666" w:type="pct"/>
            <w:shd w:val="clear" w:color="auto" w:fill="auto"/>
            <w:noWrap/>
          </w:tcPr>
          <w:p>
            <w:pPr>
              <w:spacing w:after="120"/>
              <w:jc w:val="center"/>
              <w:rPr>
                <w:rFonts w:ascii="Times New Roman" w:hAnsi="Times New Roman"/>
                <w:b/>
                <w:noProof/>
                <w:sz w:val="20"/>
                <w:szCs w:val="20"/>
              </w:rPr>
            </w:pPr>
            <w:r>
              <w:rPr>
                <w:rFonts w:ascii="Times New Roman" w:hAnsi="Times New Roman"/>
                <w:b/>
                <w:noProof/>
                <w:sz w:val="20"/>
                <w:szCs w:val="20"/>
              </w:rPr>
              <w:t>192,07</w:t>
            </w:r>
          </w:p>
        </w:tc>
      </w:tr>
    </w:tbl>
    <w:p>
      <w:pPr>
        <w:rPr>
          <w:rFonts w:ascii="Times New Roman" w:hAnsi="Times New Roman"/>
          <w:b/>
          <w:noProof/>
          <w:sz w:val="18"/>
          <w:szCs w:val="18"/>
        </w:rPr>
      </w:pPr>
      <w:r>
        <w:rPr>
          <w:rFonts w:ascii="Times New Roman" w:hAnsi="Times New Roman"/>
          <w:b/>
          <w:noProof/>
          <w:sz w:val="18"/>
          <w:szCs w:val="18"/>
        </w:rPr>
        <w:t xml:space="preserve">Avots: </w:t>
      </w:r>
      <w:r>
        <w:rPr>
          <w:rFonts w:ascii="Times New Roman" w:hAnsi="Times New Roman"/>
          <w:b/>
          <w:i/>
          <w:noProof/>
          <w:sz w:val="18"/>
          <w:szCs w:val="18"/>
        </w:rPr>
        <w:t>EUTL</w:t>
      </w:r>
      <w:r>
        <w:rPr>
          <w:rFonts w:ascii="Times New Roman" w:hAnsi="Times New Roman"/>
          <w:b/>
          <w:noProof/>
          <w:sz w:val="18"/>
          <w:szCs w:val="18"/>
        </w:rPr>
        <w:t>.</w:t>
      </w:r>
    </w:p>
    <w:p>
      <w:pPr>
        <w:rPr>
          <w:rFonts w:ascii="Times New Roman" w:hAnsi="Times New Roman"/>
          <w:b/>
          <w:noProof/>
        </w:rPr>
      </w:pPr>
    </w:p>
    <w:p>
      <w:pPr>
        <w:rPr>
          <w:rFonts w:ascii="Times New Roman" w:hAnsi="Times New Roman"/>
          <w:b/>
          <w:noProof/>
        </w:rPr>
      </w:pPr>
      <w:r>
        <w:rPr>
          <w:rFonts w:ascii="Times New Roman" w:hAnsi="Times New Roman"/>
          <w:b/>
          <w:noProof/>
        </w:rPr>
        <w:t>4. papildinājums</w:t>
      </w:r>
    </w:p>
    <w:p>
      <w:pPr>
        <w:pStyle w:val="Caption"/>
        <w:keepNext/>
        <w:rPr>
          <w:rFonts w:ascii="Times New Roman" w:hAnsi="Times New Roman"/>
          <w:noProof/>
        </w:rPr>
      </w:pPr>
      <w:r>
        <w:rPr>
          <w:rFonts w:ascii="Times New Roman" w:hAnsi="Times New Roman"/>
          <w:noProof/>
        </w:rPr>
        <w:t>4.1. tabula. ETS piedāvājuma un pieprasījuma elementi</w:t>
      </w:r>
    </w:p>
    <w:tbl>
      <w:tblPr>
        <w:tblW w:w="5000"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54"/>
        <w:gridCol w:w="1692"/>
        <w:gridCol w:w="1972"/>
        <w:gridCol w:w="3824"/>
      </w:tblGrid>
      <w:tr>
        <w:trPr>
          <w:trHeight w:val="458"/>
        </w:trPr>
        <w:tc>
          <w:tcPr>
            <w:tcW w:w="949" w:type="pct"/>
            <w:shd w:val="clear" w:color="auto" w:fill="auto"/>
            <w:vAlign w:val="center"/>
          </w:tcPr>
          <w:p>
            <w:pPr>
              <w:spacing w:after="0" w:line="240" w:lineRule="auto"/>
              <w:rPr>
                <w:rFonts w:ascii="Times New Roman" w:hAnsi="Times New Roman"/>
                <w:b/>
                <w:noProof/>
                <w:sz w:val="20"/>
                <w:szCs w:val="20"/>
              </w:rPr>
            </w:pPr>
            <w:r>
              <w:rPr>
                <w:rFonts w:ascii="Times New Roman" w:hAnsi="Times New Roman"/>
                <w:b/>
                <w:noProof/>
                <w:sz w:val="20"/>
                <w:szCs w:val="20"/>
              </w:rPr>
              <w:t>Elements</w:t>
            </w:r>
          </w:p>
        </w:tc>
        <w:tc>
          <w:tcPr>
            <w:tcW w:w="0" w:type="auto"/>
            <w:shd w:val="clear" w:color="auto" w:fill="auto"/>
            <w:vAlign w:val="center"/>
          </w:tcPr>
          <w:p>
            <w:pPr>
              <w:spacing w:after="0" w:line="240" w:lineRule="auto"/>
              <w:rPr>
                <w:rFonts w:ascii="Times New Roman" w:hAnsi="Times New Roman"/>
                <w:b/>
                <w:noProof/>
                <w:sz w:val="20"/>
                <w:szCs w:val="20"/>
              </w:rPr>
            </w:pPr>
            <w:r>
              <w:rPr>
                <w:rFonts w:ascii="Times New Roman" w:hAnsi="Times New Roman"/>
                <w:b/>
                <w:noProof/>
                <w:sz w:val="20"/>
                <w:szCs w:val="20"/>
              </w:rPr>
              <w:t>Piedāvājums vai pieprasījums?</w:t>
            </w:r>
          </w:p>
        </w:tc>
        <w:tc>
          <w:tcPr>
            <w:tcW w:w="0" w:type="auto"/>
            <w:shd w:val="clear" w:color="auto" w:fill="auto"/>
            <w:vAlign w:val="center"/>
          </w:tcPr>
          <w:p>
            <w:pPr>
              <w:spacing w:after="0" w:line="240" w:lineRule="auto"/>
              <w:rPr>
                <w:rFonts w:ascii="Times New Roman" w:hAnsi="Times New Roman"/>
                <w:b/>
                <w:noProof/>
                <w:sz w:val="20"/>
                <w:szCs w:val="20"/>
              </w:rPr>
            </w:pPr>
            <w:r>
              <w:rPr>
                <w:rFonts w:ascii="Times New Roman" w:hAnsi="Times New Roman"/>
                <w:b/>
                <w:noProof/>
                <w:sz w:val="20"/>
                <w:szCs w:val="20"/>
              </w:rPr>
              <w:t>Publikācija</w:t>
            </w:r>
          </w:p>
        </w:tc>
        <w:tc>
          <w:tcPr>
            <w:tcW w:w="0" w:type="auto"/>
            <w:shd w:val="clear" w:color="auto" w:fill="auto"/>
            <w:vAlign w:val="center"/>
          </w:tcPr>
          <w:p>
            <w:pPr>
              <w:spacing w:after="0" w:line="240" w:lineRule="auto"/>
              <w:rPr>
                <w:rFonts w:ascii="Times New Roman" w:hAnsi="Times New Roman"/>
                <w:b/>
                <w:noProof/>
                <w:sz w:val="20"/>
                <w:szCs w:val="20"/>
              </w:rPr>
            </w:pPr>
            <w:r>
              <w:rPr>
                <w:rFonts w:ascii="Times New Roman" w:hAnsi="Times New Roman"/>
                <w:b/>
                <w:noProof/>
                <w:sz w:val="20"/>
                <w:szCs w:val="20"/>
              </w:rPr>
              <w:t>Atjauninājumi un neskaidrības</w:t>
            </w:r>
          </w:p>
        </w:tc>
      </w:tr>
      <w:tr>
        <w:trPr>
          <w:trHeight w:val="458"/>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Kopējais otrā posmā uzkrāto kvotu skaits</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Piedāvājums</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Ziņojums par oglekļa tirgus darbību</w:t>
            </w:r>
          </w:p>
        </w:tc>
        <w:tc>
          <w:tcPr>
            <w:tcW w:w="0" w:type="auto"/>
            <w:shd w:val="clear" w:color="auto" w:fill="auto"/>
          </w:tcPr>
          <w:p>
            <w:pPr>
              <w:pStyle w:val="ListParagraph"/>
              <w:spacing w:after="0" w:line="240" w:lineRule="auto"/>
              <w:ind w:left="0"/>
              <w:rPr>
                <w:rFonts w:ascii="Times New Roman" w:hAnsi="Times New Roman"/>
                <w:noProof/>
                <w:sz w:val="20"/>
                <w:szCs w:val="20"/>
              </w:rPr>
            </w:pPr>
            <w:r>
              <w:rPr>
                <w:rFonts w:ascii="Times New Roman" w:hAnsi="Times New Roman"/>
                <w:noProof/>
                <w:sz w:val="20"/>
                <w:szCs w:val="20"/>
              </w:rPr>
              <w:t xml:space="preserve">Tā kā otrais posms ir beidzies, atjauninājumi nav paredzēti. Galīgais skaits. </w:t>
            </w:r>
          </w:p>
        </w:tc>
      </w:tr>
      <w:tr>
        <w:trPr>
          <w:trHeight w:val="687"/>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 xml:space="preserve">Agrīnās trešā posma izsoles </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Piedāvājums</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 xml:space="preserve">Klimata politikas ĢD tīmekļa vietne, </w:t>
            </w:r>
            <w:r>
              <w:rPr>
                <w:rFonts w:ascii="Times New Roman" w:hAnsi="Times New Roman"/>
                <w:i/>
                <w:noProof/>
                <w:sz w:val="20"/>
                <w:szCs w:val="20"/>
              </w:rPr>
              <w:t>EEX</w:t>
            </w:r>
            <w:r>
              <w:rPr>
                <w:rFonts w:ascii="Times New Roman" w:hAnsi="Times New Roman"/>
                <w:noProof/>
                <w:sz w:val="20"/>
                <w:szCs w:val="20"/>
              </w:rPr>
              <w:t xml:space="preserve"> un </w:t>
            </w:r>
            <w:r>
              <w:rPr>
                <w:rFonts w:ascii="Times New Roman" w:hAnsi="Times New Roman"/>
                <w:i/>
                <w:noProof/>
                <w:sz w:val="20"/>
                <w:szCs w:val="20"/>
              </w:rPr>
              <w:t>ICE</w:t>
            </w:r>
            <w:r>
              <w:rPr>
                <w:rFonts w:ascii="Times New Roman" w:hAnsi="Times New Roman"/>
                <w:noProof/>
                <w:sz w:val="20"/>
                <w:szCs w:val="20"/>
              </w:rPr>
              <w:t xml:space="preserve"> tīmekļa vietnes</w:t>
            </w:r>
          </w:p>
        </w:tc>
        <w:tc>
          <w:tcPr>
            <w:tcW w:w="0" w:type="auto"/>
            <w:shd w:val="clear" w:color="auto" w:fill="auto"/>
          </w:tcPr>
          <w:p>
            <w:pPr>
              <w:pStyle w:val="ListParagraph"/>
              <w:spacing w:after="0" w:line="240" w:lineRule="auto"/>
              <w:ind w:left="0"/>
              <w:rPr>
                <w:rFonts w:ascii="Times New Roman" w:hAnsi="Times New Roman"/>
                <w:noProof/>
                <w:sz w:val="20"/>
                <w:szCs w:val="20"/>
              </w:rPr>
            </w:pPr>
            <w:r>
              <w:rPr>
                <w:rFonts w:ascii="Times New Roman" w:hAnsi="Times New Roman"/>
                <w:noProof/>
                <w:sz w:val="20"/>
                <w:szCs w:val="20"/>
              </w:rPr>
              <w:t>Neietilpst otrā posmā uzkrātajā kopējā daudzumā. Galīgais skaits.</w:t>
            </w:r>
          </w:p>
        </w:tc>
      </w:tr>
      <w:tr>
        <w:trPr>
          <w:trHeight w:val="458"/>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i/>
                <w:noProof/>
                <w:sz w:val="20"/>
                <w:szCs w:val="20"/>
              </w:rPr>
              <w:t>NER300</w:t>
            </w:r>
            <w:r>
              <w:rPr>
                <w:rFonts w:ascii="Times New Roman" w:hAnsi="Times New Roman"/>
                <w:b/>
                <w:noProof/>
                <w:sz w:val="20"/>
                <w:szCs w:val="20"/>
              </w:rPr>
              <w:t xml:space="preserve"> kvotas</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Piedāvājums</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EIB tīmekļa vietne</w:t>
            </w:r>
          </w:p>
        </w:tc>
        <w:tc>
          <w:tcPr>
            <w:tcW w:w="0" w:type="auto"/>
            <w:shd w:val="clear" w:color="auto" w:fill="auto"/>
          </w:tcPr>
          <w:p>
            <w:pPr>
              <w:pStyle w:val="ListParagraph"/>
              <w:spacing w:after="0" w:line="240" w:lineRule="auto"/>
              <w:ind w:left="0"/>
              <w:rPr>
                <w:rFonts w:ascii="Times New Roman" w:hAnsi="Times New Roman"/>
                <w:noProof/>
                <w:sz w:val="20"/>
                <w:szCs w:val="20"/>
              </w:rPr>
            </w:pPr>
            <w:r>
              <w:rPr>
                <w:rFonts w:ascii="Times New Roman" w:hAnsi="Times New Roman"/>
                <w:noProof/>
                <w:sz w:val="20"/>
                <w:szCs w:val="20"/>
              </w:rPr>
              <w:t>2012.–2014. gadā tika monetizēti 300 miljoni kvotu. Galīgais skaits.</w:t>
            </w:r>
          </w:p>
        </w:tc>
      </w:tr>
      <w:tr>
        <w:trPr>
          <w:trHeight w:val="915"/>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 xml:space="preserve">Aviācijas izsoles </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Piedāvājums</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 xml:space="preserve">Klimata politikas ĢD tīmekļa vietne, </w:t>
            </w:r>
            <w:r>
              <w:rPr>
                <w:rFonts w:ascii="Times New Roman" w:hAnsi="Times New Roman"/>
                <w:i/>
                <w:noProof/>
                <w:sz w:val="20"/>
                <w:szCs w:val="20"/>
              </w:rPr>
              <w:t>EEX</w:t>
            </w:r>
            <w:r>
              <w:rPr>
                <w:rFonts w:ascii="Times New Roman" w:hAnsi="Times New Roman"/>
                <w:noProof/>
                <w:sz w:val="20"/>
                <w:szCs w:val="20"/>
              </w:rPr>
              <w:t xml:space="preserve"> un </w:t>
            </w:r>
            <w:r>
              <w:rPr>
                <w:rFonts w:ascii="Times New Roman" w:hAnsi="Times New Roman"/>
                <w:i/>
                <w:noProof/>
                <w:sz w:val="20"/>
                <w:szCs w:val="20"/>
              </w:rPr>
              <w:t>ICE</w:t>
            </w:r>
            <w:r>
              <w:rPr>
                <w:rFonts w:ascii="Times New Roman" w:hAnsi="Times New Roman"/>
                <w:noProof/>
                <w:sz w:val="20"/>
                <w:szCs w:val="20"/>
              </w:rPr>
              <w:t xml:space="preserve"> tīmekļa vietnes</w:t>
            </w:r>
          </w:p>
        </w:tc>
        <w:tc>
          <w:tcPr>
            <w:tcW w:w="0" w:type="auto"/>
            <w:shd w:val="clear" w:color="auto" w:fill="auto"/>
          </w:tcPr>
          <w:p>
            <w:pPr>
              <w:pStyle w:val="ListParagraph"/>
              <w:spacing w:after="0" w:line="240" w:lineRule="auto"/>
              <w:ind w:left="0"/>
              <w:rPr>
                <w:rFonts w:ascii="Times New Roman" w:hAnsi="Times New Roman"/>
                <w:noProof/>
                <w:sz w:val="20"/>
                <w:szCs w:val="20"/>
              </w:rPr>
            </w:pPr>
            <w:r>
              <w:rPr>
                <w:rFonts w:ascii="Times New Roman" w:hAnsi="Times New Roman"/>
                <w:noProof/>
                <w:sz w:val="20"/>
                <w:szCs w:val="20"/>
              </w:rPr>
              <w:t>Nē — korekcijas ir atspoguļotas nākamā gada apjomos.</w:t>
            </w:r>
          </w:p>
          <w:p>
            <w:pPr>
              <w:pStyle w:val="ListParagraph"/>
              <w:spacing w:after="0" w:line="240" w:lineRule="auto"/>
              <w:ind w:left="0"/>
              <w:rPr>
                <w:rFonts w:ascii="Times New Roman" w:hAnsi="Times New Roman"/>
                <w:noProof/>
                <w:sz w:val="20"/>
                <w:szCs w:val="20"/>
              </w:rPr>
            </w:pPr>
          </w:p>
          <w:p>
            <w:pPr>
              <w:pStyle w:val="ListParagraph"/>
              <w:spacing w:after="0" w:line="240" w:lineRule="auto"/>
              <w:ind w:left="0"/>
              <w:rPr>
                <w:rFonts w:ascii="Times New Roman" w:hAnsi="Times New Roman"/>
                <w:noProof/>
                <w:sz w:val="20"/>
                <w:szCs w:val="20"/>
              </w:rPr>
            </w:pPr>
            <w:r>
              <w:rPr>
                <w:rFonts w:ascii="Times New Roman" w:hAnsi="Times New Roman"/>
                <w:noProof/>
                <w:sz w:val="20"/>
                <w:szCs w:val="20"/>
              </w:rPr>
              <w:t>2013. un 2014. gadā paredzētās izsoles notika 2015. gadā.</w:t>
            </w:r>
          </w:p>
        </w:tc>
      </w:tr>
      <w:tr>
        <w:trPr>
          <w:trHeight w:val="1145"/>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Trešā posma izsoles</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Piedāvājums</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 xml:space="preserve">Klimata politikas ĢD tīmekļa vietne, </w:t>
            </w:r>
            <w:r>
              <w:rPr>
                <w:rFonts w:ascii="Times New Roman" w:hAnsi="Times New Roman"/>
                <w:i/>
                <w:noProof/>
                <w:sz w:val="20"/>
                <w:szCs w:val="20"/>
              </w:rPr>
              <w:t>EEX</w:t>
            </w:r>
            <w:r>
              <w:rPr>
                <w:rFonts w:ascii="Times New Roman" w:hAnsi="Times New Roman"/>
                <w:noProof/>
                <w:sz w:val="20"/>
                <w:szCs w:val="20"/>
              </w:rPr>
              <w:t xml:space="preserve"> un </w:t>
            </w:r>
            <w:r>
              <w:rPr>
                <w:rFonts w:ascii="Times New Roman" w:hAnsi="Times New Roman"/>
                <w:i/>
                <w:noProof/>
                <w:sz w:val="20"/>
                <w:szCs w:val="20"/>
              </w:rPr>
              <w:t>ICE</w:t>
            </w:r>
            <w:r>
              <w:rPr>
                <w:rFonts w:ascii="Times New Roman" w:hAnsi="Times New Roman"/>
                <w:noProof/>
                <w:sz w:val="20"/>
                <w:szCs w:val="20"/>
              </w:rPr>
              <w:t xml:space="preserve"> tīmekļa vietnes</w:t>
            </w:r>
          </w:p>
        </w:tc>
        <w:tc>
          <w:tcPr>
            <w:tcW w:w="0" w:type="auto"/>
            <w:shd w:val="clear" w:color="auto" w:fill="auto"/>
          </w:tcPr>
          <w:p>
            <w:pPr>
              <w:pStyle w:val="ListParagraph"/>
              <w:spacing w:after="0" w:line="240" w:lineRule="auto"/>
              <w:ind w:left="0"/>
              <w:rPr>
                <w:rFonts w:ascii="Times New Roman" w:hAnsi="Times New Roman"/>
                <w:noProof/>
                <w:sz w:val="20"/>
                <w:szCs w:val="20"/>
              </w:rPr>
            </w:pPr>
            <w:r>
              <w:rPr>
                <w:rFonts w:ascii="Times New Roman" w:hAnsi="Times New Roman"/>
                <w:noProof/>
                <w:sz w:val="20"/>
                <w:szCs w:val="20"/>
              </w:rPr>
              <w:t>Nē — skaitu nav paredzēts pārskatīt. Tomēr neizsolītās kvotas (piem., izsoļu aizkavēšanos dažās dalībvalstīs, kā EEZ EBTA valstīs) var izsolīt nākamajos gados.</w:t>
            </w:r>
          </w:p>
        </w:tc>
      </w:tr>
      <w:tr>
        <w:trPr>
          <w:trHeight w:val="1354"/>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Kvotu bezmaksas iedale (valsts īstenošanas pasākumi — VĪP)</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Piedāvājums</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i/>
                <w:noProof/>
                <w:sz w:val="20"/>
                <w:szCs w:val="20"/>
              </w:rPr>
              <w:t>EUTL</w:t>
            </w:r>
            <w:r>
              <w:rPr>
                <w:rFonts w:ascii="Times New Roman" w:hAnsi="Times New Roman"/>
                <w:noProof/>
                <w:sz w:val="20"/>
                <w:szCs w:val="20"/>
              </w:rPr>
              <w:t>, tabulas</w:t>
            </w:r>
          </w:p>
        </w:tc>
        <w:tc>
          <w:tcPr>
            <w:tcW w:w="0" w:type="auto"/>
            <w:vMerge w:val="restart"/>
            <w:shd w:val="clear" w:color="auto" w:fill="auto"/>
          </w:tcPr>
          <w:p>
            <w:pPr>
              <w:pStyle w:val="ListParagraph"/>
              <w:spacing w:after="0" w:line="240" w:lineRule="auto"/>
              <w:ind w:left="0"/>
              <w:rPr>
                <w:rFonts w:ascii="Times New Roman" w:hAnsi="Times New Roman"/>
                <w:noProof/>
                <w:sz w:val="20"/>
                <w:szCs w:val="20"/>
              </w:rPr>
            </w:pPr>
            <w:r>
              <w:rPr>
                <w:rFonts w:ascii="Times New Roman" w:hAnsi="Times New Roman"/>
                <w:noProof/>
                <w:sz w:val="20"/>
                <w:szCs w:val="20"/>
              </w:rPr>
              <w:t xml:space="preserve">Skaitļus atjaunina visu gadu. </w:t>
            </w:r>
          </w:p>
          <w:p>
            <w:pPr>
              <w:pStyle w:val="ListParagraph"/>
              <w:spacing w:after="0" w:line="240" w:lineRule="auto"/>
              <w:ind w:left="0"/>
              <w:rPr>
                <w:rFonts w:ascii="Times New Roman" w:hAnsi="Times New Roman"/>
                <w:noProof/>
                <w:sz w:val="20"/>
                <w:szCs w:val="20"/>
              </w:rPr>
            </w:pPr>
          </w:p>
          <w:p>
            <w:pPr>
              <w:pStyle w:val="ListParagraph"/>
              <w:spacing w:after="0" w:line="240" w:lineRule="auto"/>
              <w:ind w:left="0"/>
              <w:rPr>
                <w:rFonts w:ascii="Times New Roman" w:hAnsi="Times New Roman"/>
                <w:noProof/>
                <w:sz w:val="20"/>
                <w:szCs w:val="20"/>
              </w:rPr>
            </w:pPr>
            <w:r>
              <w:rPr>
                <w:rFonts w:ascii="Times New Roman" w:hAnsi="Times New Roman"/>
                <w:noProof/>
                <w:sz w:val="20"/>
                <w:szCs w:val="20"/>
              </w:rPr>
              <w:t xml:space="preserve">- Pastāv iespēja, ka dalībvalstis novēloti iesniedz pieteikumus par iepriekšējiem gadiem vai ka faktiski iedalīto kvotu apmērs ir mazāks, nekā sākotnēji paredzēts. </w:t>
            </w:r>
          </w:p>
          <w:p>
            <w:pPr>
              <w:pStyle w:val="ListParagraph"/>
              <w:spacing w:after="0" w:line="240" w:lineRule="auto"/>
              <w:ind w:left="0"/>
              <w:rPr>
                <w:rFonts w:ascii="Times New Roman" w:hAnsi="Times New Roman"/>
                <w:noProof/>
                <w:sz w:val="20"/>
                <w:szCs w:val="20"/>
              </w:rPr>
            </w:pPr>
          </w:p>
          <w:p>
            <w:pPr>
              <w:pStyle w:val="ListParagraph"/>
              <w:spacing w:after="0" w:line="240" w:lineRule="auto"/>
              <w:ind w:left="0"/>
              <w:rPr>
                <w:rFonts w:ascii="Times New Roman" w:hAnsi="Times New Roman"/>
                <w:noProof/>
                <w:sz w:val="20"/>
                <w:szCs w:val="20"/>
              </w:rPr>
            </w:pPr>
            <w:r>
              <w:rPr>
                <w:rFonts w:ascii="Times New Roman" w:hAnsi="Times New Roman"/>
                <w:i/>
                <w:noProof/>
                <w:sz w:val="20"/>
                <w:szCs w:val="20"/>
              </w:rPr>
              <w:t>EUTL</w:t>
            </w:r>
            <w:r>
              <w:rPr>
                <w:rFonts w:ascii="Times New Roman" w:hAnsi="Times New Roman"/>
                <w:noProof/>
                <w:sz w:val="20"/>
                <w:szCs w:val="20"/>
              </w:rPr>
              <w:t xml:space="preserve"> ir sniegta precīza informācija par faktiski iedalīto kvotu skaitu.</w:t>
            </w:r>
          </w:p>
          <w:p>
            <w:pPr>
              <w:pStyle w:val="ListParagraph"/>
              <w:spacing w:after="0" w:line="240" w:lineRule="auto"/>
              <w:ind w:left="0"/>
              <w:rPr>
                <w:rFonts w:ascii="Times New Roman" w:hAnsi="Times New Roman"/>
                <w:noProof/>
                <w:sz w:val="20"/>
                <w:szCs w:val="20"/>
              </w:rPr>
            </w:pPr>
          </w:p>
        </w:tc>
      </w:tr>
      <w:tr>
        <w:trPr>
          <w:trHeight w:val="458"/>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Kvotu bezmaksas iedale (</w:t>
            </w:r>
            <w:r>
              <w:rPr>
                <w:rFonts w:ascii="Times New Roman" w:hAnsi="Times New Roman"/>
                <w:b/>
                <w:i/>
                <w:noProof/>
                <w:sz w:val="20"/>
                <w:szCs w:val="20"/>
              </w:rPr>
              <w:t>NER</w:t>
            </w:r>
            <w:r>
              <w:rPr>
                <w:rFonts w:ascii="Times New Roman" w:hAnsi="Times New Roman"/>
                <w:b/>
                <w:noProof/>
                <w:sz w:val="20"/>
                <w:szCs w:val="20"/>
              </w:rPr>
              <w:t>)</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Piedāvājums</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i/>
                <w:noProof/>
                <w:sz w:val="20"/>
                <w:szCs w:val="20"/>
              </w:rPr>
              <w:t>EUTL</w:t>
            </w:r>
            <w:r>
              <w:rPr>
                <w:rFonts w:ascii="Times New Roman" w:hAnsi="Times New Roman"/>
                <w:noProof/>
                <w:sz w:val="20"/>
                <w:szCs w:val="20"/>
              </w:rPr>
              <w:t>, tabulas</w:t>
            </w:r>
          </w:p>
        </w:tc>
        <w:tc>
          <w:tcPr>
            <w:tcW w:w="0" w:type="auto"/>
            <w:vMerge/>
            <w:shd w:val="clear" w:color="auto" w:fill="auto"/>
          </w:tcPr>
          <w:p>
            <w:pPr>
              <w:pStyle w:val="ListParagraph"/>
              <w:spacing w:after="0" w:line="240" w:lineRule="auto"/>
              <w:ind w:left="0"/>
              <w:rPr>
                <w:rFonts w:ascii="Times New Roman" w:hAnsi="Times New Roman"/>
                <w:noProof/>
                <w:sz w:val="20"/>
                <w:szCs w:val="20"/>
              </w:rPr>
            </w:pPr>
          </w:p>
        </w:tc>
      </w:tr>
      <w:tr>
        <w:trPr>
          <w:trHeight w:val="687"/>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 xml:space="preserve">Kvotu bezmaksas iedale </w:t>
            </w:r>
          </w:p>
          <w:p>
            <w:pPr>
              <w:spacing w:after="0" w:line="240" w:lineRule="auto"/>
              <w:rPr>
                <w:rFonts w:ascii="Times New Roman" w:hAnsi="Times New Roman"/>
                <w:b/>
                <w:noProof/>
                <w:sz w:val="20"/>
                <w:szCs w:val="20"/>
              </w:rPr>
            </w:pPr>
            <w:r>
              <w:rPr>
                <w:rFonts w:ascii="Times New Roman" w:hAnsi="Times New Roman"/>
                <w:b/>
                <w:noProof/>
                <w:sz w:val="20"/>
                <w:szCs w:val="20"/>
              </w:rPr>
              <w:t>(aviācijas jomā)</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Piedāvājums</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i/>
                <w:noProof/>
                <w:sz w:val="20"/>
                <w:szCs w:val="20"/>
              </w:rPr>
              <w:t>EUTL</w:t>
            </w:r>
            <w:r>
              <w:rPr>
                <w:rFonts w:ascii="Times New Roman" w:hAnsi="Times New Roman"/>
                <w:noProof/>
                <w:sz w:val="20"/>
                <w:szCs w:val="20"/>
              </w:rPr>
              <w:t>, dalībvalstu publicētās iedales tabulas</w:t>
            </w:r>
          </w:p>
        </w:tc>
        <w:tc>
          <w:tcPr>
            <w:tcW w:w="0" w:type="auto"/>
            <w:vMerge/>
            <w:shd w:val="clear" w:color="auto" w:fill="auto"/>
          </w:tcPr>
          <w:p>
            <w:pPr>
              <w:pStyle w:val="ListParagraph"/>
              <w:spacing w:after="0" w:line="240" w:lineRule="auto"/>
              <w:ind w:left="0"/>
              <w:rPr>
                <w:rFonts w:ascii="Times New Roman" w:hAnsi="Times New Roman"/>
                <w:noProof/>
                <w:sz w:val="20"/>
                <w:szCs w:val="20"/>
              </w:rPr>
            </w:pPr>
          </w:p>
        </w:tc>
      </w:tr>
      <w:tr>
        <w:trPr>
          <w:trHeight w:val="458"/>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Kvotu bezmaksas iedale</w:t>
            </w:r>
          </w:p>
          <w:p>
            <w:pPr>
              <w:spacing w:after="0" w:line="240" w:lineRule="auto"/>
              <w:rPr>
                <w:rFonts w:ascii="Times New Roman" w:hAnsi="Times New Roman"/>
                <w:b/>
                <w:noProof/>
                <w:sz w:val="20"/>
                <w:szCs w:val="20"/>
              </w:rPr>
            </w:pPr>
            <w:r>
              <w:rPr>
                <w:rFonts w:ascii="Times New Roman" w:hAnsi="Times New Roman"/>
                <w:b/>
                <w:noProof/>
                <w:sz w:val="20"/>
                <w:szCs w:val="20"/>
              </w:rPr>
              <w:t>(10.c pants)</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noProof/>
                <w:sz w:val="20"/>
                <w:szCs w:val="20"/>
              </w:rPr>
              <w:t>Piedāvājums</w:t>
            </w:r>
          </w:p>
        </w:tc>
        <w:tc>
          <w:tcPr>
            <w:tcW w:w="0" w:type="auto"/>
            <w:shd w:val="clear" w:color="auto" w:fill="auto"/>
          </w:tcPr>
          <w:p>
            <w:pPr>
              <w:spacing w:after="0" w:line="240" w:lineRule="auto"/>
              <w:rPr>
                <w:rFonts w:ascii="Times New Roman" w:hAnsi="Times New Roman"/>
                <w:noProof/>
                <w:sz w:val="20"/>
                <w:szCs w:val="20"/>
              </w:rPr>
            </w:pPr>
            <w:r>
              <w:rPr>
                <w:rFonts w:ascii="Times New Roman" w:hAnsi="Times New Roman"/>
                <w:i/>
                <w:noProof/>
                <w:sz w:val="20"/>
                <w:szCs w:val="20"/>
              </w:rPr>
              <w:t>EUTL</w:t>
            </w:r>
            <w:r>
              <w:rPr>
                <w:rFonts w:ascii="Times New Roman" w:hAnsi="Times New Roman"/>
                <w:noProof/>
                <w:sz w:val="20"/>
                <w:szCs w:val="20"/>
              </w:rPr>
              <w:t>, statusa tabula</w:t>
            </w:r>
          </w:p>
        </w:tc>
        <w:tc>
          <w:tcPr>
            <w:tcW w:w="0" w:type="auto"/>
            <w:vMerge/>
            <w:shd w:val="clear" w:color="auto" w:fill="auto"/>
          </w:tcPr>
          <w:p>
            <w:pPr>
              <w:pStyle w:val="ListParagraph"/>
              <w:spacing w:after="0" w:line="240" w:lineRule="auto"/>
              <w:ind w:left="0"/>
              <w:rPr>
                <w:rFonts w:ascii="Times New Roman" w:hAnsi="Times New Roman"/>
                <w:noProof/>
                <w:sz w:val="20"/>
                <w:szCs w:val="20"/>
              </w:rPr>
            </w:pPr>
          </w:p>
        </w:tc>
      </w:tr>
      <w:tr>
        <w:trPr>
          <w:trHeight w:val="1156"/>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Emisijas (stacionārās iekārtas)</w:t>
            </w:r>
          </w:p>
        </w:tc>
        <w:tc>
          <w:tcPr>
            <w:tcW w:w="0" w:type="auto"/>
            <w:shd w:val="clear" w:color="auto" w:fill="auto"/>
          </w:tcPr>
          <w:p>
            <w:pPr>
              <w:spacing w:after="0" w:line="240" w:lineRule="auto"/>
              <w:jc w:val="both"/>
              <w:rPr>
                <w:rFonts w:ascii="Times New Roman" w:hAnsi="Times New Roman"/>
                <w:noProof/>
                <w:sz w:val="20"/>
                <w:szCs w:val="20"/>
              </w:rPr>
            </w:pPr>
            <w:r>
              <w:rPr>
                <w:rFonts w:ascii="Times New Roman" w:hAnsi="Times New Roman"/>
                <w:noProof/>
                <w:sz w:val="20"/>
                <w:szCs w:val="20"/>
              </w:rPr>
              <w:t>Pieprasījums</w:t>
            </w:r>
          </w:p>
        </w:tc>
        <w:tc>
          <w:tcPr>
            <w:tcW w:w="0" w:type="auto"/>
            <w:shd w:val="clear" w:color="auto" w:fill="auto"/>
          </w:tcPr>
          <w:p>
            <w:pPr>
              <w:spacing w:after="0" w:line="240" w:lineRule="auto"/>
              <w:jc w:val="both"/>
              <w:rPr>
                <w:rFonts w:ascii="Times New Roman" w:hAnsi="Times New Roman"/>
                <w:noProof/>
                <w:sz w:val="20"/>
                <w:szCs w:val="20"/>
              </w:rPr>
            </w:pPr>
            <w:r>
              <w:rPr>
                <w:rFonts w:ascii="Times New Roman" w:hAnsi="Times New Roman"/>
                <w:i/>
                <w:noProof/>
                <w:sz w:val="20"/>
                <w:szCs w:val="20"/>
              </w:rPr>
              <w:t>EUTL</w:t>
            </w:r>
            <w:r>
              <w:rPr>
                <w:rFonts w:ascii="Times New Roman" w:hAnsi="Times New Roman"/>
                <w:noProof/>
                <w:sz w:val="20"/>
                <w:szCs w:val="20"/>
              </w:rPr>
              <w:t>, dati par atbilstību</w:t>
            </w:r>
          </w:p>
        </w:tc>
        <w:tc>
          <w:tcPr>
            <w:tcW w:w="0" w:type="auto"/>
            <w:shd w:val="clear" w:color="auto" w:fill="auto"/>
          </w:tcPr>
          <w:p>
            <w:pPr>
              <w:spacing w:after="0" w:line="240" w:lineRule="auto"/>
              <w:jc w:val="both"/>
              <w:rPr>
                <w:rFonts w:ascii="Times New Roman" w:hAnsi="Times New Roman"/>
                <w:noProof/>
                <w:sz w:val="20"/>
                <w:szCs w:val="20"/>
              </w:rPr>
            </w:pPr>
            <w:r>
              <w:rPr>
                <w:rFonts w:ascii="Times New Roman" w:hAnsi="Times New Roman"/>
                <w:noProof/>
                <w:sz w:val="20"/>
                <w:szCs w:val="20"/>
              </w:rPr>
              <w:t>Atbilstības datos, ko publicē 1. maijā, ir atspoguļotas emisijas un nodotās kvotas attiecībā uz atbilstīgajām iekārtām (proti, iekārtām, par kurām ziņots visos attiecīgajos gados)</w:t>
            </w:r>
            <w:r>
              <w:rPr>
                <w:rStyle w:val="FootnoteReference"/>
                <w:rFonts w:ascii="Times New Roman" w:hAnsi="Times New Roman"/>
                <w:noProof/>
                <w:sz w:val="20"/>
                <w:szCs w:val="20"/>
              </w:rPr>
              <w:footnoteReference w:id="79"/>
            </w:r>
            <w:r>
              <w:rPr>
                <w:rFonts w:ascii="Times New Roman" w:hAnsi="Times New Roman"/>
                <w:noProof/>
              </w:rPr>
              <w:t>.</w:t>
            </w:r>
          </w:p>
          <w:p>
            <w:pPr>
              <w:spacing w:after="0" w:line="240" w:lineRule="auto"/>
              <w:jc w:val="both"/>
              <w:rPr>
                <w:rFonts w:ascii="Times New Roman" w:hAnsi="Times New Roman"/>
                <w:noProof/>
                <w:sz w:val="20"/>
                <w:szCs w:val="20"/>
              </w:rPr>
            </w:pPr>
          </w:p>
        </w:tc>
      </w:tr>
      <w:tr>
        <w:trPr>
          <w:trHeight w:val="469"/>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Emisijas (aviācijas joma)</w:t>
            </w:r>
          </w:p>
        </w:tc>
        <w:tc>
          <w:tcPr>
            <w:tcW w:w="0" w:type="auto"/>
            <w:shd w:val="clear" w:color="auto" w:fill="auto"/>
          </w:tcPr>
          <w:p>
            <w:pPr>
              <w:spacing w:after="0" w:line="240" w:lineRule="auto"/>
              <w:jc w:val="both"/>
              <w:rPr>
                <w:rFonts w:ascii="Times New Roman" w:hAnsi="Times New Roman"/>
                <w:noProof/>
                <w:sz w:val="20"/>
                <w:szCs w:val="20"/>
              </w:rPr>
            </w:pPr>
            <w:r>
              <w:rPr>
                <w:rFonts w:ascii="Times New Roman" w:hAnsi="Times New Roman"/>
                <w:noProof/>
                <w:sz w:val="20"/>
                <w:szCs w:val="20"/>
              </w:rPr>
              <w:t>Pieprasījums</w:t>
            </w:r>
          </w:p>
        </w:tc>
        <w:tc>
          <w:tcPr>
            <w:tcW w:w="0" w:type="auto"/>
            <w:shd w:val="clear" w:color="auto" w:fill="auto"/>
          </w:tcPr>
          <w:p>
            <w:pPr>
              <w:spacing w:after="0" w:line="240" w:lineRule="auto"/>
              <w:jc w:val="both"/>
              <w:rPr>
                <w:rFonts w:ascii="Times New Roman" w:hAnsi="Times New Roman"/>
                <w:noProof/>
                <w:sz w:val="20"/>
                <w:szCs w:val="20"/>
              </w:rPr>
            </w:pPr>
          </w:p>
        </w:tc>
        <w:tc>
          <w:tcPr>
            <w:tcW w:w="0" w:type="auto"/>
            <w:shd w:val="clear" w:color="auto" w:fill="auto"/>
          </w:tcPr>
          <w:p>
            <w:pPr>
              <w:spacing w:after="0" w:line="240" w:lineRule="auto"/>
              <w:jc w:val="both"/>
              <w:rPr>
                <w:rFonts w:ascii="Times New Roman" w:hAnsi="Times New Roman"/>
                <w:noProof/>
                <w:sz w:val="20"/>
                <w:szCs w:val="20"/>
              </w:rPr>
            </w:pPr>
            <w:r>
              <w:rPr>
                <w:rFonts w:ascii="Times New Roman" w:hAnsi="Times New Roman"/>
                <w:noProof/>
                <w:sz w:val="20"/>
                <w:szCs w:val="20"/>
              </w:rPr>
              <w:t>Aviācijas jomas operatori atbilstības ziņojumus par 2013. un 2014. gadu iesniedza 2015. gadā.</w:t>
            </w:r>
          </w:p>
        </w:tc>
      </w:tr>
      <w:tr>
        <w:trPr>
          <w:trHeight w:val="469"/>
        </w:trPr>
        <w:tc>
          <w:tcPr>
            <w:tcW w:w="949" w:type="pct"/>
            <w:shd w:val="clear" w:color="auto" w:fill="auto"/>
          </w:tcPr>
          <w:p>
            <w:pPr>
              <w:spacing w:after="0" w:line="240" w:lineRule="auto"/>
              <w:rPr>
                <w:rFonts w:ascii="Times New Roman" w:hAnsi="Times New Roman"/>
                <w:b/>
                <w:noProof/>
                <w:sz w:val="20"/>
                <w:szCs w:val="20"/>
              </w:rPr>
            </w:pPr>
            <w:r>
              <w:rPr>
                <w:rFonts w:ascii="Times New Roman" w:hAnsi="Times New Roman"/>
                <w:b/>
                <w:noProof/>
                <w:sz w:val="20"/>
                <w:szCs w:val="20"/>
              </w:rPr>
              <w:t>Anulētās kvotas</w:t>
            </w:r>
          </w:p>
        </w:tc>
        <w:tc>
          <w:tcPr>
            <w:tcW w:w="0" w:type="auto"/>
            <w:shd w:val="clear" w:color="auto" w:fill="auto"/>
          </w:tcPr>
          <w:p>
            <w:pPr>
              <w:spacing w:after="0" w:line="240" w:lineRule="auto"/>
              <w:jc w:val="both"/>
              <w:rPr>
                <w:rFonts w:ascii="Times New Roman" w:hAnsi="Times New Roman"/>
                <w:noProof/>
                <w:sz w:val="20"/>
                <w:szCs w:val="20"/>
              </w:rPr>
            </w:pPr>
            <w:r>
              <w:rPr>
                <w:rFonts w:ascii="Times New Roman" w:hAnsi="Times New Roman"/>
                <w:noProof/>
                <w:sz w:val="20"/>
                <w:szCs w:val="20"/>
              </w:rPr>
              <w:t>Pieprasījums</w:t>
            </w:r>
          </w:p>
        </w:tc>
        <w:tc>
          <w:tcPr>
            <w:tcW w:w="0" w:type="auto"/>
            <w:shd w:val="clear" w:color="auto" w:fill="auto"/>
          </w:tcPr>
          <w:p>
            <w:pPr>
              <w:spacing w:after="0" w:line="240" w:lineRule="auto"/>
              <w:jc w:val="both"/>
              <w:rPr>
                <w:rFonts w:ascii="Times New Roman" w:hAnsi="Times New Roman"/>
                <w:noProof/>
                <w:sz w:val="20"/>
                <w:szCs w:val="20"/>
              </w:rPr>
            </w:pPr>
          </w:p>
        </w:tc>
        <w:tc>
          <w:tcPr>
            <w:tcW w:w="0" w:type="auto"/>
            <w:shd w:val="clear" w:color="auto" w:fill="auto"/>
          </w:tcPr>
          <w:p>
            <w:pPr>
              <w:spacing w:after="0" w:line="240" w:lineRule="auto"/>
              <w:jc w:val="both"/>
              <w:rPr>
                <w:rFonts w:ascii="Times New Roman" w:hAnsi="Times New Roman"/>
                <w:noProof/>
                <w:sz w:val="20"/>
                <w:szCs w:val="20"/>
              </w:rPr>
            </w:pPr>
            <w:r>
              <w:rPr>
                <w:rFonts w:ascii="Times New Roman" w:hAnsi="Times New Roman"/>
                <w:noProof/>
                <w:sz w:val="20"/>
                <w:szCs w:val="20"/>
              </w:rPr>
              <w:t>Ziņojums par oglekļa tirgus darbību</w:t>
            </w:r>
          </w:p>
        </w:tc>
      </w:tr>
    </w:tbl>
    <w:p>
      <w:pPr>
        <w:pStyle w:val="Caption"/>
        <w:keepNext/>
        <w:rPr>
          <w:rFonts w:ascii="Times New Roman" w:hAnsi="Times New Roman"/>
          <w:noProof/>
          <w:sz w:val="22"/>
          <w:szCs w:val="22"/>
        </w:rPr>
      </w:pPr>
    </w:p>
    <w:p>
      <w:pPr>
        <w:pStyle w:val="Caption"/>
        <w:keepNext/>
        <w:rPr>
          <w:rFonts w:ascii="Times New Roman" w:hAnsi="Times New Roman"/>
          <w:noProof/>
        </w:rPr>
      </w:pPr>
      <w:r>
        <w:rPr>
          <w:rFonts w:ascii="Times New Roman" w:hAnsi="Times New Roman"/>
          <w:noProof/>
        </w:rPr>
        <w:t xml:space="preserve">4.2. tabula. Datu publicēšanas laika grafiks </w:t>
      </w:r>
    </w:p>
    <w:tbl>
      <w:tblPr>
        <w:tblW w:w="8438"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2"/>
        <w:gridCol w:w="3150"/>
        <w:gridCol w:w="2916"/>
      </w:tblGrid>
      <w:tr>
        <w:trPr>
          <w:trHeight w:val="375"/>
        </w:trPr>
        <w:tc>
          <w:tcPr>
            <w:tcW w:w="2372" w:type="dxa"/>
            <w:shd w:val="clear" w:color="auto" w:fill="auto"/>
            <w:vAlign w:val="center"/>
          </w:tcPr>
          <w:p>
            <w:pPr>
              <w:rPr>
                <w:rFonts w:ascii="Times New Roman" w:hAnsi="Times New Roman"/>
                <w:b/>
                <w:noProof/>
              </w:rPr>
            </w:pPr>
            <w:r>
              <w:rPr>
                <w:rFonts w:ascii="Times New Roman" w:hAnsi="Times New Roman"/>
                <w:b/>
                <w:noProof/>
              </w:rPr>
              <w:t>Termiņš</w:t>
            </w:r>
          </w:p>
        </w:tc>
        <w:tc>
          <w:tcPr>
            <w:tcW w:w="3150" w:type="dxa"/>
            <w:shd w:val="clear" w:color="auto" w:fill="auto"/>
            <w:vAlign w:val="center"/>
          </w:tcPr>
          <w:p>
            <w:pPr>
              <w:rPr>
                <w:rFonts w:ascii="Times New Roman" w:hAnsi="Times New Roman"/>
                <w:b/>
                <w:noProof/>
              </w:rPr>
            </w:pPr>
            <w:r>
              <w:rPr>
                <w:rFonts w:ascii="Times New Roman" w:hAnsi="Times New Roman"/>
                <w:b/>
                <w:noProof/>
              </w:rPr>
              <w:t>Dati</w:t>
            </w:r>
          </w:p>
        </w:tc>
        <w:tc>
          <w:tcPr>
            <w:tcW w:w="2916" w:type="dxa"/>
            <w:shd w:val="clear" w:color="auto" w:fill="auto"/>
            <w:vAlign w:val="center"/>
          </w:tcPr>
          <w:p>
            <w:pPr>
              <w:rPr>
                <w:rFonts w:ascii="Times New Roman" w:hAnsi="Times New Roman"/>
                <w:b/>
                <w:noProof/>
              </w:rPr>
            </w:pPr>
            <w:r>
              <w:rPr>
                <w:rFonts w:ascii="Times New Roman" w:hAnsi="Times New Roman"/>
                <w:b/>
                <w:noProof/>
              </w:rPr>
              <w:t>Tvērums</w:t>
            </w:r>
          </w:p>
        </w:tc>
      </w:tr>
      <w:tr>
        <w:trPr>
          <w:trHeight w:val="594"/>
        </w:trPr>
        <w:tc>
          <w:tcPr>
            <w:tcW w:w="2372" w:type="dxa"/>
            <w:shd w:val="clear" w:color="auto" w:fill="auto"/>
          </w:tcPr>
          <w:p>
            <w:pPr>
              <w:rPr>
                <w:rFonts w:ascii="Times New Roman" w:hAnsi="Times New Roman"/>
                <w:noProof/>
                <w:sz w:val="20"/>
                <w:szCs w:val="20"/>
              </w:rPr>
            </w:pPr>
            <w:r>
              <w:rPr>
                <w:rFonts w:ascii="Times New Roman" w:hAnsi="Times New Roman"/>
                <w:noProof/>
                <w:sz w:val="20"/>
                <w:szCs w:val="20"/>
              </w:rPr>
              <w:t>x. gada 1. janvāris–30. aprīlis</w:t>
            </w:r>
          </w:p>
        </w:tc>
        <w:tc>
          <w:tcPr>
            <w:tcW w:w="3150" w:type="dxa"/>
            <w:shd w:val="clear" w:color="auto" w:fill="auto"/>
          </w:tcPr>
          <w:p>
            <w:pPr>
              <w:rPr>
                <w:rFonts w:ascii="Times New Roman" w:hAnsi="Times New Roman"/>
                <w:noProof/>
                <w:sz w:val="20"/>
                <w:szCs w:val="20"/>
              </w:rPr>
            </w:pPr>
            <w:r>
              <w:rPr>
                <w:rFonts w:ascii="Times New Roman" w:hAnsi="Times New Roman"/>
                <w:noProof/>
                <w:sz w:val="20"/>
                <w:szCs w:val="20"/>
              </w:rPr>
              <w:t>Atjaunināts to bezmaksas kvotu skaits, kuras iedala elektroenerģijas un siltuma ražošanas nozarei (10.c pants)</w:t>
            </w:r>
          </w:p>
        </w:tc>
        <w:tc>
          <w:tcPr>
            <w:tcW w:w="2916" w:type="dxa"/>
            <w:shd w:val="clear" w:color="auto" w:fill="auto"/>
          </w:tcPr>
          <w:p>
            <w:pPr>
              <w:rPr>
                <w:rFonts w:ascii="Times New Roman" w:hAnsi="Times New Roman"/>
                <w:noProof/>
                <w:sz w:val="20"/>
                <w:szCs w:val="20"/>
              </w:rPr>
            </w:pPr>
            <w:r>
              <w:rPr>
                <w:rFonts w:ascii="Times New Roman" w:hAnsi="Times New Roman"/>
                <w:noProof/>
                <w:sz w:val="20"/>
                <w:szCs w:val="20"/>
              </w:rPr>
              <w:t>(x-1). gads</w:t>
            </w:r>
          </w:p>
        </w:tc>
      </w:tr>
      <w:tr>
        <w:trPr>
          <w:trHeight w:val="969"/>
        </w:trPr>
        <w:tc>
          <w:tcPr>
            <w:tcW w:w="2372" w:type="dxa"/>
            <w:shd w:val="clear" w:color="auto" w:fill="auto"/>
          </w:tcPr>
          <w:p>
            <w:pPr>
              <w:rPr>
                <w:rFonts w:ascii="Times New Roman" w:hAnsi="Times New Roman"/>
                <w:noProof/>
                <w:sz w:val="20"/>
                <w:szCs w:val="20"/>
              </w:rPr>
            </w:pPr>
            <w:r>
              <w:rPr>
                <w:rFonts w:ascii="Times New Roman" w:hAnsi="Times New Roman"/>
                <w:noProof/>
                <w:sz w:val="20"/>
                <w:szCs w:val="20"/>
              </w:rPr>
              <w:t>x. gada 1. aprīlis</w:t>
            </w:r>
          </w:p>
        </w:tc>
        <w:tc>
          <w:tcPr>
            <w:tcW w:w="3150" w:type="dxa"/>
            <w:shd w:val="clear" w:color="auto" w:fill="auto"/>
          </w:tcPr>
          <w:p>
            <w:pPr>
              <w:rPr>
                <w:rFonts w:ascii="Times New Roman" w:hAnsi="Times New Roman"/>
                <w:noProof/>
                <w:sz w:val="20"/>
                <w:szCs w:val="20"/>
              </w:rPr>
            </w:pPr>
            <w:r>
              <w:rPr>
                <w:rFonts w:ascii="Times New Roman" w:hAnsi="Times New Roman"/>
                <w:noProof/>
                <w:sz w:val="20"/>
                <w:szCs w:val="20"/>
              </w:rPr>
              <w:t>Verificētās emisijas</w:t>
            </w:r>
          </w:p>
          <w:p>
            <w:pPr>
              <w:rPr>
                <w:rFonts w:ascii="Times New Roman" w:hAnsi="Times New Roman"/>
                <w:noProof/>
                <w:sz w:val="20"/>
                <w:szCs w:val="20"/>
              </w:rPr>
            </w:pPr>
            <w:r>
              <w:rPr>
                <w:rFonts w:ascii="Times New Roman" w:hAnsi="Times New Roman"/>
                <w:noProof/>
                <w:sz w:val="20"/>
                <w:szCs w:val="20"/>
              </w:rPr>
              <w:t>Bezmaksas kvotu iedale (10.a panta 5. punkts — VĪP)</w:t>
            </w:r>
          </w:p>
        </w:tc>
        <w:tc>
          <w:tcPr>
            <w:tcW w:w="2916" w:type="dxa"/>
            <w:shd w:val="clear" w:color="auto" w:fill="auto"/>
          </w:tcPr>
          <w:p>
            <w:pPr>
              <w:rPr>
                <w:rFonts w:ascii="Times New Roman" w:hAnsi="Times New Roman"/>
                <w:noProof/>
                <w:sz w:val="20"/>
                <w:szCs w:val="20"/>
              </w:rPr>
            </w:pPr>
            <w:r>
              <w:rPr>
                <w:rFonts w:ascii="Times New Roman" w:hAnsi="Times New Roman"/>
                <w:noProof/>
                <w:sz w:val="20"/>
                <w:szCs w:val="20"/>
              </w:rPr>
              <w:t>(x-1). gads</w:t>
            </w:r>
          </w:p>
        </w:tc>
      </w:tr>
      <w:tr>
        <w:trPr>
          <w:trHeight w:val="814"/>
        </w:trPr>
        <w:tc>
          <w:tcPr>
            <w:tcW w:w="2372" w:type="dxa"/>
            <w:shd w:val="clear" w:color="auto" w:fill="auto"/>
          </w:tcPr>
          <w:p>
            <w:pPr>
              <w:rPr>
                <w:rFonts w:ascii="Times New Roman" w:hAnsi="Times New Roman"/>
                <w:noProof/>
                <w:sz w:val="20"/>
                <w:szCs w:val="20"/>
              </w:rPr>
            </w:pPr>
            <w:r>
              <w:rPr>
                <w:rFonts w:ascii="Times New Roman" w:hAnsi="Times New Roman"/>
                <w:noProof/>
                <w:sz w:val="20"/>
                <w:szCs w:val="20"/>
              </w:rPr>
              <w:t>x. gada 1. maijs</w:t>
            </w:r>
          </w:p>
        </w:tc>
        <w:tc>
          <w:tcPr>
            <w:tcW w:w="3150" w:type="dxa"/>
            <w:shd w:val="clear" w:color="auto" w:fill="auto"/>
          </w:tcPr>
          <w:p>
            <w:pPr>
              <w:rPr>
                <w:rFonts w:ascii="Times New Roman" w:hAnsi="Times New Roman"/>
                <w:noProof/>
                <w:sz w:val="20"/>
                <w:szCs w:val="20"/>
              </w:rPr>
            </w:pPr>
            <w:r>
              <w:rPr>
                <w:rFonts w:ascii="Times New Roman" w:hAnsi="Times New Roman"/>
                <w:noProof/>
                <w:sz w:val="20"/>
                <w:szCs w:val="20"/>
              </w:rPr>
              <w:t>Atbilstības termiņš: verificētās emisijas un nodotās kvotas</w:t>
            </w:r>
          </w:p>
        </w:tc>
        <w:tc>
          <w:tcPr>
            <w:tcW w:w="2916" w:type="dxa"/>
            <w:shd w:val="clear" w:color="auto" w:fill="auto"/>
          </w:tcPr>
          <w:p>
            <w:pPr>
              <w:rPr>
                <w:rFonts w:ascii="Times New Roman" w:hAnsi="Times New Roman"/>
                <w:noProof/>
                <w:sz w:val="20"/>
                <w:szCs w:val="20"/>
              </w:rPr>
            </w:pPr>
            <w:r>
              <w:rPr>
                <w:rFonts w:ascii="Times New Roman" w:hAnsi="Times New Roman"/>
                <w:noProof/>
                <w:sz w:val="20"/>
                <w:szCs w:val="20"/>
              </w:rPr>
              <w:t>(x-1). gads</w:t>
            </w:r>
          </w:p>
        </w:tc>
      </w:tr>
      <w:tr>
        <w:trPr>
          <w:trHeight w:val="375"/>
        </w:trPr>
        <w:tc>
          <w:tcPr>
            <w:tcW w:w="2372" w:type="dxa"/>
            <w:shd w:val="clear" w:color="auto" w:fill="auto"/>
          </w:tcPr>
          <w:p>
            <w:pPr>
              <w:rPr>
                <w:rFonts w:ascii="Times New Roman" w:hAnsi="Times New Roman"/>
                <w:noProof/>
                <w:sz w:val="20"/>
                <w:szCs w:val="20"/>
              </w:rPr>
            </w:pPr>
            <w:r>
              <w:rPr>
                <w:rFonts w:ascii="Times New Roman" w:hAnsi="Times New Roman"/>
                <w:noProof/>
                <w:sz w:val="20"/>
                <w:szCs w:val="20"/>
              </w:rPr>
              <w:t>x. gada maijs/oktobris</w:t>
            </w:r>
          </w:p>
        </w:tc>
        <w:tc>
          <w:tcPr>
            <w:tcW w:w="3150" w:type="dxa"/>
            <w:shd w:val="clear" w:color="auto" w:fill="auto"/>
          </w:tcPr>
          <w:p>
            <w:pPr>
              <w:rPr>
                <w:rFonts w:ascii="Times New Roman" w:hAnsi="Times New Roman"/>
                <w:noProof/>
                <w:sz w:val="20"/>
                <w:szCs w:val="20"/>
              </w:rPr>
            </w:pPr>
            <w:r>
              <w:rPr>
                <w:rFonts w:ascii="Times New Roman" w:hAnsi="Times New Roman"/>
                <w:noProof/>
                <w:sz w:val="20"/>
                <w:szCs w:val="20"/>
              </w:rPr>
              <w:t>Apmainītie starptautiskie kredīti</w:t>
            </w:r>
          </w:p>
        </w:tc>
        <w:tc>
          <w:tcPr>
            <w:tcW w:w="2916" w:type="dxa"/>
            <w:shd w:val="clear" w:color="auto" w:fill="auto"/>
          </w:tcPr>
          <w:p>
            <w:pPr>
              <w:rPr>
                <w:rFonts w:ascii="Times New Roman" w:hAnsi="Times New Roman"/>
                <w:noProof/>
                <w:sz w:val="20"/>
                <w:szCs w:val="20"/>
              </w:rPr>
            </w:pPr>
          </w:p>
        </w:tc>
      </w:tr>
      <w:tr>
        <w:trPr>
          <w:trHeight w:val="366"/>
        </w:trPr>
        <w:tc>
          <w:tcPr>
            <w:tcW w:w="2372" w:type="dxa"/>
            <w:shd w:val="clear" w:color="auto" w:fill="auto"/>
          </w:tcPr>
          <w:p>
            <w:pPr>
              <w:rPr>
                <w:rFonts w:ascii="Times New Roman" w:hAnsi="Times New Roman"/>
                <w:noProof/>
                <w:sz w:val="20"/>
                <w:szCs w:val="20"/>
              </w:rPr>
            </w:pPr>
            <w:r>
              <w:rPr>
                <w:rFonts w:ascii="Times New Roman" w:hAnsi="Times New Roman"/>
                <w:noProof/>
                <w:sz w:val="20"/>
                <w:szCs w:val="20"/>
              </w:rPr>
              <w:t>x. gada pēdējais ceturksnis</w:t>
            </w:r>
          </w:p>
        </w:tc>
        <w:tc>
          <w:tcPr>
            <w:tcW w:w="3150" w:type="dxa"/>
            <w:shd w:val="clear" w:color="auto" w:fill="auto"/>
          </w:tcPr>
          <w:p>
            <w:pPr>
              <w:rPr>
                <w:rFonts w:ascii="Times New Roman" w:hAnsi="Times New Roman"/>
                <w:noProof/>
                <w:sz w:val="20"/>
                <w:szCs w:val="20"/>
              </w:rPr>
            </w:pPr>
            <w:r>
              <w:rPr>
                <w:rFonts w:ascii="Times New Roman" w:hAnsi="Times New Roman"/>
                <w:noProof/>
                <w:sz w:val="20"/>
                <w:szCs w:val="20"/>
              </w:rPr>
              <w:t>Ziņojums par oglekļa tirgus darbību</w:t>
            </w:r>
          </w:p>
        </w:tc>
        <w:tc>
          <w:tcPr>
            <w:tcW w:w="2916" w:type="dxa"/>
            <w:shd w:val="clear" w:color="auto" w:fill="auto"/>
          </w:tcPr>
          <w:p>
            <w:pPr>
              <w:rPr>
                <w:rFonts w:ascii="Times New Roman" w:hAnsi="Times New Roman"/>
                <w:noProof/>
                <w:sz w:val="20"/>
                <w:szCs w:val="20"/>
              </w:rPr>
            </w:pPr>
            <w:r>
              <w:rPr>
                <w:rFonts w:ascii="Times New Roman" w:hAnsi="Times New Roman"/>
                <w:noProof/>
                <w:sz w:val="20"/>
                <w:szCs w:val="20"/>
              </w:rPr>
              <w:t>(x-1). gads</w:t>
            </w:r>
          </w:p>
        </w:tc>
      </w:tr>
      <w:tr>
        <w:trPr>
          <w:trHeight w:val="594"/>
        </w:trPr>
        <w:tc>
          <w:tcPr>
            <w:tcW w:w="2372" w:type="dxa"/>
            <w:shd w:val="clear" w:color="auto" w:fill="auto"/>
          </w:tcPr>
          <w:p>
            <w:pPr>
              <w:rPr>
                <w:rFonts w:ascii="Times New Roman" w:hAnsi="Times New Roman"/>
                <w:noProof/>
                <w:sz w:val="20"/>
                <w:szCs w:val="20"/>
              </w:rPr>
            </w:pPr>
            <w:r>
              <w:rPr>
                <w:rFonts w:ascii="Times New Roman" w:hAnsi="Times New Roman"/>
                <w:noProof/>
                <w:sz w:val="20"/>
                <w:szCs w:val="20"/>
              </w:rPr>
              <w:t>x. gada janvāris/jūlijs</w:t>
            </w:r>
          </w:p>
        </w:tc>
        <w:tc>
          <w:tcPr>
            <w:tcW w:w="3150" w:type="dxa"/>
            <w:shd w:val="clear" w:color="auto" w:fill="auto"/>
          </w:tcPr>
          <w:p>
            <w:pPr>
              <w:rPr>
                <w:rFonts w:ascii="Times New Roman" w:hAnsi="Times New Roman"/>
                <w:noProof/>
                <w:sz w:val="20"/>
                <w:szCs w:val="20"/>
              </w:rPr>
            </w:pPr>
            <w:r>
              <w:rPr>
                <w:rFonts w:ascii="Times New Roman" w:hAnsi="Times New Roman"/>
                <w:noProof/>
                <w:sz w:val="20"/>
                <w:szCs w:val="20"/>
              </w:rPr>
              <w:t xml:space="preserve">Jaunu iekārtu rezerves statuss — </w:t>
            </w:r>
            <w:r>
              <w:rPr>
                <w:rFonts w:ascii="Times New Roman" w:hAnsi="Times New Roman"/>
                <w:i/>
                <w:noProof/>
                <w:sz w:val="20"/>
                <w:szCs w:val="20"/>
              </w:rPr>
              <w:t>NER</w:t>
            </w:r>
            <w:r>
              <w:rPr>
                <w:rFonts w:ascii="Times New Roman" w:hAnsi="Times New Roman"/>
                <w:noProof/>
                <w:sz w:val="20"/>
                <w:szCs w:val="20"/>
              </w:rPr>
              <w:t xml:space="preserve"> tabula</w:t>
            </w:r>
          </w:p>
        </w:tc>
        <w:tc>
          <w:tcPr>
            <w:tcW w:w="2916" w:type="dxa"/>
            <w:shd w:val="clear" w:color="auto" w:fill="auto"/>
          </w:tcPr>
          <w:p>
            <w:pPr>
              <w:rPr>
                <w:rFonts w:ascii="Times New Roman" w:hAnsi="Times New Roman"/>
                <w:noProof/>
                <w:sz w:val="20"/>
                <w:szCs w:val="20"/>
              </w:rPr>
            </w:pPr>
          </w:p>
        </w:tc>
      </w:tr>
      <w:tr>
        <w:trPr>
          <w:trHeight w:val="603"/>
        </w:trPr>
        <w:tc>
          <w:tcPr>
            <w:tcW w:w="2372" w:type="dxa"/>
            <w:shd w:val="clear" w:color="auto" w:fill="auto"/>
          </w:tcPr>
          <w:p>
            <w:pPr>
              <w:rPr>
                <w:rFonts w:ascii="Times New Roman" w:hAnsi="Times New Roman"/>
                <w:noProof/>
                <w:sz w:val="20"/>
                <w:szCs w:val="20"/>
              </w:rPr>
            </w:pPr>
            <w:r>
              <w:rPr>
                <w:rFonts w:ascii="Times New Roman" w:hAnsi="Times New Roman"/>
                <w:noProof/>
                <w:sz w:val="20"/>
                <w:szCs w:val="20"/>
              </w:rPr>
              <w:t>Nepublicē ES līmenī</w:t>
            </w:r>
          </w:p>
        </w:tc>
        <w:tc>
          <w:tcPr>
            <w:tcW w:w="3150" w:type="dxa"/>
            <w:shd w:val="clear" w:color="auto" w:fill="auto"/>
          </w:tcPr>
          <w:p>
            <w:pPr>
              <w:rPr>
                <w:rFonts w:ascii="Times New Roman" w:hAnsi="Times New Roman"/>
                <w:noProof/>
                <w:sz w:val="20"/>
                <w:szCs w:val="20"/>
              </w:rPr>
            </w:pPr>
            <w:r>
              <w:rPr>
                <w:rFonts w:ascii="Times New Roman" w:hAnsi="Times New Roman"/>
                <w:noProof/>
                <w:sz w:val="20"/>
                <w:szCs w:val="20"/>
              </w:rPr>
              <w:t>Aviācijas jomā bez maksas iedalīto kvotu skaitu publicē dalībvalstu līmenī.</w:t>
            </w:r>
          </w:p>
        </w:tc>
        <w:tc>
          <w:tcPr>
            <w:tcW w:w="2916" w:type="dxa"/>
            <w:shd w:val="clear" w:color="auto" w:fill="auto"/>
          </w:tcPr>
          <w:p>
            <w:pPr>
              <w:rPr>
                <w:rFonts w:ascii="Times New Roman" w:hAnsi="Times New Roman"/>
                <w:noProof/>
                <w:sz w:val="20"/>
                <w:szCs w:val="20"/>
              </w:rPr>
            </w:pPr>
          </w:p>
        </w:tc>
      </w:tr>
    </w:tbl>
    <w:p>
      <w:pPr>
        <w:rPr>
          <w:rFonts w:ascii="Times New Roman" w:hAnsi="Times New Roman"/>
          <w:b/>
          <w:noProof/>
        </w:rPr>
      </w:pPr>
    </w:p>
    <w:p>
      <w:pPr>
        <w:rPr>
          <w:rFonts w:ascii="Times New Roman" w:hAnsi="Times New Roman"/>
          <w:b/>
          <w:noProof/>
        </w:rPr>
      </w:pPr>
      <w:r>
        <w:rPr>
          <w:rFonts w:ascii="Times New Roman" w:hAnsi="Times New Roman"/>
          <w:b/>
          <w:noProof/>
        </w:rPr>
        <w:t>5. papildinājums</w:t>
      </w:r>
    </w:p>
    <w:p>
      <w:pPr>
        <w:rPr>
          <w:rFonts w:ascii="Times New Roman" w:hAnsi="Times New Roman"/>
          <w:b/>
          <w:noProof/>
        </w:rPr>
      </w:pPr>
      <w:r>
        <w:rPr>
          <w:rFonts w:ascii="Times New Roman" w:hAnsi="Times New Roman"/>
          <w:b/>
          <w:noProof/>
          <w:sz w:val="20"/>
          <w:szCs w:val="20"/>
        </w:rPr>
        <w:t>5.1. tabula. ETS verificētās iekārtu ne</w:t>
      </w:r>
      <w:r>
        <w:rPr>
          <w:rFonts w:ascii="Times New Roman" w:hAnsi="Times New Roman"/>
          <w:b/>
          <w:bCs/>
          <w:noProof/>
          <w:color w:val="262626"/>
          <w:sz w:val="20"/>
          <w:szCs w:val="20"/>
        </w:rPr>
        <w:t>oglekļa</w:t>
      </w:r>
      <w:r>
        <w:rPr>
          <w:rFonts w:ascii="Times New Roman" w:hAnsi="Times New Roman"/>
          <w:b/>
          <w:noProof/>
          <w:sz w:val="20"/>
          <w:szCs w:val="20"/>
        </w:rPr>
        <w:t xml:space="preserve"> emisijas pa siltumnīcefekta gāzu veidiem 2013.–2018. gadā (miljonos tonnu</w:t>
      </w:r>
      <w:r>
        <w:rPr>
          <w:rFonts w:ascii="Times New Roman" w:hAnsi="Times New Roman"/>
          <w:b/>
          <w:noProof/>
        </w:rPr>
        <w:t>)</w:t>
      </w:r>
      <w:r>
        <w:rPr>
          <w:rStyle w:val="FootnoteReference"/>
          <w:rFonts w:ascii="Times New Roman" w:hAnsi="Times New Roman"/>
          <w:b/>
          <w:noProof/>
        </w:rPr>
        <w:footnoteReference w:id="80"/>
      </w:r>
      <w:r>
        <w:rPr>
          <w:rFonts w:ascii="Times New Roman" w:hAnsi="Times New Roman"/>
          <w:b/>
          <w:noProof/>
        </w:rPr>
        <w:fldChar w:fldCharType="begin"/>
      </w:r>
      <w:r>
        <w:rPr>
          <w:rFonts w:ascii="Times New Roman" w:hAnsi="Times New Roman"/>
          <w:b/>
          <w:noProof/>
        </w:rPr>
        <w:instrText xml:space="preserve"> LINK Excel.Sheet.12 "\\\\net1.cec.eu.int\\CLIMA\\B\\1\\23.01 General\\23.01-7.6 Carbon market reports\\2019\\Copy of Report emissions_N2O_PFC_CO2.xlsx" Sheet1!R20C1:R24C9 \a \f 5 \h  \* MERGEFORMAT </w:instrText>
      </w:r>
      <w:r>
        <w:rPr>
          <w:rFonts w:ascii="Times New Roman" w:hAnsi="Times New Roman"/>
          <w:b/>
          <w:noProof/>
        </w:rPr>
        <w:fldChar w:fldCharType="separate"/>
      </w:r>
    </w:p>
    <w:tbl>
      <w:tblPr>
        <w:tblStyle w:val="TableGrid"/>
        <w:tblW w:w="68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2"/>
        <w:gridCol w:w="973"/>
        <w:gridCol w:w="972"/>
        <w:gridCol w:w="973"/>
        <w:gridCol w:w="973"/>
        <w:gridCol w:w="973"/>
        <w:gridCol w:w="973"/>
      </w:tblGrid>
      <w:tr>
        <w:trPr>
          <w:trHeight w:val="506"/>
        </w:trPr>
        <w:tc>
          <w:tcPr>
            <w:tcW w:w="972" w:type="dxa"/>
            <w:noWrap/>
            <w:vAlign w:val="center"/>
            <w:hideMark/>
          </w:tcPr>
          <w:p>
            <w:pPr>
              <w:rPr>
                <w:rFonts w:ascii="Times New Roman" w:hAnsi="Times New Roman"/>
                <w:noProof/>
              </w:rPr>
            </w:pPr>
          </w:p>
        </w:tc>
        <w:tc>
          <w:tcPr>
            <w:tcW w:w="973" w:type="dxa"/>
            <w:noWrap/>
            <w:vAlign w:val="center"/>
            <w:hideMark/>
          </w:tcPr>
          <w:p>
            <w:pPr>
              <w:jc w:val="center"/>
              <w:rPr>
                <w:rFonts w:ascii="Times New Roman" w:hAnsi="Times New Roman"/>
                <w:b/>
                <w:noProof/>
              </w:rPr>
            </w:pPr>
            <w:r>
              <w:rPr>
                <w:rFonts w:ascii="Times New Roman" w:hAnsi="Times New Roman"/>
                <w:b/>
                <w:noProof/>
              </w:rPr>
              <w:t>2013</w:t>
            </w:r>
          </w:p>
        </w:tc>
        <w:tc>
          <w:tcPr>
            <w:tcW w:w="972" w:type="dxa"/>
            <w:noWrap/>
            <w:vAlign w:val="center"/>
            <w:hideMark/>
          </w:tcPr>
          <w:p>
            <w:pPr>
              <w:jc w:val="center"/>
              <w:rPr>
                <w:rFonts w:ascii="Times New Roman" w:hAnsi="Times New Roman"/>
                <w:b/>
                <w:noProof/>
              </w:rPr>
            </w:pPr>
            <w:r>
              <w:rPr>
                <w:rFonts w:ascii="Times New Roman" w:hAnsi="Times New Roman"/>
                <w:b/>
                <w:noProof/>
              </w:rPr>
              <w:t>2014</w:t>
            </w:r>
          </w:p>
        </w:tc>
        <w:tc>
          <w:tcPr>
            <w:tcW w:w="973" w:type="dxa"/>
            <w:noWrap/>
            <w:vAlign w:val="center"/>
            <w:hideMark/>
          </w:tcPr>
          <w:p>
            <w:pPr>
              <w:jc w:val="center"/>
              <w:rPr>
                <w:rFonts w:ascii="Times New Roman" w:hAnsi="Times New Roman"/>
                <w:b/>
                <w:noProof/>
              </w:rPr>
            </w:pPr>
            <w:r>
              <w:rPr>
                <w:rFonts w:ascii="Times New Roman" w:hAnsi="Times New Roman"/>
                <w:b/>
                <w:noProof/>
              </w:rPr>
              <w:t>2015</w:t>
            </w:r>
          </w:p>
        </w:tc>
        <w:tc>
          <w:tcPr>
            <w:tcW w:w="973" w:type="dxa"/>
            <w:noWrap/>
            <w:vAlign w:val="center"/>
            <w:hideMark/>
          </w:tcPr>
          <w:p>
            <w:pPr>
              <w:jc w:val="center"/>
              <w:rPr>
                <w:rFonts w:ascii="Times New Roman" w:hAnsi="Times New Roman"/>
                <w:b/>
                <w:noProof/>
              </w:rPr>
            </w:pPr>
            <w:r>
              <w:rPr>
                <w:rFonts w:ascii="Times New Roman" w:hAnsi="Times New Roman"/>
                <w:b/>
                <w:noProof/>
              </w:rPr>
              <w:t>2016</w:t>
            </w:r>
          </w:p>
        </w:tc>
        <w:tc>
          <w:tcPr>
            <w:tcW w:w="973" w:type="dxa"/>
            <w:noWrap/>
            <w:vAlign w:val="center"/>
            <w:hideMark/>
          </w:tcPr>
          <w:p>
            <w:pPr>
              <w:jc w:val="center"/>
              <w:rPr>
                <w:rFonts w:ascii="Times New Roman" w:hAnsi="Times New Roman"/>
                <w:b/>
                <w:noProof/>
              </w:rPr>
            </w:pPr>
            <w:r>
              <w:rPr>
                <w:rFonts w:ascii="Times New Roman" w:hAnsi="Times New Roman"/>
                <w:b/>
                <w:noProof/>
              </w:rPr>
              <w:t>2017</w:t>
            </w:r>
          </w:p>
        </w:tc>
        <w:tc>
          <w:tcPr>
            <w:tcW w:w="973" w:type="dxa"/>
            <w:noWrap/>
            <w:vAlign w:val="center"/>
            <w:hideMark/>
          </w:tcPr>
          <w:p>
            <w:pPr>
              <w:jc w:val="center"/>
              <w:rPr>
                <w:rFonts w:ascii="Times New Roman" w:hAnsi="Times New Roman"/>
                <w:b/>
                <w:noProof/>
              </w:rPr>
            </w:pPr>
            <w:r>
              <w:rPr>
                <w:rFonts w:ascii="Times New Roman" w:hAnsi="Times New Roman"/>
                <w:b/>
                <w:noProof/>
              </w:rPr>
              <w:t>2018</w:t>
            </w:r>
          </w:p>
        </w:tc>
      </w:tr>
      <w:tr>
        <w:trPr>
          <w:trHeight w:val="506"/>
        </w:trPr>
        <w:tc>
          <w:tcPr>
            <w:tcW w:w="972" w:type="dxa"/>
            <w:noWrap/>
            <w:vAlign w:val="center"/>
            <w:hideMark/>
          </w:tcPr>
          <w:p>
            <w:pPr>
              <w:rPr>
                <w:rFonts w:ascii="Times New Roman" w:hAnsi="Times New Roman"/>
                <w:b/>
                <w:noProof/>
              </w:rPr>
            </w:pPr>
            <w:r>
              <w:rPr>
                <w:rFonts w:ascii="Times New Roman" w:hAnsi="Times New Roman"/>
                <w:b/>
                <w:noProof/>
              </w:rPr>
              <w:t>PFCs</w:t>
            </w:r>
          </w:p>
        </w:tc>
        <w:tc>
          <w:tcPr>
            <w:tcW w:w="973" w:type="dxa"/>
            <w:noWrap/>
            <w:vAlign w:val="center"/>
            <w:hideMark/>
          </w:tcPr>
          <w:p>
            <w:pPr>
              <w:jc w:val="center"/>
              <w:rPr>
                <w:rFonts w:ascii="Times New Roman" w:hAnsi="Times New Roman"/>
                <w:noProof/>
              </w:rPr>
            </w:pPr>
            <w:r>
              <w:rPr>
                <w:rFonts w:ascii="Times New Roman" w:hAnsi="Times New Roman"/>
                <w:noProof/>
              </w:rPr>
              <w:t>0,40</w:t>
            </w:r>
          </w:p>
        </w:tc>
        <w:tc>
          <w:tcPr>
            <w:tcW w:w="972" w:type="dxa"/>
            <w:noWrap/>
            <w:vAlign w:val="center"/>
            <w:hideMark/>
          </w:tcPr>
          <w:p>
            <w:pPr>
              <w:jc w:val="center"/>
              <w:rPr>
                <w:rFonts w:ascii="Times New Roman" w:hAnsi="Times New Roman"/>
                <w:noProof/>
              </w:rPr>
            </w:pPr>
            <w:r>
              <w:rPr>
                <w:rFonts w:ascii="Times New Roman" w:hAnsi="Times New Roman"/>
                <w:noProof/>
              </w:rPr>
              <w:t>0,74</w:t>
            </w:r>
          </w:p>
        </w:tc>
        <w:tc>
          <w:tcPr>
            <w:tcW w:w="973" w:type="dxa"/>
            <w:noWrap/>
            <w:vAlign w:val="center"/>
            <w:hideMark/>
          </w:tcPr>
          <w:p>
            <w:pPr>
              <w:jc w:val="center"/>
              <w:rPr>
                <w:rFonts w:ascii="Times New Roman" w:hAnsi="Times New Roman"/>
                <w:noProof/>
              </w:rPr>
            </w:pPr>
            <w:r>
              <w:rPr>
                <w:rFonts w:ascii="Times New Roman" w:hAnsi="Times New Roman"/>
                <w:noProof/>
              </w:rPr>
              <w:t>0,58</w:t>
            </w:r>
          </w:p>
        </w:tc>
        <w:tc>
          <w:tcPr>
            <w:tcW w:w="973" w:type="dxa"/>
            <w:noWrap/>
            <w:vAlign w:val="center"/>
            <w:hideMark/>
          </w:tcPr>
          <w:p>
            <w:pPr>
              <w:jc w:val="center"/>
              <w:rPr>
                <w:rFonts w:ascii="Times New Roman" w:hAnsi="Times New Roman"/>
                <w:noProof/>
              </w:rPr>
            </w:pPr>
            <w:r>
              <w:rPr>
                <w:rFonts w:ascii="Times New Roman" w:hAnsi="Times New Roman"/>
                <w:noProof/>
              </w:rPr>
              <w:t>0,64</w:t>
            </w:r>
          </w:p>
        </w:tc>
        <w:tc>
          <w:tcPr>
            <w:tcW w:w="973" w:type="dxa"/>
            <w:noWrap/>
            <w:vAlign w:val="center"/>
            <w:hideMark/>
          </w:tcPr>
          <w:p>
            <w:pPr>
              <w:jc w:val="center"/>
              <w:rPr>
                <w:rFonts w:ascii="Times New Roman" w:hAnsi="Times New Roman"/>
                <w:noProof/>
              </w:rPr>
            </w:pPr>
            <w:r>
              <w:rPr>
                <w:rFonts w:ascii="Times New Roman" w:hAnsi="Times New Roman"/>
                <w:noProof/>
              </w:rPr>
              <w:t>0,47</w:t>
            </w:r>
          </w:p>
        </w:tc>
        <w:tc>
          <w:tcPr>
            <w:tcW w:w="973" w:type="dxa"/>
            <w:noWrap/>
            <w:vAlign w:val="center"/>
            <w:hideMark/>
          </w:tcPr>
          <w:p>
            <w:pPr>
              <w:jc w:val="center"/>
              <w:rPr>
                <w:rFonts w:ascii="Times New Roman" w:hAnsi="Times New Roman"/>
                <w:noProof/>
              </w:rPr>
            </w:pPr>
            <w:r>
              <w:rPr>
                <w:rFonts w:ascii="Times New Roman" w:hAnsi="Times New Roman"/>
                <w:noProof/>
              </w:rPr>
              <w:t>0,60</w:t>
            </w:r>
          </w:p>
        </w:tc>
      </w:tr>
      <w:tr>
        <w:trPr>
          <w:trHeight w:val="506"/>
        </w:trPr>
        <w:tc>
          <w:tcPr>
            <w:tcW w:w="972" w:type="dxa"/>
            <w:noWrap/>
            <w:vAlign w:val="center"/>
            <w:hideMark/>
          </w:tcPr>
          <w:p>
            <w:pPr>
              <w:rPr>
                <w:rFonts w:ascii="Times New Roman" w:hAnsi="Times New Roman"/>
                <w:b/>
                <w:noProof/>
              </w:rPr>
            </w:pPr>
            <w:r>
              <w:rPr>
                <w:rFonts w:ascii="Times New Roman" w:hAnsi="Times New Roman"/>
                <w:b/>
                <w:bCs/>
                <w:noProof/>
                <w:color w:val="262626"/>
              </w:rPr>
              <w:t>N</w:t>
            </w:r>
            <w:r>
              <w:rPr>
                <w:rFonts w:ascii="Times New Roman" w:hAnsi="Times New Roman"/>
                <w:b/>
                <w:bCs/>
                <w:noProof/>
                <w:color w:val="262626"/>
                <w:bdr w:val="none" w:sz="0" w:space="0" w:color="auto" w:frame="1"/>
                <w:vertAlign w:val="subscript"/>
              </w:rPr>
              <w:t>2</w:t>
            </w:r>
            <w:r>
              <w:rPr>
                <w:rFonts w:ascii="Times New Roman" w:hAnsi="Times New Roman"/>
                <w:b/>
                <w:bCs/>
                <w:noProof/>
                <w:color w:val="262626"/>
              </w:rPr>
              <w:t>O</w:t>
            </w:r>
          </w:p>
        </w:tc>
        <w:tc>
          <w:tcPr>
            <w:tcW w:w="973" w:type="dxa"/>
            <w:noWrap/>
            <w:vAlign w:val="center"/>
            <w:hideMark/>
          </w:tcPr>
          <w:p>
            <w:pPr>
              <w:jc w:val="center"/>
              <w:rPr>
                <w:rFonts w:ascii="Times New Roman" w:hAnsi="Times New Roman"/>
                <w:noProof/>
              </w:rPr>
            </w:pPr>
            <w:r>
              <w:rPr>
                <w:rFonts w:ascii="Times New Roman" w:hAnsi="Times New Roman"/>
                <w:noProof/>
              </w:rPr>
              <w:t>2,47</w:t>
            </w:r>
          </w:p>
        </w:tc>
        <w:tc>
          <w:tcPr>
            <w:tcW w:w="972" w:type="dxa"/>
            <w:noWrap/>
            <w:vAlign w:val="center"/>
            <w:hideMark/>
          </w:tcPr>
          <w:p>
            <w:pPr>
              <w:jc w:val="center"/>
              <w:rPr>
                <w:rFonts w:ascii="Times New Roman" w:hAnsi="Times New Roman"/>
                <w:noProof/>
              </w:rPr>
            </w:pPr>
            <w:r>
              <w:rPr>
                <w:rFonts w:ascii="Times New Roman" w:hAnsi="Times New Roman"/>
                <w:noProof/>
              </w:rPr>
              <w:t>5,49</w:t>
            </w:r>
          </w:p>
        </w:tc>
        <w:tc>
          <w:tcPr>
            <w:tcW w:w="973" w:type="dxa"/>
            <w:noWrap/>
            <w:vAlign w:val="center"/>
            <w:hideMark/>
          </w:tcPr>
          <w:p>
            <w:pPr>
              <w:jc w:val="center"/>
              <w:rPr>
                <w:rFonts w:ascii="Times New Roman" w:hAnsi="Times New Roman"/>
                <w:noProof/>
              </w:rPr>
            </w:pPr>
            <w:r>
              <w:rPr>
                <w:rFonts w:ascii="Times New Roman" w:hAnsi="Times New Roman"/>
                <w:noProof/>
              </w:rPr>
              <w:t>5,32</w:t>
            </w:r>
          </w:p>
        </w:tc>
        <w:tc>
          <w:tcPr>
            <w:tcW w:w="973" w:type="dxa"/>
            <w:noWrap/>
            <w:vAlign w:val="center"/>
            <w:hideMark/>
          </w:tcPr>
          <w:p>
            <w:pPr>
              <w:jc w:val="center"/>
              <w:rPr>
                <w:rFonts w:ascii="Times New Roman" w:hAnsi="Times New Roman"/>
                <w:noProof/>
              </w:rPr>
            </w:pPr>
            <w:r>
              <w:rPr>
                <w:rFonts w:ascii="Times New Roman" w:hAnsi="Times New Roman"/>
                <w:noProof/>
              </w:rPr>
              <w:t>4,62</w:t>
            </w:r>
          </w:p>
        </w:tc>
        <w:tc>
          <w:tcPr>
            <w:tcW w:w="973" w:type="dxa"/>
            <w:noWrap/>
            <w:vAlign w:val="center"/>
            <w:hideMark/>
          </w:tcPr>
          <w:p>
            <w:pPr>
              <w:jc w:val="center"/>
              <w:rPr>
                <w:rFonts w:ascii="Times New Roman" w:hAnsi="Times New Roman"/>
                <w:noProof/>
              </w:rPr>
            </w:pPr>
            <w:r>
              <w:rPr>
                <w:rFonts w:ascii="Times New Roman" w:hAnsi="Times New Roman"/>
                <w:noProof/>
              </w:rPr>
              <w:t>4,96</w:t>
            </w:r>
          </w:p>
        </w:tc>
        <w:tc>
          <w:tcPr>
            <w:tcW w:w="973" w:type="dxa"/>
            <w:noWrap/>
            <w:vAlign w:val="center"/>
            <w:hideMark/>
          </w:tcPr>
          <w:p>
            <w:pPr>
              <w:jc w:val="center"/>
              <w:rPr>
                <w:rFonts w:ascii="Times New Roman" w:hAnsi="Times New Roman"/>
                <w:noProof/>
              </w:rPr>
            </w:pPr>
            <w:r>
              <w:rPr>
                <w:rFonts w:ascii="Times New Roman" w:hAnsi="Times New Roman"/>
                <w:noProof/>
              </w:rPr>
              <w:t>4,11</w:t>
            </w:r>
          </w:p>
        </w:tc>
      </w:tr>
    </w:tbl>
    <w:p>
      <w:pPr>
        <w:rPr>
          <w:rFonts w:ascii="Times New Roman" w:hAnsi="Times New Roman"/>
          <w:noProof/>
          <w:sz w:val="18"/>
          <w:szCs w:val="18"/>
        </w:rPr>
      </w:pPr>
      <w:r>
        <w:rPr>
          <w:rFonts w:ascii="Times New Roman" w:hAnsi="Times New Roman"/>
          <w:noProof/>
        </w:rPr>
        <w:fldChar w:fldCharType="end"/>
      </w:r>
      <w:r>
        <w:rPr>
          <w:rFonts w:ascii="Times New Roman" w:hAnsi="Times New Roman"/>
          <w:noProof/>
          <w:sz w:val="18"/>
          <w:szCs w:val="18"/>
        </w:rPr>
        <w:t xml:space="preserve">Avots: </w:t>
      </w:r>
      <w:r>
        <w:rPr>
          <w:rFonts w:ascii="Times New Roman" w:hAnsi="Times New Roman"/>
          <w:i/>
          <w:noProof/>
          <w:sz w:val="18"/>
          <w:szCs w:val="18"/>
        </w:rPr>
        <w:t>EUTL</w:t>
      </w:r>
      <w:r>
        <w:rPr>
          <w:rFonts w:ascii="Times New Roman" w:hAnsi="Times New Roman"/>
          <w:noProof/>
          <w:sz w:val="18"/>
          <w:szCs w:val="18"/>
        </w:rPr>
        <w:t>.</w:t>
      </w:r>
    </w:p>
    <w:p>
      <w:pPr>
        <w:rPr>
          <w:rFonts w:ascii="Times New Roman" w:hAnsi="Times New Roman"/>
          <w:b/>
          <w:noProof/>
        </w:rPr>
      </w:pPr>
    </w:p>
    <w:p>
      <w:pPr>
        <w:rPr>
          <w:rFonts w:ascii="Times New Roman" w:hAnsi="Times New Roman"/>
          <w:b/>
          <w:noProof/>
        </w:rPr>
      </w:pPr>
      <w:r>
        <w:rPr>
          <w:rFonts w:ascii="Times New Roman" w:hAnsi="Times New Roman"/>
          <w:b/>
          <w:noProof/>
        </w:rPr>
        <w:t>6. papildinājums</w:t>
      </w:r>
    </w:p>
    <w:p>
      <w:pPr>
        <w:rPr>
          <w:rFonts w:ascii="Times New Roman" w:hAnsi="Times New Roman"/>
          <w:b/>
          <w:noProof/>
          <w:sz w:val="20"/>
          <w:szCs w:val="20"/>
        </w:rPr>
      </w:pPr>
      <w:r>
        <w:rPr>
          <w:rFonts w:ascii="Times New Roman" w:hAnsi="Times New Roman"/>
          <w:b/>
          <w:noProof/>
          <w:sz w:val="20"/>
          <w:szCs w:val="20"/>
        </w:rPr>
        <w:t>6.1. tabula. ES Tiesas nolēmumi par ES ETS darbību laikposmā no 2018. gada jūlija līdz 2019. gada jūnijam</w:t>
      </w:r>
    </w:p>
    <w:tbl>
      <w:tblPr>
        <w:tblStyle w:val="TableGrid4"/>
        <w:tblW w:w="956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05"/>
        <w:gridCol w:w="1382"/>
        <w:gridCol w:w="1382"/>
        <w:gridCol w:w="2640"/>
        <w:gridCol w:w="753"/>
        <w:gridCol w:w="2403"/>
      </w:tblGrid>
      <w:tr>
        <w:trPr>
          <w:trHeight w:val="551"/>
        </w:trPr>
        <w:tc>
          <w:tcPr>
            <w:tcW w:w="1005" w:type="dxa"/>
            <w:vAlign w:val="center"/>
            <w:hideMark/>
          </w:tcPr>
          <w:p>
            <w:pPr>
              <w:rPr>
                <w:rFonts w:ascii="Times New Roman" w:hAnsi="Times New Roman"/>
                <w:b/>
                <w:bCs/>
                <w:noProof/>
                <w:sz w:val="20"/>
                <w:szCs w:val="20"/>
              </w:rPr>
            </w:pPr>
            <w:r>
              <w:rPr>
                <w:rFonts w:ascii="Times New Roman" w:hAnsi="Times New Roman"/>
                <w:b/>
                <w:bCs/>
                <w:noProof/>
                <w:sz w:val="20"/>
                <w:szCs w:val="20"/>
              </w:rPr>
              <w:t>Lietas atsauce</w:t>
            </w:r>
          </w:p>
        </w:tc>
        <w:tc>
          <w:tcPr>
            <w:tcW w:w="1382" w:type="dxa"/>
            <w:vAlign w:val="center"/>
          </w:tcPr>
          <w:p>
            <w:pPr>
              <w:rPr>
                <w:rFonts w:ascii="Times New Roman" w:hAnsi="Times New Roman"/>
                <w:b/>
                <w:noProof/>
                <w:sz w:val="20"/>
                <w:szCs w:val="20"/>
              </w:rPr>
            </w:pPr>
            <w:r>
              <w:rPr>
                <w:rFonts w:ascii="Times New Roman" w:hAnsi="Times New Roman"/>
                <w:b/>
                <w:noProof/>
                <w:sz w:val="20"/>
                <w:szCs w:val="20"/>
              </w:rPr>
              <w:t>Skartie tiesību akti</w:t>
            </w:r>
          </w:p>
        </w:tc>
        <w:tc>
          <w:tcPr>
            <w:tcW w:w="1382" w:type="dxa"/>
            <w:vAlign w:val="center"/>
          </w:tcPr>
          <w:p>
            <w:pPr>
              <w:rPr>
                <w:rFonts w:ascii="Times New Roman" w:hAnsi="Times New Roman"/>
                <w:b/>
                <w:noProof/>
                <w:sz w:val="20"/>
                <w:szCs w:val="20"/>
              </w:rPr>
            </w:pPr>
            <w:r>
              <w:rPr>
                <w:rFonts w:ascii="Times New Roman" w:hAnsi="Times New Roman"/>
                <w:b/>
                <w:noProof/>
                <w:sz w:val="20"/>
                <w:szCs w:val="20"/>
              </w:rPr>
              <w:t>Puses</w:t>
            </w:r>
          </w:p>
        </w:tc>
        <w:tc>
          <w:tcPr>
            <w:tcW w:w="2640" w:type="dxa"/>
            <w:vAlign w:val="center"/>
          </w:tcPr>
          <w:p>
            <w:pPr>
              <w:jc w:val="center"/>
              <w:rPr>
                <w:rFonts w:ascii="Times New Roman" w:hAnsi="Times New Roman"/>
                <w:b/>
                <w:bCs/>
                <w:noProof/>
                <w:sz w:val="20"/>
                <w:szCs w:val="20"/>
              </w:rPr>
            </w:pPr>
            <w:r>
              <w:rPr>
                <w:rFonts w:ascii="Times New Roman" w:hAnsi="Times New Roman"/>
                <w:b/>
                <w:bCs/>
                <w:noProof/>
                <w:sz w:val="20"/>
                <w:szCs w:val="20"/>
              </w:rPr>
              <w:t>Lietas konteksts</w:t>
            </w:r>
          </w:p>
        </w:tc>
        <w:tc>
          <w:tcPr>
            <w:tcW w:w="753" w:type="dxa"/>
            <w:vAlign w:val="center"/>
            <w:hideMark/>
          </w:tcPr>
          <w:p>
            <w:pPr>
              <w:jc w:val="center"/>
              <w:rPr>
                <w:rFonts w:ascii="Times New Roman" w:hAnsi="Times New Roman"/>
                <w:b/>
                <w:bCs/>
                <w:noProof/>
                <w:sz w:val="20"/>
                <w:szCs w:val="20"/>
              </w:rPr>
            </w:pPr>
            <w:r>
              <w:rPr>
                <w:rFonts w:ascii="Times New Roman" w:hAnsi="Times New Roman"/>
                <w:b/>
                <w:bCs/>
                <w:noProof/>
                <w:sz w:val="20"/>
                <w:szCs w:val="20"/>
              </w:rPr>
              <w:t>Datums</w:t>
            </w:r>
          </w:p>
        </w:tc>
        <w:tc>
          <w:tcPr>
            <w:tcW w:w="2403" w:type="dxa"/>
            <w:vAlign w:val="center"/>
            <w:hideMark/>
          </w:tcPr>
          <w:p>
            <w:pPr>
              <w:jc w:val="center"/>
              <w:rPr>
                <w:rFonts w:ascii="Times New Roman" w:hAnsi="Times New Roman"/>
                <w:b/>
                <w:bCs/>
                <w:noProof/>
                <w:sz w:val="20"/>
                <w:szCs w:val="20"/>
              </w:rPr>
            </w:pPr>
            <w:r>
              <w:rPr>
                <w:rFonts w:ascii="Times New Roman" w:hAnsi="Times New Roman"/>
                <w:b/>
                <w:bCs/>
                <w:noProof/>
                <w:sz w:val="20"/>
                <w:szCs w:val="20"/>
              </w:rPr>
              <w:t>Tiesas konstatējums</w:t>
            </w:r>
          </w:p>
        </w:tc>
      </w:tr>
      <w:tr>
        <w:trPr>
          <w:trHeight w:val="1384"/>
        </w:trPr>
        <w:tc>
          <w:tcPr>
            <w:tcW w:w="1005" w:type="dxa"/>
          </w:tcPr>
          <w:p>
            <w:pPr>
              <w:rPr>
                <w:rFonts w:ascii="Times New Roman" w:hAnsi="Times New Roman"/>
                <w:bCs/>
                <w:noProof/>
                <w:sz w:val="20"/>
                <w:szCs w:val="20"/>
              </w:rPr>
            </w:pPr>
            <w:r>
              <w:rPr>
                <w:rFonts w:ascii="Times New Roman" w:hAnsi="Times New Roman"/>
                <w:bCs/>
                <w:noProof/>
                <w:sz w:val="20"/>
                <w:szCs w:val="20"/>
              </w:rPr>
              <w:t>Lieta C-682/17</w:t>
            </w:r>
          </w:p>
        </w:tc>
        <w:tc>
          <w:tcPr>
            <w:tcW w:w="1382" w:type="dxa"/>
          </w:tcPr>
          <w:p>
            <w:pPr>
              <w:rPr>
                <w:rFonts w:ascii="Times New Roman" w:hAnsi="Times New Roman"/>
                <w:noProof/>
                <w:sz w:val="20"/>
                <w:szCs w:val="20"/>
              </w:rPr>
            </w:pPr>
            <w:r>
              <w:rPr>
                <w:rFonts w:ascii="Times New Roman" w:hAnsi="Times New Roman"/>
                <w:noProof/>
                <w:sz w:val="20"/>
                <w:szCs w:val="20"/>
              </w:rPr>
              <w:t xml:space="preserve">Direktīva 2003/87/EK, </w:t>
            </w:r>
          </w:p>
          <w:p>
            <w:pPr>
              <w:rPr>
                <w:rFonts w:ascii="Times New Roman" w:hAnsi="Times New Roman"/>
                <w:noProof/>
                <w:sz w:val="20"/>
                <w:szCs w:val="20"/>
              </w:rPr>
            </w:pPr>
            <w:r>
              <w:rPr>
                <w:rFonts w:ascii="Times New Roman" w:hAnsi="Times New Roman"/>
                <w:noProof/>
                <w:sz w:val="20"/>
                <w:szCs w:val="20"/>
              </w:rPr>
              <w:t>Lēmums 2011/278/ES</w:t>
            </w:r>
          </w:p>
        </w:tc>
        <w:tc>
          <w:tcPr>
            <w:tcW w:w="1382" w:type="dxa"/>
          </w:tcPr>
          <w:p>
            <w:pPr>
              <w:rPr>
                <w:rFonts w:ascii="Times New Roman" w:hAnsi="Times New Roman"/>
                <w:noProof/>
                <w:sz w:val="20"/>
                <w:szCs w:val="20"/>
              </w:rPr>
            </w:pPr>
            <w:r>
              <w:rPr>
                <w:rFonts w:ascii="Times New Roman" w:hAnsi="Times New Roman"/>
                <w:i/>
                <w:noProof/>
                <w:sz w:val="20"/>
                <w:szCs w:val="20"/>
              </w:rPr>
              <w:t>ExxonMobil Production Deutschland GmbH</w:t>
            </w:r>
            <w:r>
              <w:rPr>
                <w:rFonts w:ascii="Times New Roman" w:hAnsi="Times New Roman"/>
                <w:noProof/>
                <w:sz w:val="20"/>
                <w:szCs w:val="20"/>
              </w:rPr>
              <w:t> / Vācija</w:t>
            </w:r>
          </w:p>
        </w:tc>
        <w:tc>
          <w:tcPr>
            <w:tcW w:w="2640" w:type="dxa"/>
          </w:tcPr>
          <w:p>
            <w:pPr>
              <w:rPr>
                <w:rFonts w:ascii="Times New Roman" w:hAnsi="Times New Roman"/>
                <w:bCs/>
                <w:noProof/>
                <w:sz w:val="20"/>
                <w:szCs w:val="20"/>
              </w:rPr>
            </w:pPr>
            <w:r>
              <w:rPr>
                <w:rFonts w:ascii="Times New Roman" w:hAnsi="Times New Roman"/>
                <w:bCs/>
                <w:noProof/>
                <w:sz w:val="20"/>
                <w:szCs w:val="20"/>
              </w:rPr>
              <w:t>Vai iekārta ir jāuzskata par elektroenerģijas ražošanas iekārtu, ja tā papildus elektroenerģijas ražošanai neveic nekādas citas I pielikumā minētās darbības, un, ja tā — vai tā ir tiesīga saņemt bezmaksas kvotas?</w:t>
            </w:r>
          </w:p>
        </w:tc>
        <w:tc>
          <w:tcPr>
            <w:tcW w:w="753" w:type="dxa"/>
          </w:tcPr>
          <w:p>
            <w:pPr>
              <w:rPr>
                <w:rFonts w:ascii="Times New Roman" w:hAnsi="Times New Roman"/>
                <w:bCs/>
                <w:noProof/>
                <w:sz w:val="20"/>
                <w:szCs w:val="20"/>
              </w:rPr>
            </w:pPr>
            <w:r>
              <w:rPr>
                <w:rFonts w:ascii="Times New Roman" w:hAnsi="Times New Roman"/>
                <w:bCs/>
                <w:noProof/>
                <w:sz w:val="20"/>
                <w:szCs w:val="20"/>
              </w:rPr>
              <w:t>20.06.2019.</w:t>
            </w:r>
          </w:p>
        </w:tc>
        <w:tc>
          <w:tcPr>
            <w:tcW w:w="2403" w:type="dxa"/>
          </w:tcPr>
          <w:p>
            <w:pPr>
              <w:rPr>
                <w:rFonts w:ascii="Times New Roman" w:hAnsi="Times New Roman"/>
                <w:bCs/>
                <w:noProof/>
                <w:sz w:val="20"/>
                <w:szCs w:val="20"/>
              </w:rPr>
            </w:pPr>
            <w:r>
              <w:rPr>
                <w:rFonts w:ascii="Times New Roman" w:hAnsi="Times New Roman"/>
                <w:bCs/>
                <w:noProof/>
                <w:sz w:val="20"/>
                <w:szCs w:val="20"/>
              </w:rPr>
              <w:t>Tiesa apstiprināja, ka Direktīvā 2003/87/EK lietotais elektroenerģijas ražošanas iekārtas jēdziens ir jāinterpretē burtiski.</w:t>
            </w:r>
          </w:p>
        </w:tc>
      </w:tr>
      <w:tr>
        <w:trPr>
          <w:trHeight w:val="1384"/>
        </w:trPr>
        <w:tc>
          <w:tcPr>
            <w:tcW w:w="1005" w:type="dxa"/>
          </w:tcPr>
          <w:p>
            <w:pPr>
              <w:rPr>
                <w:rFonts w:ascii="Times New Roman" w:hAnsi="Times New Roman"/>
                <w:bCs/>
                <w:noProof/>
                <w:sz w:val="20"/>
                <w:szCs w:val="20"/>
              </w:rPr>
            </w:pPr>
            <w:r>
              <w:rPr>
                <w:rFonts w:ascii="Times New Roman" w:hAnsi="Times New Roman"/>
                <w:bCs/>
                <w:noProof/>
                <w:sz w:val="20"/>
                <w:szCs w:val="20"/>
              </w:rPr>
              <w:t>Lieta T-330/18</w:t>
            </w:r>
          </w:p>
        </w:tc>
        <w:tc>
          <w:tcPr>
            <w:tcW w:w="1382" w:type="dxa"/>
          </w:tcPr>
          <w:p>
            <w:pPr>
              <w:rPr>
                <w:rFonts w:ascii="Times New Roman" w:hAnsi="Times New Roman"/>
                <w:noProof/>
                <w:sz w:val="20"/>
                <w:szCs w:val="20"/>
              </w:rPr>
            </w:pPr>
            <w:r>
              <w:rPr>
                <w:rFonts w:ascii="Times New Roman" w:hAnsi="Times New Roman"/>
                <w:noProof/>
                <w:sz w:val="20"/>
                <w:szCs w:val="20"/>
              </w:rPr>
              <w:t>Direktīva (ES) 2018/410, Regula (ES) 2018/842, Regula (ES) 2018/841</w:t>
            </w:r>
          </w:p>
        </w:tc>
        <w:tc>
          <w:tcPr>
            <w:tcW w:w="1382" w:type="dxa"/>
          </w:tcPr>
          <w:p>
            <w:pPr>
              <w:rPr>
                <w:rFonts w:ascii="Times New Roman" w:hAnsi="Times New Roman"/>
                <w:noProof/>
                <w:sz w:val="20"/>
                <w:szCs w:val="20"/>
              </w:rPr>
            </w:pPr>
            <w:r>
              <w:rPr>
                <w:rFonts w:ascii="Times New Roman" w:hAnsi="Times New Roman"/>
                <w:i/>
                <w:noProof/>
                <w:sz w:val="20"/>
                <w:szCs w:val="20"/>
              </w:rPr>
              <w:t>Carvalho</w:t>
            </w:r>
            <w:r>
              <w:rPr>
                <w:rFonts w:ascii="Times New Roman" w:hAnsi="Times New Roman"/>
                <w:noProof/>
                <w:sz w:val="20"/>
                <w:szCs w:val="20"/>
              </w:rPr>
              <w:t xml:space="preserve"> un citi / Parlaments un Padome</w:t>
            </w:r>
          </w:p>
        </w:tc>
        <w:tc>
          <w:tcPr>
            <w:tcW w:w="2640" w:type="dxa"/>
          </w:tcPr>
          <w:p>
            <w:pPr>
              <w:rPr>
                <w:rFonts w:ascii="Times New Roman" w:hAnsi="Times New Roman"/>
                <w:bCs/>
                <w:noProof/>
                <w:sz w:val="20"/>
                <w:szCs w:val="20"/>
              </w:rPr>
            </w:pPr>
            <w:r>
              <w:rPr>
                <w:rFonts w:ascii="Times New Roman" w:hAnsi="Times New Roman"/>
                <w:bCs/>
                <w:noProof/>
                <w:sz w:val="20"/>
                <w:szCs w:val="20"/>
              </w:rPr>
              <w:t xml:space="preserve">37 privātpersonas lūdza atcelt Direktīvu 2018/410, Regulu (ES) 2018/842 un Regulu (ES) 2018/841, apgalvojot, ka plānotie siltumnīcefekta gāzu samazinājumi ir nepietiekami. </w:t>
            </w:r>
          </w:p>
          <w:p>
            <w:pPr>
              <w:rPr>
                <w:rFonts w:ascii="Times New Roman" w:hAnsi="Times New Roman"/>
                <w:bCs/>
                <w:noProof/>
                <w:sz w:val="20"/>
                <w:szCs w:val="20"/>
              </w:rPr>
            </w:pPr>
            <w:r>
              <w:rPr>
                <w:rFonts w:ascii="Times New Roman" w:hAnsi="Times New Roman"/>
                <w:bCs/>
                <w:noProof/>
                <w:sz w:val="20"/>
                <w:szCs w:val="20"/>
              </w:rPr>
              <w:t>Eiropas Parlaments un Eiropas Savienības Padome lūdza pasludināt nepieņemamību.</w:t>
            </w:r>
          </w:p>
        </w:tc>
        <w:tc>
          <w:tcPr>
            <w:tcW w:w="753" w:type="dxa"/>
          </w:tcPr>
          <w:p>
            <w:pPr>
              <w:rPr>
                <w:rFonts w:ascii="Times New Roman" w:hAnsi="Times New Roman"/>
                <w:bCs/>
                <w:noProof/>
                <w:sz w:val="20"/>
                <w:szCs w:val="20"/>
              </w:rPr>
            </w:pPr>
            <w:r>
              <w:rPr>
                <w:rFonts w:ascii="Times New Roman" w:hAnsi="Times New Roman"/>
                <w:bCs/>
                <w:noProof/>
                <w:sz w:val="20"/>
                <w:szCs w:val="20"/>
              </w:rPr>
              <w:t>08.05.2019.</w:t>
            </w:r>
          </w:p>
        </w:tc>
        <w:tc>
          <w:tcPr>
            <w:tcW w:w="2403" w:type="dxa"/>
          </w:tcPr>
          <w:p>
            <w:pPr>
              <w:rPr>
                <w:rFonts w:ascii="Times New Roman" w:hAnsi="Times New Roman"/>
                <w:bCs/>
                <w:noProof/>
                <w:sz w:val="20"/>
                <w:szCs w:val="20"/>
              </w:rPr>
            </w:pPr>
            <w:r>
              <w:rPr>
                <w:rFonts w:ascii="Times New Roman" w:hAnsi="Times New Roman"/>
                <w:bCs/>
                <w:noProof/>
                <w:sz w:val="20"/>
                <w:szCs w:val="20"/>
              </w:rPr>
              <w:t>Tiesa šo prasību noraidīja pilnībā kā nepieņemamu.</w:t>
            </w:r>
          </w:p>
        </w:tc>
      </w:tr>
      <w:tr>
        <w:trPr>
          <w:trHeight w:val="1384"/>
        </w:trPr>
        <w:tc>
          <w:tcPr>
            <w:tcW w:w="1005" w:type="dxa"/>
          </w:tcPr>
          <w:p>
            <w:pPr>
              <w:rPr>
                <w:rFonts w:ascii="Times New Roman" w:hAnsi="Times New Roman"/>
                <w:bCs/>
                <w:noProof/>
                <w:sz w:val="20"/>
                <w:szCs w:val="20"/>
              </w:rPr>
            </w:pPr>
            <w:r>
              <w:rPr>
                <w:rFonts w:ascii="Times New Roman" w:hAnsi="Times New Roman"/>
                <w:bCs/>
                <w:noProof/>
                <w:sz w:val="20"/>
                <w:szCs w:val="20"/>
              </w:rPr>
              <w:t>Lieta C-561/18</w:t>
            </w:r>
          </w:p>
        </w:tc>
        <w:tc>
          <w:tcPr>
            <w:tcW w:w="1382" w:type="dxa"/>
          </w:tcPr>
          <w:p>
            <w:pPr>
              <w:rPr>
                <w:rFonts w:ascii="Times New Roman" w:hAnsi="Times New Roman"/>
                <w:noProof/>
                <w:sz w:val="20"/>
                <w:szCs w:val="20"/>
              </w:rPr>
            </w:pPr>
            <w:r>
              <w:rPr>
                <w:rFonts w:ascii="Times New Roman" w:hAnsi="Times New Roman"/>
                <w:noProof/>
                <w:sz w:val="20"/>
                <w:szCs w:val="20"/>
              </w:rPr>
              <w:t>Komisijas Regula (ES) Nr. 601/2012</w:t>
            </w:r>
          </w:p>
        </w:tc>
        <w:tc>
          <w:tcPr>
            <w:tcW w:w="1382" w:type="dxa"/>
          </w:tcPr>
          <w:p>
            <w:pPr>
              <w:rPr>
                <w:rFonts w:ascii="Times New Roman" w:hAnsi="Times New Roman"/>
                <w:noProof/>
                <w:sz w:val="20"/>
                <w:szCs w:val="20"/>
              </w:rPr>
            </w:pPr>
            <w:r>
              <w:rPr>
                <w:rFonts w:ascii="Times New Roman" w:hAnsi="Times New Roman"/>
                <w:i/>
                <w:noProof/>
                <w:sz w:val="20"/>
                <w:szCs w:val="20"/>
              </w:rPr>
              <w:t>Solvay Chemicals GmbH</w:t>
            </w:r>
            <w:r>
              <w:rPr>
                <w:rFonts w:ascii="Times New Roman" w:hAnsi="Times New Roman"/>
                <w:noProof/>
                <w:sz w:val="20"/>
                <w:szCs w:val="20"/>
              </w:rPr>
              <w:t> / Vācija</w:t>
            </w:r>
          </w:p>
        </w:tc>
        <w:tc>
          <w:tcPr>
            <w:tcW w:w="2640" w:type="dxa"/>
          </w:tcPr>
          <w:p>
            <w:pPr>
              <w:rPr>
                <w:rFonts w:ascii="Times New Roman" w:eastAsiaTheme="minorHAnsi" w:hAnsi="Times New Roman"/>
                <w:noProof/>
                <w:sz w:val="20"/>
                <w:szCs w:val="20"/>
              </w:rPr>
            </w:pPr>
            <w:r>
              <w:rPr>
                <w:rFonts w:ascii="Times New Roman" w:hAnsi="Times New Roman"/>
                <w:bCs/>
                <w:noProof/>
                <w:sz w:val="20"/>
                <w:szCs w:val="20"/>
              </w:rPr>
              <w:t xml:space="preserve">- </w:t>
            </w:r>
            <w:r>
              <w:rPr>
                <w:rFonts w:ascii="Times New Roman" w:hAnsi="Times New Roman"/>
                <w:noProof/>
                <w:sz w:val="20"/>
                <w:szCs w:val="20"/>
              </w:rPr>
              <w:t>Vai Regula (ES) Nr. 601/2012 ir spēkā neesoša un pārkāpj Direktīvas 2003/87 mērķus, ja tajā ir noteikts, ka oglekļa dioksīdu (CO</w:t>
            </w:r>
            <w:r>
              <w:rPr>
                <w:rFonts w:ascii="Times New Roman" w:hAnsi="Times New Roman"/>
                <w:noProof/>
                <w:sz w:val="20"/>
                <w:szCs w:val="20"/>
                <w:vertAlign w:val="subscript"/>
              </w:rPr>
              <w:t>2</w:t>
            </w:r>
            <w:r>
              <w:rPr>
                <w:rFonts w:ascii="Times New Roman" w:hAnsi="Times New Roman"/>
                <w:noProof/>
                <w:sz w:val="20"/>
                <w:szCs w:val="20"/>
              </w:rPr>
              <w:t>), ko nepārvieto minētās regulas 49. panta 1. punkta pirmās daļas izpratnē, neatkarīgi no tā, vai tas izplūst atmosfērā, vai ne, uzskata par emitētu no iekārtas, kas ražo</w:t>
            </w:r>
            <w:r>
              <w:rPr>
                <w:rFonts w:ascii="Times New Roman" w:hAnsi="Times New Roman"/>
                <w:noProof/>
                <w:color w:val="333333"/>
                <w:sz w:val="18"/>
                <w:szCs w:val="18"/>
              </w:rPr>
              <w:t xml:space="preserve"> </w:t>
            </w:r>
            <w:r>
              <w:rPr>
                <w:rFonts w:ascii="Times New Roman" w:hAnsi="Times New Roman"/>
                <w:noProof/>
                <w:color w:val="222222"/>
                <w:sz w:val="20"/>
                <w:szCs w:val="20"/>
              </w:rPr>
              <w:t>CO</w:t>
            </w:r>
            <w:r>
              <w:rPr>
                <w:rFonts w:ascii="Times New Roman" w:hAnsi="Times New Roman"/>
                <w:noProof/>
                <w:color w:val="222222"/>
                <w:sz w:val="20"/>
                <w:szCs w:val="20"/>
                <w:vertAlign w:val="subscript"/>
              </w:rPr>
              <w:t>2</w:t>
            </w:r>
            <w:r>
              <w:rPr>
                <w:rFonts w:ascii="Times New Roman" w:hAnsi="Times New Roman"/>
                <w:noProof/>
                <w:sz w:val="20"/>
                <w:szCs w:val="20"/>
              </w:rPr>
              <w:t>?</w:t>
            </w:r>
          </w:p>
          <w:p>
            <w:pPr>
              <w:rPr>
                <w:rFonts w:ascii="Times New Roman" w:hAnsi="Times New Roman"/>
                <w:bCs/>
                <w:noProof/>
                <w:sz w:val="20"/>
                <w:szCs w:val="20"/>
              </w:rPr>
            </w:pPr>
            <w:r>
              <w:rPr>
                <w:rFonts w:ascii="Times New Roman" w:hAnsi="Times New Roman"/>
                <w:bCs/>
                <w:noProof/>
                <w:sz w:val="20"/>
                <w:szCs w:val="20"/>
              </w:rPr>
              <w:t>-</w:t>
            </w:r>
            <w:r>
              <w:rPr>
                <w:rFonts w:ascii="Times New Roman" w:hAnsi="Times New Roman"/>
                <w:noProof/>
                <w:sz w:val="20"/>
                <w:szCs w:val="20"/>
              </w:rPr>
              <w:t xml:space="preserve"> Vai Regula (ES) Nr. 601/2012 ir spēkā neesoša un pārkāpj Direktīvas 2003/87 mērķus, ja tajā ir noteikts, ka CO</w:t>
            </w:r>
            <w:r>
              <w:rPr>
                <w:rFonts w:ascii="Times New Roman" w:hAnsi="Times New Roman"/>
                <w:noProof/>
                <w:sz w:val="20"/>
                <w:szCs w:val="20"/>
                <w:vertAlign w:val="subscript"/>
              </w:rPr>
              <w:t>2</w:t>
            </w:r>
            <w:r>
              <w:rPr>
                <w:rFonts w:ascii="Times New Roman" w:hAnsi="Times New Roman"/>
                <w:noProof/>
                <w:sz w:val="20"/>
                <w:szCs w:val="20"/>
              </w:rPr>
              <w:t>, ko no iekārtas nātrija karbonāta ražošanai pārvieto uz citu iekārtu, lai ražotu kalcija karbonāta nogulsnes (</w:t>
            </w:r>
            <w:r>
              <w:rPr>
                <w:rFonts w:ascii="Times New Roman" w:hAnsi="Times New Roman"/>
                <w:i/>
                <w:noProof/>
                <w:sz w:val="20"/>
                <w:szCs w:val="20"/>
              </w:rPr>
              <w:t>PCC</w:t>
            </w:r>
            <w:r>
              <w:rPr>
                <w:rFonts w:ascii="Times New Roman" w:hAnsi="Times New Roman"/>
                <w:noProof/>
                <w:sz w:val="20"/>
                <w:szCs w:val="20"/>
              </w:rPr>
              <w:t>), sistemātiski ir jāiekļauj šīs iekārtas emisijās?</w:t>
            </w:r>
          </w:p>
        </w:tc>
        <w:tc>
          <w:tcPr>
            <w:tcW w:w="753" w:type="dxa"/>
          </w:tcPr>
          <w:p>
            <w:pPr>
              <w:rPr>
                <w:rFonts w:ascii="Times New Roman" w:hAnsi="Times New Roman"/>
                <w:bCs/>
                <w:noProof/>
                <w:sz w:val="20"/>
                <w:szCs w:val="20"/>
              </w:rPr>
            </w:pPr>
            <w:r>
              <w:rPr>
                <w:rFonts w:ascii="Times New Roman" w:hAnsi="Times New Roman"/>
                <w:bCs/>
                <w:noProof/>
                <w:sz w:val="20"/>
                <w:szCs w:val="20"/>
              </w:rPr>
              <w:t>06.02.2019.</w:t>
            </w:r>
          </w:p>
        </w:tc>
        <w:tc>
          <w:tcPr>
            <w:tcW w:w="2403" w:type="dxa"/>
          </w:tcPr>
          <w:p>
            <w:pPr>
              <w:rPr>
                <w:rFonts w:ascii="Times New Roman" w:hAnsi="Times New Roman"/>
                <w:bCs/>
                <w:noProof/>
                <w:sz w:val="20"/>
                <w:szCs w:val="20"/>
              </w:rPr>
            </w:pPr>
            <w:r>
              <w:rPr>
                <w:rFonts w:ascii="Times New Roman" w:hAnsi="Times New Roman"/>
                <w:bCs/>
                <w:noProof/>
                <w:sz w:val="20"/>
                <w:szCs w:val="20"/>
              </w:rPr>
              <w:t>Tiesa nosprieda, ka Regulas Nr. 601/2012 49. panta 1. punkta otrā daļa un šīs regulas IV pielikuma 20. punkta B apakšpunkts, ciktāl ar tām kaļķu apdedzināšanas iekārtas emisijās tiek sistemātiski iekļauts uz citu iekārtu kalcija karbonāta nogulšņu (</w:t>
            </w:r>
            <w:r>
              <w:rPr>
                <w:rFonts w:ascii="Times New Roman" w:hAnsi="Times New Roman"/>
                <w:bCs/>
                <w:i/>
                <w:noProof/>
                <w:sz w:val="20"/>
                <w:szCs w:val="20"/>
              </w:rPr>
              <w:t>PCC</w:t>
            </w:r>
            <w:r>
              <w:rPr>
                <w:rFonts w:ascii="Times New Roman" w:hAnsi="Times New Roman"/>
                <w:bCs/>
                <w:noProof/>
                <w:sz w:val="20"/>
                <w:szCs w:val="20"/>
              </w:rPr>
              <w:t>) ražošanas nolūkā pārvietotais oglekļa dioksīds</w:t>
            </w:r>
            <w:r>
              <w:rPr>
                <w:rFonts w:ascii="Times New Roman" w:hAnsi="Times New Roman"/>
                <w:noProof/>
                <w:color w:val="333333"/>
                <w:sz w:val="18"/>
                <w:szCs w:val="18"/>
              </w:rPr>
              <w:t xml:space="preserve"> </w:t>
            </w:r>
            <w:r>
              <w:rPr>
                <w:rFonts w:ascii="Times New Roman" w:hAnsi="Times New Roman"/>
                <w:bCs/>
                <w:noProof/>
                <w:sz w:val="20"/>
                <w:szCs w:val="20"/>
              </w:rPr>
              <w:t>(CO</w:t>
            </w:r>
            <w:r>
              <w:rPr>
                <w:rFonts w:ascii="Times New Roman" w:hAnsi="Times New Roman"/>
                <w:bCs/>
                <w:noProof/>
                <w:sz w:val="20"/>
                <w:szCs w:val="20"/>
                <w:vertAlign w:val="subscript"/>
              </w:rPr>
              <w:t>2</w:t>
            </w:r>
            <w:r>
              <w:rPr>
                <w:rFonts w:ascii="Times New Roman" w:hAnsi="Times New Roman"/>
                <w:bCs/>
                <w:noProof/>
                <w:sz w:val="20"/>
                <w:szCs w:val="20"/>
              </w:rPr>
              <w:t>) neatkarīgi no tā, vai šis oglekļa dioksīds</w:t>
            </w:r>
            <w:r>
              <w:rPr>
                <w:rFonts w:ascii="Times New Roman" w:hAnsi="Times New Roman"/>
                <w:noProof/>
                <w:color w:val="444444"/>
                <w:sz w:val="21"/>
                <w:szCs w:val="21"/>
              </w:rPr>
              <w:t xml:space="preserve"> </w:t>
            </w:r>
            <w:r>
              <w:rPr>
                <w:rFonts w:ascii="Times New Roman" w:hAnsi="Times New Roman"/>
                <w:bCs/>
                <w:noProof/>
                <w:sz w:val="20"/>
                <w:szCs w:val="20"/>
              </w:rPr>
              <w:t xml:space="preserve">izplūst vai neizplūst atmosfērā, nav spēkā. </w:t>
            </w:r>
          </w:p>
        </w:tc>
      </w:tr>
    </w:tbl>
    <w:p>
      <w:pPr>
        <w:rPr>
          <w:rFonts w:ascii="Times New Roman" w:hAnsi="Times New Roman"/>
          <w:b/>
          <w:noProof/>
        </w:rPr>
      </w:pPr>
    </w:p>
    <w:p>
      <w:pPr>
        <w:rPr>
          <w:rFonts w:ascii="Times New Roman" w:hAnsi="Times New Roman"/>
          <w:b/>
          <w:noProof/>
        </w:rPr>
      </w:pPr>
      <w:r>
        <w:rPr>
          <w:rFonts w:ascii="Times New Roman" w:hAnsi="Times New Roman"/>
          <w:b/>
          <w:noProof/>
        </w:rPr>
        <w:t>7. papildinājums</w:t>
      </w:r>
    </w:p>
    <w:p>
      <w:pPr>
        <w:rPr>
          <w:rFonts w:ascii="Times New Roman" w:hAnsi="Times New Roman"/>
          <w:b/>
          <w:noProof/>
          <w:sz w:val="20"/>
          <w:szCs w:val="20"/>
        </w:rPr>
      </w:pPr>
      <w:r>
        <w:rPr>
          <w:rFonts w:ascii="Times New Roman" w:hAnsi="Times New Roman"/>
          <w:b/>
          <w:noProof/>
          <w:sz w:val="20"/>
          <w:szCs w:val="20"/>
        </w:rPr>
        <w:t xml:space="preserve">7.1. tabula. ES ETS ceturtā posma īstenošanas situācija </w:t>
      </w:r>
    </w:p>
    <w:tbl>
      <w:tblPr>
        <w:tblStyle w:val="TableGrid"/>
        <w:tblW w:w="96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30"/>
        <w:gridCol w:w="3808"/>
        <w:gridCol w:w="1862"/>
        <w:gridCol w:w="1994"/>
      </w:tblGrid>
      <w:tr>
        <w:trPr>
          <w:trHeight w:val="230"/>
        </w:trPr>
        <w:tc>
          <w:tcPr>
            <w:tcW w:w="2030" w:type="dxa"/>
            <w:vMerge w:val="restart"/>
            <w:vAlign w:val="center"/>
          </w:tcPr>
          <w:p>
            <w:pPr>
              <w:jc w:val="center"/>
              <w:rPr>
                <w:rFonts w:ascii="Times New Roman" w:hAnsi="Times New Roman"/>
                <w:b/>
                <w:noProof/>
              </w:rPr>
            </w:pPr>
            <w:r>
              <w:rPr>
                <w:rFonts w:ascii="Times New Roman" w:hAnsi="Times New Roman"/>
                <w:b/>
                <w:noProof/>
              </w:rPr>
              <w:t>Pasākums</w:t>
            </w:r>
          </w:p>
        </w:tc>
        <w:tc>
          <w:tcPr>
            <w:tcW w:w="3808" w:type="dxa"/>
            <w:vMerge w:val="restart"/>
            <w:vAlign w:val="center"/>
          </w:tcPr>
          <w:p>
            <w:pPr>
              <w:jc w:val="center"/>
              <w:rPr>
                <w:rFonts w:ascii="Times New Roman" w:hAnsi="Times New Roman"/>
                <w:b/>
                <w:noProof/>
              </w:rPr>
            </w:pPr>
            <w:r>
              <w:rPr>
                <w:rFonts w:ascii="Times New Roman" w:hAnsi="Times New Roman"/>
                <w:b/>
                <w:noProof/>
              </w:rPr>
              <w:t>Mērķis</w:t>
            </w:r>
          </w:p>
        </w:tc>
        <w:tc>
          <w:tcPr>
            <w:tcW w:w="1862" w:type="dxa"/>
            <w:vMerge w:val="restart"/>
            <w:vAlign w:val="center"/>
          </w:tcPr>
          <w:p>
            <w:pPr>
              <w:jc w:val="center"/>
              <w:rPr>
                <w:rFonts w:ascii="Times New Roman" w:hAnsi="Times New Roman"/>
                <w:b/>
                <w:noProof/>
              </w:rPr>
            </w:pPr>
            <w:r>
              <w:rPr>
                <w:rFonts w:ascii="Times New Roman" w:hAnsi="Times New Roman"/>
                <w:b/>
                <w:noProof/>
              </w:rPr>
              <w:t>Tiesību akta veids</w:t>
            </w:r>
          </w:p>
        </w:tc>
        <w:tc>
          <w:tcPr>
            <w:tcW w:w="1994" w:type="dxa"/>
            <w:vMerge w:val="restart"/>
            <w:vAlign w:val="center"/>
          </w:tcPr>
          <w:p>
            <w:pPr>
              <w:jc w:val="center"/>
              <w:rPr>
                <w:rFonts w:ascii="Times New Roman" w:hAnsi="Times New Roman"/>
                <w:b/>
                <w:noProof/>
              </w:rPr>
            </w:pPr>
            <w:r>
              <w:rPr>
                <w:rFonts w:ascii="Times New Roman" w:hAnsi="Times New Roman"/>
                <w:b/>
                <w:noProof/>
              </w:rPr>
              <w:t>Paredzamā pieņemšana</w:t>
            </w:r>
          </w:p>
        </w:tc>
      </w:tr>
      <w:tr>
        <w:trPr>
          <w:trHeight w:val="230"/>
        </w:trPr>
        <w:tc>
          <w:tcPr>
            <w:tcW w:w="2030" w:type="dxa"/>
            <w:vMerge/>
            <w:vAlign w:val="center"/>
          </w:tcPr>
          <w:p>
            <w:pPr>
              <w:rPr>
                <w:rFonts w:ascii="Times New Roman" w:hAnsi="Times New Roman"/>
                <w:b/>
                <w:noProof/>
              </w:rPr>
            </w:pPr>
          </w:p>
        </w:tc>
        <w:tc>
          <w:tcPr>
            <w:tcW w:w="3808" w:type="dxa"/>
            <w:vMerge/>
          </w:tcPr>
          <w:p>
            <w:pPr>
              <w:rPr>
                <w:rFonts w:ascii="Times New Roman" w:hAnsi="Times New Roman"/>
                <w:b/>
                <w:noProof/>
              </w:rPr>
            </w:pPr>
          </w:p>
        </w:tc>
        <w:tc>
          <w:tcPr>
            <w:tcW w:w="1862" w:type="dxa"/>
            <w:vMerge/>
            <w:vAlign w:val="center"/>
          </w:tcPr>
          <w:p>
            <w:pPr>
              <w:rPr>
                <w:rFonts w:ascii="Times New Roman" w:hAnsi="Times New Roman"/>
                <w:b/>
                <w:noProof/>
              </w:rPr>
            </w:pPr>
          </w:p>
        </w:tc>
        <w:tc>
          <w:tcPr>
            <w:tcW w:w="1994" w:type="dxa"/>
            <w:vMerge/>
            <w:vAlign w:val="center"/>
          </w:tcPr>
          <w:p>
            <w:pPr>
              <w:rPr>
                <w:rFonts w:ascii="Times New Roman" w:hAnsi="Times New Roman"/>
                <w:b/>
                <w:noProof/>
              </w:rPr>
            </w:pPr>
          </w:p>
        </w:tc>
      </w:tr>
      <w:tr>
        <w:trPr>
          <w:trHeight w:val="247"/>
        </w:trPr>
        <w:tc>
          <w:tcPr>
            <w:tcW w:w="2030" w:type="dxa"/>
            <w:shd w:val="clear" w:color="auto" w:fill="CCFFCC"/>
            <w:vAlign w:val="center"/>
          </w:tcPr>
          <w:p>
            <w:pPr>
              <w:rPr>
                <w:rFonts w:ascii="Times New Roman" w:hAnsi="Times New Roman"/>
                <w:noProof/>
              </w:rPr>
            </w:pPr>
            <w:r>
              <w:rPr>
                <w:rFonts w:ascii="Times New Roman" w:hAnsi="Times New Roman"/>
                <w:noProof/>
              </w:rPr>
              <w:t>Oglekļa emisiju pārvirzes saraksts 2021.–2030. gadam</w:t>
            </w:r>
          </w:p>
        </w:tc>
        <w:tc>
          <w:tcPr>
            <w:tcW w:w="3808" w:type="dxa"/>
            <w:shd w:val="clear" w:color="auto" w:fill="CCFFCC"/>
            <w:vAlign w:val="center"/>
          </w:tcPr>
          <w:p>
            <w:pPr>
              <w:rPr>
                <w:rFonts w:ascii="Times New Roman" w:hAnsi="Times New Roman"/>
                <w:noProof/>
              </w:rPr>
            </w:pPr>
            <w:r>
              <w:rPr>
                <w:rFonts w:ascii="Times New Roman" w:hAnsi="Times New Roman"/>
                <w:noProof/>
              </w:rPr>
              <w:t>Jaunā oglekļa emisiju pārvirzes saraksta izveide ES ETS ceturtajam posmam, balstoties uz oglekļa emisiju pārvirzes riskam būtiski pakļautu nozaru noteikšanas kritērijiem</w:t>
            </w:r>
          </w:p>
        </w:tc>
        <w:tc>
          <w:tcPr>
            <w:tcW w:w="1862" w:type="dxa"/>
            <w:shd w:val="clear" w:color="auto" w:fill="CCFFCC"/>
            <w:vAlign w:val="center"/>
          </w:tcPr>
          <w:p>
            <w:pPr>
              <w:jc w:val="center"/>
              <w:rPr>
                <w:rFonts w:ascii="Times New Roman" w:hAnsi="Times New Roman"/>
                <w:noProof/>
              </w:rPr>
            </w:pPr>
            <w:r>
              <w:rPr>
                <w:rFonts w:ascii="Times New Roman" w:hAnsi="Times New Roman"/>
                <w:noProof/>
              </w:rPr>
              <w:t>Komisijas Deleģētais lēmums</w:t>
            </w:r>
          </w:p>
        </w:tc>
        <w:tc>
          <w:tcPr>
            <w:tcW w:w="1994" w:type="dxa"/>
            <w:shd w:val="clear" w:color="auto" w:fill="CCFFCC"/>
            <w:vAlign w:val="center"/>
          </w:tcPr>
          <w:p>
            <w:pPr>
              <w:jc w:val="center"/>
              <w:rPr>
                <w:rFonts w:ascii="Times New Roman" w:hAnsi="Times New Roman"/>
                <w:noProof/>
              </w:rPr>
            </w:pPr>
            <w:r>
              <w:rPr>
                <w:rFonts w:ascii="Times New Roman" w:hAnsi="Times New Roman"/>
                <w:noProof/>
              </w:rPr>
              <w:t xml:space="preserve">Pieņemts 2019. gada 15. februārī, publicēts </w:t>
            </w:r>
            <w:r>
              <w:rPr>
                <w:rFonts w:ascii="Times New Roman" w:hAnsi="Times New Roman"/>
                <w:i/>
                <w:noProof/>
              </w:rPr>
              <w:t>Oficiālajā Vēstnesī</w:t>
            </w:r>
            <w:r>
              <w:rPr>
                <w:rFonts w:ascii="Times New Roman" w:hAnsi="Times New Roman"/>
                <w:noProof/>
              </w:rPr>
              <w:t xml:space="preserve"> 2019. gada 8. maijā</w:t>
            </w:r>
            <w:r>
              <w:rPr>
                <w:rStyle w:val="FootnoteReference"/>
                <w:rFonts w:ascii="Times New Roman" w:hAnsi="Times New Roman"/>
                <w:noProof/>
              </w:rPr>
              <w:footnoteReference w:id="81"/>
            </w:r>
          </w:p>
        </w:tc>
      </w:tr>
      <w:tr>
        <w:trPr>
          <w:trHeight w:val="247"/>
        </w:trPr>
        <w:tc>
          <w:tcPr>
            <w:tcW w:w="2030" w:type="dxa"/>
            <w:shd w:val="clear" w:color="auto" w:fill="CCFFCC"/>
            <w:vAlign w:val="center"/>
          </w:tcPr>
          <w:p>
            <w:pPr>
              <w:rPr>
                <w:rFonts w:ascii="Times New Roman" w:hAnsi="Times New Roman"/>
                <w:noProof/>
              </w:rPr>
            </w:pPr>
            <w:r>
              <w:rPr>
                <w:rFonts w:ascii="Times New Roman" w:hAnsi="Times New Roman"/>
                <w:noProof/>
              </w:rPr>
              <w:t>Bezmaksas kvotu iedales noteikumu pārskatīšana 2021.–2030. gadam</w:t>
            </w:r>
          </w:p>
        </w:tc>
        <w:tc>
          <w:tcPr>
            <w:tcW w:w="3808" w:type="dxa"/>
            <w:shd w:val="clear" w:color="auto" w:fill="CCFFCC"/>
            <w:vAlign w:val="center"/>
          </w:tcPr>
          <w:p>
            <w:pPr>
              <w:rPr>
                <w:rFonts w:ascii="Times New Roman" w:hAnsi="Times New Roman"/>
                <w:noProof/>
              </w:rPr>
            </w:pPr>
            <w:r>
              <w:rPr>
                <w:rFonts w:ascii="Times New Roman" w:hAnsi="Times New Roman"/>
                <w:noProof/>
              </w:rPr>
              <w:t>Komisijas Lēmuma 2011/278/ES, ar kuru visā Savienībā nosaka pagaidu noteikumus saskaņotai bezmaksas emisiju kvotu sadalei, pārskatīšana, lai to pielāgotu jaunajam ceturtā posma juridiskajam kontekstam</w:t>
            </w:r>
          </w:p>
        </w:tc>
        <w:tc>
          <w:tcPr>
            <w:tcW w:w="1862" w:type="dxa"/>
            <w:shd w:val="clear" w:color="auto" w:fill="CCFFCC"/>
            <w:vAlign w:val="center"/>
          </w:tcPr>
          <w:p>
            <w:pPr>
              <w:jc w:val="center"/>
              <w:rPr>
                <w:rFonts w:ascii="Times New Roman" w:hAnsi="Times New Roman"/>
                <w:noProof/>
              </w:rPr>
            </w:pPr>
            <w:r>
              <w:rPr>
                <w:rFonts w:ascii="Times New Roman" w:hAnsi="Times New Roman"/>
                <w:noProof/>
              </w:rPr>
              <w:t>Komisijas Deleģētā regula</w:t>
            </w:r>
          </w:p>
        </w:tc>
        <w:tc>
          <w:tcPr>
            <w:tcW w:w="1994" w:type="dxa"/>
            <w:shd w:val="clear" w:color="auto" w:fill="CCFFCC"/>
            <w:vAlign w:val="center"/>
          </w:tcPr>
          <w:p>
            <w:pPr>
              <w:jc w:val="center"/>
              <w:rPr>
                <w:rFonts w:ascii="Times New Roman" w:hAnsi="Times New Roman"/>
                <w:noProof/>
              </w:rPr>
            </w:pPr>
            <w:r>
              <w:rPr>
                <w:rFonts w:ascii="Times New Roman" w:hAnsi="Times New Roman"/>
                <w:noProof/>
              </w:rPr>
              <w:t xml:space="preserve">Pieņemta 2018. gada 19. decembrī, publicēta </w:t>
            </w:r>
            <w:r>
              <w:rPr>
                <w:rFonts w:ascii="Times New Roman" w:hAnsi="Times New Roman"/>
                <w:i/>
                <w:noProof/>
              </w:rPr>
              <w:t>Oficiālajā Vēstnesī</w:t>
            </w:r>
            <w:r>
              <w:rPr>
                <w:rFonts w:ascii="Times New Roman" w:hAnsi="Times New Roman"/>
                <w:noProof/>
              </w:rPr>
              <w:t xml:space="preserve"> 2019. gada 27. februārī</w:t>
            </w:r>
            <w:r>
              <w:rPr>
                <w:rStyle w:val="FootnoteReference"/>
                <w:rFonts w:ascii="Times New Roman" w:hAnsi="Times New Roman"/>
                <w:noProof/>
              </w:rPr>
              <w:footnoteReference w:id="82"/>
            </w:r>
          </w:p>
        </w:tc>
      </w:tr>
      <w:tr>
        <w:trPr>
          <w:trHeight w:val="247"/>
        </w:trPr>
        <w:tc>
          <w:tcPr>
            <w:tcW w:w="2030" w:type="dxa"/>
            <w:shd w:val="clear" w:color="auto" w:fill="FFFFCC"/>
            <w:vAlign w:val="center"/>
          </w:tcPr>
          <w:p>
            <w:pPr>
              <w:rPr>
                <w:rFonts w:ascii="Times New Roman" w:hAnsi="Times New Roman"/>
                <w:noProof/>
              </w:rPr>
            </w:pPr>
            <w:r>
              <w:rPr>
                <w:rFonts w:ascii="Times New Roman" w:hAnsi="Times New Roman"/>
                <w:noProof/>
              </w:rPr>
              <w:t>Bezmaksas kvotu iedales korekcija ražošanas izmaiņu dēļ</w:t>
            </w:r>
          </w:p>
        </w:tc>
        <w:tc>
          <w:tcPr>
            <w:tcW w:w="3808" w:type="dxa"/>
            <w:shd w:val="clear" w:color="auto" w:fill="FFFFCC"/>
            <w:vAlign w:val="center"/>
          </w:tcPr>
          <w:p>
            <w:pPr>
              <w:rPr>
                <w:rFonts w:ascii="Times New Roman" w:hAnsi="Times New Roman"/>
                <w:noProof/>
              </w:rPr>
            </w:pPr>
            <w:r>
              <w:rPr>
                <w:rFonts w:ascii="Times New Roman" w:hAnsi="Times New Roman"/>
                <w:noProof/>
              </w:rPr>
              <w:t>Iekārtu bezmaksas kvotu iedales līmeņa korekcijas kārtības noteikšana, pamatojoties uz vidējām darbības līmeņa izmaiņām par vairāk nekā 15 % augšup vai lejup divu gadu laikposmā</w:t>
            </w:r>
          </w:p>
        </w:tc>
        <w:tc>
          <w:tcPr>
            <w:tcW w:w="1862" w:type="dxa"/>
            <w:shd w:val="clear" w:color="auto" w:fill="FFFFCC"/>
            <w:vAlign w:val="center"/>
          </w:tcPr>
          <w:p>
            <w:pPr>
              <w:jc w:val="center"/>
              <w:rPr>
                <w:rFonts w:ascii="Times New Roman" w:hAnsi="Times New Roman"/>
                <w:noProof/>
              </w:rPr>
            </w:pPr>
            <w:r>
              <w:rPr>
                <w:rFonts w:ascii="Times New Roman" w:hAnsi="Times New Roman"/>
                <w:noProof/>
              </w:rPr>
              <w:t>Komisijas Īstenošanas regula</w:t>
            </w:r>
          </w:p>
        </w:tc>
        <w:tc>
          <w:tcPr>
            <w:tcW w:w="1994" w:type="dxa"/>
            <w:shd w:val="clear" w:color="auto" w:fill="FFFFCC"/>
            <w:vAlign w:val="center"/>
          </w:tcPr>
          <w:p>
            <w:pPr>
              <w:jc w:val="center"/>
              <w:rPr>
                <w:rFonts w:ascii="Times New Roman" w:hAnsi="Times New Roman"/>
                <w:noProof/>
              </w:rPr>
            </w:pPr>
            <w:r>
              <w:rPr>
                <w:rFonts w:ascii="Times New Roman" w:hAnsi="Times New Roman"/>
                <w:noProof/>
              </w:rPr>
              <w:t>2019</w:t>
            </w:r>
          </w:p>
        </w:tc>
      </w:tr>
      <w:tr>
        <w:trPr>
          <w:trHeight w:val="247"/>
        </w:trPr>
        <w:tc>
          <w:tcPr>
            <w:tcW w:w="2030" w:type="dxa"/>
            <w:vAlign w:val="center"/>
          </w:tcPr>
          <w:p>
            <w:pPr>
              <w:rPr>
                <w:rFonts w:ascii="Times New Roman" w:hAnsi="Times New Roman"/>
                <w:noProof/>
              </w:rPr>
            </w:pPr>
            <w:r>
              <w:rPr>
                <w:rFonts w:ascii="Times New Roman" w:hAnsi="Times New Roman"/>
                <w:noProof/>
              </w:rPr>
              <w:t>Bezmaksas iedales līmeņatzīmju vērtības aktualizēšana 2021.–2025. gadam</w:t>
            </w:r>
          </w:p>
        </w:tc>
        <w:tc>
          <w:tcPr>
            <w:tcW w:w="3808" w:type="dxa"/>
            <w:vAlign w:val="center"/>
          </w:tcPr>
          <w:p>
            <w:pPr>
              <w:rPr>
                <w:rFonts w:ascii="Times New Roman" w:hAnsi="Times New Roman"/>
                <w:noProof/>
              </w:rPr>
            </w:pPr>
            <w:r>
              <w:rPr>
                <w:rFonts w:ascii="Times New Roman" w:hAnsi="Times New Roman"/>
                <w:noProof/>
              </w:rPr>
              <w:t>Aktualizēto līmeņatzīmju noteikšana 2021.–2025. gadam, balstoties uz datiem, kurus līdz 2019. gada 30. septembrim par 2016. un 2017. gadu iesniegušas dalībvalstis</w:t>
            </w:r>
          </w:p>
        </w:tc>
        <w:tc>
          <w:tcPr>
            <w:tcW w:w="1862" w:type="dxa"/>
            <w:vAlign w:val="center"/>
          </w:tcPr>
          <w:p>
            <w:pPr>
              <w:jc w:val="center"/>
              <w:rPr>
                <w:rFonts w:ascii="Times New Roman" w:hAnsi="Times New Roman"/>
                <w:noProof/>
              </w:rPr>
            </w:pPr>
            <w:r>
              <w:rPr>
                <w:rFonts w:ascii="Times New Roman" w:hAnsi="Times New Roman"/>
                <w:noProof/>
              </w:rPr>
              <w:t>Īstenošanas akts</w:t>
            </w:r>
          </w:p>
        </w:tc>
        <w:tc>
          <w:tcPr>
            <w:tcW w:w="1994" w:type="dxa"/>
            <w:vAlign w:val="center"/>
          </w:tcPr>
          <w:p>
            <w:pPr>
              <w:jc w:val="center"/>
              <w:rPr>
                <w:rFonts w:ascii="Times New Roman" w:hAnsi="Times New Roman"/>
                <w:noProof/>
              </w:rPr>
            </w:pPr>
            <w:r>
              <w:rPr>
                <w:rFonts w:ascii="Times New Roman" w:hAnsi="Times New Roman"/>
                <w:noProof/>
              </w:rPr>
              <w:t>2020</w:t>
            </w:r>
          </w:p>
        </w:tc>
      </w:tr>
      <w:tr>
        <w:trPr>
          <w:trHeight w:val="259"/>
        </w:trPr>
        <w:tc>
          <w:tcPr>
            <w:tcW w:w="2030" w:type="dxa"/>
            <w:shd w:val="clear" w:color="auto" w:fill="CCFFCC"/>
            <w:vAlign w:val="center"/>
          </w:tcPr>
          <w:p>
            <w:pPr>
              <w:rPr>
                <w:rFonts w:ascii="Times New Roman" w:hAnsi="Times New Roman"/>
                <w:noProof/>
              </w:rPr>
            </w:pPr>
            <w:r>
              <w:rPr>
                <w:rFonts w:ascii="Times New Roman" w:hAnsi="Times New Roman"/>
                <w:noProof/>
              </w:rPr>
              <w:t>Inovāciju fonda izveide</w:t>
            </w:r>
          </w:p>
        </w:tc>
        <w:tc>
          <w:tcPr>
            <w:tcW w:w="3808" w:type="dxa"/>
            <w:shd w:val="clear" w:color="auto" w:fill="CCFFCC"/>
            <w:vAlign w:val="center"/>
          </w:tcPr>
          <w:p>
            <w:pPr>
              <w:rPr>
                <w:rFonts w:ascii="Times New Roman" w:hAnsi="Times New Roman"/>
                <w:noProof/>
              </w:rPr>
            </w:pPr>
            <w:r>
              <w:rPr>
                <w:rFonts w:ascii="Times New Roman" w:hAnsi="Times New Roman"/>
                <w:noProof/>
              </w:rPr>
              <w:t>Inovāciju fonda darbības noteikumu pieņemšana, tostarp attiecībā uz atlases kritērijiem un procedūru</w:t>
            </w:r>
          </w:p>
        </w:tc>
        <w:tc>
          <w:tcPr>
            <w:tcW w:w="1862" w:type="dxa"/>
            <w:shd w:val="clear" w:color="auto" w:fill="CCFFCC"/>
            <w:vAlign w:val="center"/>
          </w:tcPr>
          <w:p>
            <w:pPr>
              <w:jc w:val="center"/>
              <w:rPr>
                <w:rFonts w:ascii="Times New Roman" w:hAnsi="Times New Roman"/>
                <w:noProof/>
              </w:rPr>
            </w:pPr>
            <w:r>
              <w:rPr>
                <w:rFonts w:ascii="Times New Roman" w:hAnsi="Times New Roman"/>
                <w:noProof/>
              </w:rPr>
              <w:t>Komisijas Deleģētā regula</w:t>
            </w:r>
          </w:p>
        </w:tc>
        <w:tc>
          <w:tcPr>
            <w:tcW w:w="1994" w:type="dxa"/>
            <w:shd w:val="clear" w:color="auto" w:fill="CCFFCC"/>
            <w:vAlign w:val="center"/>
          </w:tcPr>
          <w:p>
            <w:pPr>
              <w:jc w:val="center"/>
              <w:rPr>
                <w:rFonts w:ascii="Times New Roman" w:hAnsi="Times New Roman"/>
                <w:noProof/>
              </w:rPr>
            </w:pPr>
            <w:r>
              <w:rPr>
                <w:rFonts w:ascii="Times New Roman" w:hAnsi="Times New Roman"/>
                <w:noProof/>
              </w:rPr>
              <w:t xml:space="preserve">Pieņemta 2019. gada 26. februārī, publicēta </w:t>
            </w:r>
            <w:r>
              <w:rPr>
                <w:rFonts w:ascii="Times New Roman" w:hAnsi="Times New Roman"/>
                <w:i/>
                <w:noProof/>
              </w:rPr>
              <w:t>Oficiālajā Vēstnesī</w:t>
            </w:r>
            <w:r>
              <w:rPr>
                <w:rFonts w:ascii="Times New Roman" w:hAnsi="Times New Roman"/>
                <w:noProof/>
              </w:rPr>
              <w:t xml:space="preserve"> 2019. gada 28. maijā</w:t>
            </w:r>
            <w:r>
              <w:rPr>
                <w:rStyle w:val="FootnoteReference"/>
                <w:rFonts w:ascii="Times New Roman" w:hAnsi="Times New Roman"/>
                <w:noProof/>
              </w:rPr>
              <w:footnoteReference w:id="83"/>
            </w:r>
          </w:p>
        </w:tc>
      </w:tr>
      <w:tr>
        <w:trPr>
          <w:trHeight w:val="154"/>
        </w:trPr>
        <w:tc>
          <w:tcPr>
            <w:tcW w:w="2030" w:type="dxa"/>
            <w:shd w:val="clear" w:color="auto" w:fill="FFFFCC"/>
            <w:vAlign w:val="center"/>
          </w:tcPr>
          <w:p>
            <w:pPr>
              <w:rPr>
                <w:rFonts w:ascii="Times New Roman" w:hAnsi="Times New Roman"/>
                <w:noProof/>
              </w:rPr>
            </w:pPr>
            <w:r>
              <w:rPr>
                <w:rFonts w:ascii="Times New Roman" w:hAnsi="Times New Roman"/>
                <w:noProof/>
              </w:rPr>
              <w:t>Modernizācijas fonda izveide</w:t>
            </w:r>
          </w:p>
        </w:tc>
        <w:tc>
          <w:tcPr>
            <w:tcW w:w="3808" w:type="dxa"/>
            <w:shd w:val="clear" w:color="auto" w:fill="FFFFCC"/>
            <w:vAlign w:val="center"/>
          </w:tcPr>
          <w:p>
            <w:pPr>
              <w:rPr>
                <w:rFonts w:ascii="Times New Roman" w:hAnsi="Times New Roman"/>
                <w:noProof/>
              </w:rPr>
            </w:pPr>
            <w:r>
              <w:rPr>
                <w:rFonts w:ascii="Times New Roman" w:hAnsi="Times New Roman"/>
                <w:noProof/>
              </w:rPr>
              <w:t>Modernizācijas fonda darbības noteikumu pieņemšana</w:t>
            </w:r>
          </w:p>
        </w:tc>
        <w:tc>
          <w:tcPr>
            <w:tcW w:w="1862" w:type="dxa"/>
            <w:shd w:val="clear" w:color="auto" w:fill="FFFFCC"/>
            <w:vAlign w:val="center"/>
          </w:tcPr>
          <w:p>
            <w:pPr>
              <w:jc w:val="center"/>
              <w:rPr>
                <w:rFonts w:ascii="Times New Roman" w:hAnsi="Times New Roman"/>
                <w:noProof/>
              </w:rPr>
            </w:pPr>
            <w:r>
              <w:rPr>
                <w:rFonts w:ascii="Times New Roman" w:hAnsi="Times New Roman"/>
                <w:noProof/>
              </w:rPr>
              <w:t>Īstenošanas akts</w:t>
            </w:r>
          </w:p>
        </w:tc>
        <w:tc>
          <w:tcPr>
            <w:tcW w:w="1994" w:type="dxa"/>
            <w:shd w:val="clear" w:color="auto" w:fill="FFFFCC"/>
            <w:vAlign w:val="center"/>
          </w:tcPr>
          <w:p>
            <w:pPr>
              <w:jc w:val="center"/>
              <w:rPr>
                <w:rFonts w:ascii="Times New Roman" w:hAnsi="Times New Roman"/>
                <w:noProof/>
              </w:rPr>
            </w:pPr>
            <w:r>
              <w:rPr>
                <w:rFonts w:ascii="Times New Roman" w:hAnsi="Times New Roman"/>
                <w:noProof/>
              </w:rPr>
              <w:t>2020</w:t>
            </w:r>
          </w:p>
        </w:tc>
      </w:tr>
      <w:tr>
        <w:trPr>
          <w:trHeight w:val="154"/>
        </w:trPr>
        <w:tc>
          <w:tcPr>
            <w:tcW w:w="2030" w:type="dxa"/>
            <w:shd w:val="clear" w:color="auto" w:fill="CCFFCC"/>
            <w:vAlign w:val="center"/>
          </w:tcPr>
          <w:p>
            <w:pPr>
              <w:rPr>
                <w:rFonts w:ascii="Times New Roman" w:hAnsi="Times New Roman"/>
                <w:noProof/>
              </w:rPr>
            </w:pPr>
            <w:r>
              <w:rPr>
                <w:rFonts w:ascii="Times New Roman" w:hAnsi="Times New Roman"/>
                <w:noProof/>
              </w:rPr>
              <w:t>Regulas (ES) Nr. 389/2013 (Reģistra regula) pārskatīšana</w:t>
            </w:r>
          </w:p>
        </w:tc>
        <w:tc>
          <w:tcPr>
            <w:tcW w:w="3808" w:type="dxa"/>
            <w:shd w:val="clear" w:color="auto" w:fill="CCFFCC"/>
            <w:vAlign w:val="center"/>
          </w:tcPr>
          <w:p>
            <w:pPr>
              <w:rPr>
                <w:rFonts w:ascii="Times New Roman" w:hAnsi="Times New Roman"/>
                <w:noProof/>
              </w:rPr>
            </w:pPr>
            <w:r>
              <w:rPr>
                <w:rFonts w:ascii="Times New Roman" w:hAnsi="Times New Roman"/>
                <w:noProof/>
              </w:rPr>
              <w:t>Savienības reģistra ceturtā posma prasību noteikšana attiecībā uz standartizētām elektroniskām datubāzēm, kurās ietverti kopīgi datu elementi kvotu izdošanas, turēšanas, pārskaitīšanas un anulēšanas izsekošanai, kā arī sabiedrības piekļuves un konfidencialitātes nodrošināšanai</w:t>
            </w:r>
          </w:p>
        </w:tc>
        <w:tc>
          <w:tcPr>
            <w:tcW w:w="1862" w:type="dxa"/>
            <w:shd w:val="clear" w:color="auto" w:fill="CCFFCC"/>
            <w:vAlign w:val="center"/>
          </w:tcPr>
          <w:p>
            <w:pPr>
              <w:jc w:val="center"/>
              <w:rPr>
                <w:rFonts w:ascii="Times New Roman" w:hAnsi="Times New Roman"/>
                <w:noProof/>
              </w:rPr>
            </w:pPr>
            <w:r>
              <w:rPr>
                <w:rFonts w:ascii="Times New Roman" w:hAnsi="Times New Roman"/>
                <w:noProof/>
              </w:rPr>
              <w:t>Komisijas Deleģētā regula</w:t>
            </w:r>
          </w:p>
        </w:tc>
        <w:tc>
          <w:tcPr>
            <w:tcW w:w="1994" w:type="dxa"/>
            <w:shd w:val="clear" w:color="auto" w:fill="CCFFCC"/>
            <w:vAlign w:val="center"/>
          </w:tcPr>
          <w:p>
            <w:pPr>
              <w:jc w:val="center"/>
              <w:rPr>
                <w:rFonts w:ascii="Times New Roman" w:hAnsi="Times New Roman"/>
                <w:noProof/>
              </w:rPr>
            </w:pPr>
            <w:r>
              <w:rPr>
                <w:rFonts w:ascii="Times New Roman" w:hAnsi="Times New Roman"/>
                <w:noProof/>
              </w:rPr>
              <w:t xml:space="preserve">Pieņemta 2019. gada 12. martā, publicēta </w:t>
            </w:r>
            <w:r>
              <w:rPr>
                <w:rFonts w:ascii="Times New Roman" w:hAnsi="Times New Roman"/>
                <w:i/>
                <w:noProof/>
              </w:rPr>
              <w:t>Oficiālajā Vēstnesī</w:t>
            </w:r>
            <w:r>
              <w:rPr>
                <w:rFonts w:ascii="Times New Roman" w:hAnsi="Times New Roman"/>
                <w:noProof/>
              </w:rPr>
              <w:t xml:space="preserve"> 2019. gada 2. jūlijā</w:t>
            </w:r>
            <w:r>
              <w:rPr>
                <w:rStyle w:val="FootnoteReference"/>
                <w:rFonts w:ascii="Times New Roman" w:hAnsi="Times New Roman"/>
                <w:noProof/>
              </w:rPr>
              <w:footnoteReference w:id="84"/>
            </w:r>
          </w:p>
        </w:tc>
      </w:tr>
      <w:tr>
        <w:trPr>
          <w:trHeight w:val="154"/>
        </w:trPr>
        <w:tc>
          <w:tcPr>
            <w:tcW w:w="2030" w:type="dxa"/>
            <w:shd w:val="clear" w:color="auto" w:fill="CCFFCC"/>
            <w:vAlign w:val="center"/>
          </w:tcPr>
          <w:p>
            <w:pPr>
              <w:rPr>
                <w:rFonts w:ascii="Times New Roman" w:hAnsi="Times New Roman"/>
                <w:noProof/>
              </w:rPr>
            </w:pPr>
            <w:r>
              <w:rPr>
                <w:rFonts w:ascii="Times New Roman" w:hAnsi="Times New Roman"/>
                <w:noProof/>
              </w:rPr>
              <w:t>Regulas (ES) Nr. 1031/2010 (Izsoļu regula) grozīšana</w:t>
            </w:r>
          </w:p>
        </w:tc>
        <w:tc>
          <w:tcPr>
            <w:tcW w:w="3808" w:type="dxa"/>
            <w:shd w:val="clear" w:color="auto" w:fill="CCFFCC"/>
            <w:vAlign w:val="center"/>
          </w:tcPr>
          <w:p>
            <w:pPr>
              <w:rPr>
                <w:rFonts w:ascii="Times New Roman" w:hAnsi="Times New Roman"/>
                <w:noProof/>
              </w:rPr>
            </w:pPr>
            <w:r>
              <w:rPr>
                <w:rFonts w:ascii="Times New Roman" w:hAnsi="Times New Roman"/>
                <w:noProof/>
              </w:rPr>
              <w:t>Pirmo no tirgus stabilitātes rezerves (TSR) 2020. gadā iegūto 50 miljonu kvotu izsoles nodrošināšana Inovāciju fonda vajadzībām</w:t>
            </w:r>
          </w:p>
        </w:tc>
        <w:tc>
          <w:tcPr>
            <w:tcW w:w="1862" w:type="dxa"/>
            <w:shd w:val="clear" w:color="auto" w:fill="CCFFCC"/>
            <w:vAlign w:val="center"/>
          </w:tcPr>
          <w:p>
            <w:pPr>
              <w:jc w:val="center"/>
              <w:rPr>
                <w:rFonts w:ascii="Times New Roman" w:hAnsi="Times New Roman"/>
                <w:noProof/>
              </w:rPr>
            </w:pPr>
            <w:r>
              <w:rPr>
                <w:rFonts w:ascii="Times New Roman" w:hAnsi="Times New Roman"/>
                <w:noProof/>
              </w:rPr>
              <w:t>Komisijas Deleģētā regula</w:t>
            </w:r>
          </w:p>
        </w:tc>
        <w:tc>
          <w:tcPr>
            <w:tcW w:w="1994" w:type="dxa"/>
            <w:shd w:val="clear" w:color="auto" w:fill="CCFFCC"/>
            <w:vAlign w:val="center"/>
          </w:tcPr>
          <w:p>
            <w:pPr>
              <w:jc w:val="center"/>
              <w:rPr>
                <w:rFonts w:ascii="Times New Roman" w:hAnsi="Times New Roman"/>
                <w:noProof/>
              </w:rPr>
            </w:pPr>
            <w:r>
              <w:rPr>
                <w:rFonts w:ascii="Times New Roman" w:hAnsi="Times New Roman"/>
                <w:noProof/>
              </w:rPr>
              <w:t xml:space="preserve">Pieņemta 2018. gada 30. oktobrī, publicēta </w:t>
            </w:r>
            <w:r>
              <w:rPr>
                <w:rFonts w:ascii="Times New Roman" w:hAnsi="Times New Roman"/>
                <w:i/>
                <w:noProof/>
              </w:rPr>
              <w:t>Oficiālajā Vēstnesī</w:t>
            </w:r>
            <w:r>
              <w:rPr>
                <w:rFonts w:ascii="Times New Roman" w:hAnsi="Times New Roman"/>
                <w:noProof/>
              </w:rPr>
              <w:t xml:space="preserve"> 2019. gada 4. janvārī</w:t>
            </w:r>
            <w:r>
              <w:rPr>
                <w:rStyle w:val="FootnoteReference"/>
                <w:rFonts w:ascii="Times New Roman" w:hAnsi="Times New Roman"/>
                <w:noProof/>
              </w:rPr>
              <w:footnoteReference w:id="85"/>
            </w:r>
          </w:p>
        </w:tc>
      </w:tr>
      <w:tr>
        <w:trPr>
          <w:trHeight w:val="154"/>
        </w:trPr>
        <w:tc>
          <w:tcPr>
            <w:tcW w:w="2030" w:type="dxa"/>
            <w:shd w:val="clear" w:color="auto" w:fill="FFFFCC"/>
            <w:vAlign w:val="center"/>
          </w:tcPr>
          <w:p>
            <w:pPr>
              <w:rPr>
                <w:rFonts w:ascii="Times New Roman" w:hAnsi="Times New Roman"/>
                <w:noProof/>
              </w:rPr>
            </w:pPr>
            <w:r>
              <w:rPr>
                <w:rFonts w:ascii="Times New Roman" w:hAnsi="Times New Roman"/>
                <w:noProof/>
              </w:rPr>
              <w:t>Regulas (ES) Nr. 1031/2010 (Izsoļu regula) pārskatīšana</w:t>
            </w:r>
          </w:p>
        </w:tc>
        <w:tc>
          <w:tcPr>
            <w:tcW w:w="3808" w:type="dxa"/>
            <w:shd w:val="clear" w:color="auto" w:fill="FFFFCC"/>
            <w:vAlign w:val="center"/>
          </w:tcPr>
          <w:p>
            <w:pPr>
              <w:spacing w:after="120"/>
              <w:rPr>
                <w:rFonts w:ascii="Times New Roman" w:hAnsi="Times New Roman"/>
                <w:noProof/>
              </w:rPr>
            </w:pPr>
            <w:r>
              <w:rPr>
                <w:rFonts w:ascii="Times New Roman" w:hAnsi="Times New Roman"/>
                <w:noProof/>
              </w:rPr>
              <w:t>Dažu izsoles procesa aspektu pārskatīšana, lai īstenotu ceturtā posma prasības, jo īpaši lai ļautu izsolīt kvotas Inovāciju fondam un Modernizācijas fondam, kā arī atspoguļotu ES ETS kvotu kā finanšu instrumentu klasifikāciju saskaņā ar Direktīvu 2014/65/ES par finanšu instrumentu tirgiem (FITD 2).</w:t>
            </w:r>
          </w:p>
        </w:tc>
        <w:tc>
          <w:tcPr>
            <w:tcW w:w="1862" w:type="dxa"/>
            <w:shd w:val="clear" w:color="auto" w:fill="FFFFCC"/>
            <w:vAlign w:val="center"/>
          </w:tcPr>
          <w:p>
            <w:pPr>
              <w:jc w:val="center"/>
              <w:rPr>
                <w:rFonts w:ascii="Times New Roman" w:hAnsi="Times New Roman"/>
                <w:noProof/>
              </w:rPr>
            </w:pPr>
            <w:r>
              <w:rPr>
                <w:rFonts w:ascii="Times New Roman" w:hAnsi="Times New Roman"/>
                <w:noProof/>
              </w:rPr>
              <w:t>Deleģētais akts</w:t>
            </w:r>
          </w:p>
        </w:tc>
        <w:tc>
          <w:tcPr>
            <w:tcW w:w="1994" w:type="dxa"/>
            <w:shd w:val="clear" w:color="auto" w:fill="FFFFCC"/>
            <w:vAlign w:val="center"/>
          </w:tcPr>
          <w:p>
            <w:pPr>
              <w:jc w:val="center"/>
              <w:rPr>
                <w:rFonts w:ascii="Times New Roman" w:hAnsi="Times New Roman"/>
                <w:noProof/>
              </w:rPr>
            </w:pPr>
            <w:r>
              <w:rPr>
                <w:rFonts w:ascii="Times New Roman" w:hAnsi="Times New Roman"/>
                <w:noProof/>
              </w:rPr>
              <w:t>2019</w:t>
            </w:r>
          </w:p>
        </w:tc>
      </w:tr>
      <w:tr>
        <w:trPr>
          <w:trHeight w:val="154"/>
        </w:trPr>
        <w:tc>
          <w:tcPr>
            <w:tcW w:w="2030" w:type="dxa"/>
            <w:shd w:val="clear" w:color="auto" w:fill="CCFFCC"/>
            <w:vAlign w:val="center"/>
          </w:tcPr>
          <w:p>
            <w:pPr>
              <w:rPr>
                <w:rFonts w:ascii="Times New Roman" w:hAnsi="Times New Roman"/>
                <w:noProof/>
              </w:rPr>
            </w:pPr>
            <w:r>
              <w:rPr>
                <w:rFonts w:ascii="Times New Roman" w:hAnsi="Times New Roman"/>
                <w:noProof/>
              </w:rPr>
              <w:t>Regulas (ES) Nr. 601/2012 par monitoringu un ziņošanu pārskatīšana</w:t>
            </w:r>
          </w:p>
        </w:tc>
        <w:tc>
          <w:tcPr>
            <w:tcW w:w="3808" w:type="dxa"/>
            <w:shd w:val="clear" w:color="auto" w:fill="CCFFCC"/>
            <w:vAlign w:val="center"/>
          </w:tcPr>
          <w:p>
            <w:pPr>
              <w:rPr>
                <w:rFonts w:ascii="Times New Roman" w:hAnsi="Times New Roman"/>
                <w:noProof/>
              </w:rPr>
            </w:pPr>
            <w:r>
              <w:rPr>
                <w:rFonts w:ascii="Times New Roman" w:hAnsi="Times New Roman"/>
                <w:noProof/>
              </w:rPr>
              <w:t>Monitoringa un ziņošanas noteikumu vienkāršošana, uzlabošana un precizēšana, kā arī administratīvā sloga mazināšana, balstoties uz trešā posma īstenošanas pieredzi</w:t>
            </w:r>
          </w:p>
        </w:tc>
        <w:tc>
          <w:tcPr>
            <w:tcW w:w="1862" w:type="dxa"/>
            <w:shd w:val="clear" w:color="auto" w:fill="CCFFCC"/>
            <w:vAlign w:val="center"/>
          </w:tcPr>
          <w:p>
            <w:pPr>
              <w:jc w:val="center"/>
              <w:rPr>
                <w:rFonts w:ascii="Times New Roman" w:hAnsi="Times New Roman"/>
                <w:noProof/>
              </w:rPr>
            </w:pPr>
            <w:r>
              <w:rPr>
                <w:rFonts w:ascii="Times New Roman" w:hAnsi="Times New Roman"/>
                <w:noProof/>
              </w:rPr>
              <w:t>Komisijas Īstenošanas regula</w:t>
            </w:r>
          </w:p>
        </w:tc>
        <w:tc>
          <w:tcPr>
            <w:tcW w:w="1994" w:type="dxa"/>
            <w:shd w:val="clear" w:color="auto" w:fill="CCFFCC"/>
            <w:vAlign w:val="center"/>
          </w:tcPr>
          <w:p>
            <w:pPr>
              <w:jc w:val="center"/>
              <w:rPr>
                <w:rFonts w:ascii="Times New Roman" w:hAnsi="Times New Roman"/>
                <w:noProof/>
              </w:rPr>
            </w:pPr>
            <w:r>
              <w:rPr>
                <w:rFonts w:ascii="Times New Roman" w:hAnsi="Times New Roman"/>
                <w:noProof/>
              </w:rPr>
              <w:t xml:space="preserve">Pieņemta 2018. gada 19. decembrī, publicēta </w:t>
            </w:r>
            <w:r>
              <w:rPr>
                <w:rFonts w:ascii="Times New Roman" w:hAnsi="Times New Roman"/>
                <w:i/>
                <w:noProof/>
              </w:rPr>
              <w:t>Oficiālajā Vēstnesī</w:t>
            </w:r>
            <w:r>
              <w:rPr>
                <w:rFonts w:ascii="Times New Roman" w:hAnsi="Times New Roman"/>
                <w:noProof/>
              </w:rPr>
              <w:t xml:space="preserve"> 2018. gada 31. decembrī</w:t>
            </w:r>
            <w:r>
              <w:rPr>
                <w:rStyle w:val="FootnoteReference"/>
                <w:rFonts w:ascii="Times New Roman" w:hAnsi="Times New Roman"/>
                <w:noProof/>
              </w:rPr>
              <w:footnoteReference w:id="86"/>
            </w:r>
          </w:p>
        </w:tc>
      </w:tr>
      <w:tr>
        <w:trPr>
          <w:trHeight w:val="154"/>
        </w:trPr>
        <w:tc>
          <w:tcPr>
            <w:tcW w:w="2030" w:type="dxa"/>
            <w:tcBorders>
              <w:bottom w:val="double" w:sz="4" w:space="0" w:color="auto"/>
            </w:tcBorders>
            <w:shd w:val="clear" w:color="auto" w:fill="CCFFCC"/>
            <w:vAlign w:val="center"/>
          </w:tcPr>
          <w:p>
            <w:pPr>
              <w:rPr>
                <w:rFonts w:ascii="Times New Roman" w:hAnsi="Times New Roman"/>
                <w:noProof/>
              </w:rPr>
            </w:pPr>
            <w:r>
              <w:rPr>
                <w:rFonts w:ascii="Times New Roman" w:hAnsi="Times New Roman"/>
                <w:noProof/>
              </w:rPr>
              <w:t>Regulas (ES) Nr. 600/2012 par verifikāciju un akreditāciju pārskatīšana</w:t>
            </w:r>
          </w:p>
        </w:tc>
        <w:tc>
          <w:tcPr>
            <w:tcW w:w="3808" w:type="dxa"/>
            <w:tcBorders>
              <w:bottom w:val="double" w:sz="4" w:space="0" w:color="auto"/>
            </w:tcBorders>
            <w:shd w:val="clear" w:color="auto" w:fill="CCFFCC"/>
            <w:vAlign w:val="center"/>
          </w:tcPr>
          <w:p>
            <w:pPr>
              <w:rPr>
                <w:rFonts w:ascii="Times New Roman" w:hAnsi="Times New Roman"/>
                <w:noProof/>
              </w:rPr>
            </w:pPr>
            <w:r>
              <w:rPr>
                <w:rFonts w:ascii="Times New Roman" w:hAnsi="Times New Roman"/>
                <w:noProof/>
              </w:rPr>
              <w:t>Akreditācijas un verifikācijas noteikumu vienkāršošana, uzlabošana un precizēšana, kā arī administratīvā sloga mazināšana, balstoties uz trešā posma īstenošanas pieredzi, ciktāl tas iespējams</w:t>
            </w:r>
          </w:p>
        </w:tc>
        <w:tc>
          <w:tcPr>
            <w:tcW w:w="1862" w:type="dxa"/>
            <w:tcBorders>
              <w:bottom w:val="double" w:sz="4" w:space="0" w:color="auto"/>
            </w:tcBorders>
            <w:shd w:val="clear" w:color="auto" w:fill="CCFFCC"/>
            <w:vAlign w:val="center"/>
          </w:tcPr>
          <w:p>
            <w:pPr>
              <w:jc w:val="center"/>
              <w:rPr>
                <w:rFonts w:ascii="Times New Roman" w:hAnsi="Times New Roman"/>
                <w:noProof/>
              </w:rPr>
            </w:pPr>
            <w:r>
              <w:rPr>
                <w:rFonts w:ascii="Times New Roman" w:hAnsi="Times New Roman"/>
                <w:noProof/>
              </w:rPr>
              <w:t xml:space="preserve">Komisijas Īstenošanas regula </w:t>
            </w:r>
          </w:p>
        </w:tc>
        <w:tc>
          <w:tcPr>
            <w:tcW w:w="1994" w:type="dxa"/>
            <w:tcBorders>
              <w:bottom w:val="double" w:sz="4" w:space="0" w:color="auto"/>
            </w:tcBorders>
            <w:shd w:val="clear" w:color="auto" w:fill="CCFFCC"/>
            <w:vAlign w:val="center"/>
          </w:tcPr>
          <w:p>
            <w:pPr>
              <w:jc w:val="center"/>
              <w:rPr>
                <w:rFonts w:ascii="Times New Roman" w:hAnsi="Times New Roman"/>
                <w:noProof/>
              </w:rPr>
            </w:pPr>
            <w:r>
              <w:rPr>
                <w:rFonts w:ascii="Times New Roman" w:hAnsi="Times New Roman"/>
                <w:noProof/>
              </w:rPr>
              <w:t xml:space="preserve">Pieņemta 2018. gada 19. decembrī, publicēta </w:t>
            </w:r>
            <w:r>
              <w:rPr>
                <w:rFonts w:ascii="Times New Roman" w:hAnsi="Times New Roman"/>
                <w:i/>
                <w:noProof/>
              </w:rPr>
              <w:t>Oficiālajā Vēstnesī</w:t>
            </w:r>
            <w:r>
              <w:rPr>
                <w:rFonts w:ascii="Times New Roman" w:hAnsi="Times New Roman"/>
                <w:noProof/>
              </w:rPr>
              <w:t xml:space="preserve"> 2018. gada 31. decembrī</w:t>
            </w:r>
            <w:r>
              <w:rPr>
                <w:rStyle w:val="FootnoteReference"/>
                <w:rFonts w:ascii="Times New Roman" w:hAnsi="Times New Roman"/>
                <w:noProof/>
              </w:rPr>
              <w:footnoteReference w:id="87"/>
            </w:r>
          </w:p>
        </w:tc>
      </w:tr>
      <w:tr>
        <w:trPr>
          <w:trHeight w:val="154"/>
        </w:trPr>
        <w:tc>
          <w:tcPr>
            <w:tcW w:w="2030" w:type="dxa"/>
            <w:shd w:val="clear" w:color="auto" w:fill="FFFFCC"/>
            <w:vAlign w:val="center"/>
          </w:tcPr>
          <w:p>
            <w:pPr>
              <w:rPr>
                <w:rFonts w:ascii="Times New Roman" w:hAnsi="Times New Roman"/>
                <w:noProof/>
              </w:rPr>
            </w:pPr>
            <w:r>
              <w:rPr>
                <w:rFonts w:ascii="Times New Roman" w:hAnsi="Times New Roman"/>
                <w:noProof/>
              </w:rPr>
              <w:t xml:space="preserve">Regula, ar ko papildina Direktīvu 2003/87/EK attiecībā uz </w:t>
            </w:r>
            <w:r>
              <w:rPr>
                <w:rFonts w:ascii="Times New Roman" w:hAnsi="Times New Roman"/>
                <w:i/>
                <w:noProof/>
              </w:rPr>
              <w:t>CORSIA</w:t>
            </w:r>
          </w:p>
        </w:tc>
        <w:tc>
          <w:tcPr>
            <w:tcW w:w="3808" w:type="dxa"/>
            <w:shd w:val="clear" w:color="auto" w:fill="FFFFCC"/>
            <w:vAlign w:val="center"/>
          </w:tcPr>
          <w:p>
            <w:pPr>
              <w:rPr>
                <w:rFonts w:ascii="Times New Roman" w:hAnsi="Times New Roman"/>
                <w:noProof/>
              </w:rPr>
            </w:pPr>
            <w:r>
              <w:rPr>
                <w:rFonts w:ascii="Times New Roman" w:hAnsi="Times New Roman"/>
                <w:noProof/>
              </w:rPr>
              <w:t xml:space="preserve">Regula, ar ko papildina ES ETS direktīvu attiecībā uz pasākumiem, kurus Starptautiskā Civilās aviācijas organizācija noteikusi aviācijas emisiju monitoringa, ziņošanas un verifikācijas nolūkā, lai īstenotu </w:t>
            </w:r>
            <w:r>
              <w:rPr>
                <w:rFonts w:ascii="Times New Roman" w:hAnsi="Times New Roman"/>
                <w:i/>
                <w:noProof/>
              </w:rPr>
              <w:t>CORSIA</w:t>
            </w:r>
          </w:p>
        </w:tc>
        <w:tc>
          <w:tcPr>
            <w:tcW w:w="1862" w:type="dxa"/>
            <w:shd w:val="clear" w:color="auto" w:fill="FFFFCC"/>
            <w:vAlign w:val="center"/>
          </w:tcPr>
          <w:p>
            <w:pPr>
              <w:jc w:val="center"/>
              <w:rPr>
                <w:rFonts w:ascii="Times New Roman" w:hAnsi="Times New Roman"/>
                <w:noProof/>
              </w:rPr>
            </w:pPr>
            <w:r>
              <w:rPr>
                <w:rFonts w:ascii="Times New Roman" w:hAnsi="Times New Roman"/>
                <w:noProof/>
              </w:rPr>
              <w:t>Komisijas Deleģētā regula</w:t>
            </w:r>
          </w:p>
        </w:tc>
        <w:tc>
          <w:tcPr>
            <w:tcW w:w="1994" w:type="dxa"/>
            <w:shd w:val="clear" w:color="auto" w:fill="FFFFCC"/>
            <w:vAlign w:val="center"/>
          </w:tcPr>
          <w:p>
            <w:pPr>
              <w:jc w:val="center"/>
              <w:rPr>
                <w:rFonts w:ascii="Times New Roman" w:hAnsi="Times New Roman"/>
                <w:noProof/>
              </w:rPr>
            </w:pPr>
            <w:r>
              <w:rPr>
                <w:rFonts w:ascii="Times New Roman" w:hAnsi="Times New Roman"/>
                <w:noProof/>
              </w:rPr>
              <w:t>2019</w:t>
            </w:r>
          </w:p>
        </w:tc>
      </w:tr>
      <w:tr>
        <w:trPr>
          <w:trHeight w:val="154"/>
        </w:trPr>
        <w:tc>
          <w:tcPr>
            <w:tcW w:w="2030" w:type="dxa"/>
            <w:shd w:val="clear" w:color="auto" w:fill="FFFFCC"/>
            <w:vAlign w:val="center"/>
          </w:tcPr>
          <w:p>
            <w:pPr>
              <w:rPr>
                <w:rFonts w:ascii="Times New Roman" w:hAnsi="Times New Roman"/>
                <w:noProof/>
              </w:rPr>
            </w:pPr>
            <w:r>
              <w:rPr>
                <w:rFonts w:ascii="Times New Roman" w:hAnsi="Times New Roman"/>
                <w:noProof/>
              </w:rPr>
              <w:t>ES ETS valsts atbalsta pamatnostādnes 2021.–2030. gadam</w:t>
            </w:r>
          </w:p>
        </w:tc>
        <w:tc>
          <w:tcPr>
            <w:tcW w:w="3808" w:type="dxa"/>
            <w:shd w:val="clear" w:color="auto" w:fill="FFFFCC"/>
            <w:vAlign w:val="center"/>
          </w:tcPr>
          <w:p>
            <w:pPr>
              <w:rPr>
                <w:rFonts w:ascii="Times New Roman" w:hAnsi="Times New Roman"/>
                <w:noProof/>
              </w:rPr>
            </w:pPr>
            <w:r>
              <w:rPr>
                <w:rFonts w:ascii="Times New Roman" w:hAnsi="Times New Roman"/>
                <w:noProof/>
              </w:rPr>
              <w:t>ES ETS valsts atbalsta pamatnostādņu pārskatīšana ceturtajam posmam, lai pieskaņotos jaunajiem noteikumiem, kas ieviesti ar pārskatīto ES ETS direktīvu par netiešo oglekļa izmaksu kompensācijas shēmām</w:t>
            </w:r>
          </w:p>
        </w:tc>
        <w:tc>
          <w:tcPr>
            <w:tcW w:w="1862" w:type="dxa"/>
            <w:shd w:val="clear" w:color="auto" w:fill="FFFFCC"/>
            <w:vAlign w:val="center"/>
          </w:tcPr>
          <w:p>
            <w:pPr>
              <w:jc w:val="center"/>
              <w:rPr>
                <w:rFonts w:ascii="Times New Roman" w:hAnsi="Times New Roman"/>
                <w:noProof/>
              </w:rPr>
            </w:pPr>
            <w:r>
              <w:rPr>
                <w:rFonts w:ascii="Times New Roman" w:hAnsi="Times New Roman"/>
                <w:noProof/>
              </w:rPr>
              <w:t>Komisijas paziņojums</w:t>
            </w:r>
          </w:p>
        </w:tc>
        <w:tc>
          <w:tcPr>
            <w:tcW w:w="1994" w:type="dxa"/>
            <w:shd w:val="clear" w:color="auto" w:fill="FFFFCC"/>
            <w:vAlign w:val="center"/>
          </w:tcPr>
          <w:p>
            <w:pPr>
              <w:jc w:val="center"/>
              <w:rPr>
                <w:rFonts w:ascii="Times New Roman" w:hAnsi="Times New Roman"/>
                <w:noProof/>
              </w:rPr>
            </w:pPr>
            <w:r>
              <w:rPr>
                <w:rFonts w:ascii="Times New Roman" w:hAnsi="Times New Roman"/>
                <w:noProof/>
              </w:rPr>
              <w:t>2020</w:t>
            </w:r>
          </w:p>
        </w:tc>
      </w:tr>
    </w:tbl>
    <w:tbl>
      <w:tblPr>
        <w:tblStyle w:val="TableGrid6"/>
        <w:tblpPr w:leftFromText="180" w:rightFromText="180" w:vertAnchor="text" w:horzAnchor="margin" w:tblpY="72"/>
        <w:tblW w:w="1851" w:type="dxa"/>
        <w:tblLook w:val="04A0" w:firstRow="1" w:lastRow="0" w:firstColumn="1" w:lastColumn="0" w:noHBand="0" w:noVBand="1"/>
      </w:tblPr>
      <w:tblGrid>
        <w:gridCol w:w="1851"/>
      </w:tblGrid>
      <w:tr>
        <w:trPr>
          <w:trHeight w:val="251"/>
        </w:trPr>
        <w:tc>
          <w:tcPr>
            <w:tcW w:w="1851" w:type="dxa"/>
          </w:tcPr>
          <w:p>
            <w:pPr>
              <w:rPr>
                <w:rFonts w:ascii="Times New Roman" w:hAnsi="Times New Roman"/>
                <w:b/>
                <w:noProof/>
              </w:rPr>
            </w:pPr>
            <w:r>
              <w:rPr>
                <w:rFonts w:ascii="Times New Roman" w:hAnsi="Times New Roman"/>
                <w:b/>
                <w:noProof/>
              </w:rPr>
              <w:t xml:space="preserve">Pašreizējā situācija </w:t>
            </w:r>
          </w:p>
        </w:tc>
      </w:tr>
      <w:tr>
        <w:trPr>
          <w:trHeight w:val="251"/>
        </w:trPr>
        <w:tc>
          <w:tcPr>
            <w:tcW w:w="1851" w:type="dxa"/>
            <w:tcBorders>
              <w:bottom w:val="single" w:sz="4" w:space="0" w:color="auto"/>
            </w:tcBorders>
          </w:tcPr>
          <w:p>
            <w:pPr>
              <w:rPr>
                <w:rFonts w:ascii="Times New Roman" w:hAnsi="Times New Roman"/>
                <w:noProof/>
              </w:rPr>
            </w:pPr>
            <w:r>
              <w:rPr>
                <w:rFonts w:ascii="Times New Roman" w:hAnsi="Times New Roman"/>
                <w:noProof/>
              </w:rPr>
              <w:t>Plānots</w:t>
            </w:r>
          </w:p>
        </w:tc>
      </w:tr>
      <w:tr>
        <w:trPr>
          <w:trHeight w:val="251"/>
        </w:trPr>
        <w:tc>
          <w:tcPr>
            <w:tcW w:w="1851" w:type="dxa"/>
            <w:tcBorders>
              <w:bottom w:val="single" w:sz="4" w:space="0" w:color="auto"/>
            </w:tcBorders>
            <w:shd w:val="clear" w:color="auto" w:fill="FFFFCC"/>
          </w:tcPr>
          <w:p>
            <w:pPr>
              <w:rPr>
                <w:rFonts w:ascii="Times New Roman" w:hAnsi="Times New Roman"/>
                <w:noProof/>
              </w:rPr>
            </w:pPr>
            <w:r>
              <w:rPr>
                <w:rFonts w:ascii="Times New Roman" w:hAnsi="Times New Roman"/>
                <w:noProof/>
              </w:rPr>
              <w:t>Procesā</w:t>
            </w:r>
          </w:p>
        </w:tc>
      </w:tr>
      <w:tr>
        <w:trPr>
          <w:trHeight w:val="264"/>
        </w:trPr>
        <w:tc>
          <w:tcPr>
            <w:tcW w:w="1851" w:type="dxa"/>
            <w:shd w:val="clear" w:color="auto" w:fill="CCFFCC"/>
          </w:tcPr>
          <w:p>
            <w:pPr>
              <w:rPr>
                <w:rFonts w:ascii="Times New Roman" w:hAnsi="Times New Roman"/>
                <w:noProof/>
              </w:rPr>
            </w:pPr>
            <w:r>
              <w:rPr>
                <w:rFonts w:ascii="Times New Roman" w:hAnsi="Times New Roman"/>
                <w:noProof/>
              </w:rPr>
              <w:t>Paveikts</w:t>
            </w:r>
          </w:p>
        </w:tc>
      </w:tr>
    </w:tbl>
    <w:p>
      <w:pPr>
        <w:spacing w:after="0"/>
        <w:rPr>
          <w:rFonts w:ascii="Times New Roman" w:hAnsi="Times New Roman"/>
          <w:b/>
          <w:noProof/>
        </w:rPr>
      </w:pPr>
    </w:p>
    <w:p>
      <w:pPr>
        <w:rPr>
          <w:rFonts w:ascii="Times New Roman" w:hAnsi="Times New Roman"/>
          <w:b/>
          <w:noProof/>
        </w:rPr>
      </w:pPr>
    </w:p>
    <w:p>
      <w:pPr>
        <w:rPr>
          <w:rFonts w:ascii="Times New Roman" w:hAnsi="Times New Roman"/>
          <w:b/>
          <w:noProof/>
        </w:rPr>
      </w:pPr>
    </w:p>
    <w:p>
      <w:pPr>
        <w:rPr>
          <w:rFonts w:ascii="Times New Roman" w:hAnsi="Times New Roman"/>
          <w:b/>
          <w:noProof/>
        </w:rPr>
      </w:pPr>
    </w:p>
    <w:p>
      <w:pPr>
        <w:rPr>
          <w:rFonts w:ascii="Times New Roman" w:hAnsi="Times New Roman"/>
          <w:b/>
          <w:noProof/>
        </w:rPr>
      </w:pPr>
      <w:r>
        <w:rPr>
          <w:rFonts w:ascii="Times New Roman" w:hAnsi="Times New Roman"/>
          <w:b/>
          <w:noProof/>
        </w:rPr>
        <w:t>8. papildinājums</w:t>
      </w:r>
    </w:p>
    <w:p>
      <w:pPr>
        <w:keepNext/>
        <w:rPr>
          <w:rFonts w:ascii="Times New Roman" w:hAnsi="Times New Roman"/>
          <w:b/>
          <w:bCs/>
          <w:noProof/>
          <w:sz w:val="20"/>
          <w:szCs w:val="20"/>
        </w:rPr>
      </w:pPr>
      <w:r>
        <w:rPr>
          <w:rFonts w:ascii="Times New Roman" w:hAnsi="Times New Roman"/>
          <w:b/>
          <w:bCs/>
          <w:noProof/>
          <w:sz w:val="20"/>
          <w:szCs w:val="20"/>
        </w:rPr>
        <w:t>8.1. tabula. Dalībvalstu ieguldījums tirgus stabilitātes rezervē 2019. gadā</w:t>
      </w:r>
      <w:r>
        <w:rPr>
          <w:rStyle w:val="FootnoteReference"/>
          <w:rFonts w:ascii="Times New Roman" w:hAnsi="Times New Roman"/>
          <w:b/>
          <w:noProof/>
          <w:sz w:val="20"/>
          <w:szCs w:val="20"/>
        </w:rPr>
        <w:footnoteReference w:id="88"/>
      </w:r>
      <w:r>
        <w:rPr>
          <w:rFonts w:ascii="Times New Roman" w:hAnsi="Times New Roman"/>
          <w:b/>
          <w:noProof/>
          <w:sz w:val="20"/>
          <w:szCs w:val="20"/>
        </w:rPr>
        <w:t xml:space="preserve"> un 2020. gadā</w:t>
      </w:r>
      <w:r>
        <w:rPr>
          <w:rStyle w:val="FootnoteReference"/>
          <w:rFonts w:ascii="Times New Roman" w:hAnsi="Times New Roman"/>
          <w:b/>
          <w:noProof/>
          <w:sz w:val="20"/>
          <w:szCs w:val="20"/>
        </w:rPr>
        <w:footnoteReference w:id="89"/>
      </w:r>
    </w:p>
    <w:tbl>
      <w:tblPr>
        <w:tblW w:w="9302" w:type="dxa"/>
        <w:tblInd w:w="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02"/>
        <w:gridCol w:w="3100"/>
        <w:gridCol w:w="3100"/>
      </w:tblGrid>
      <w:tr>
        <w:trPr>
          <w:trHeight w:val="1274"/>
        </w:trPr>
        <w:tc>
          <w:tcPr>
            <w:tcW w:w="3102" w:type="dxa"/>
            <w:shd w:val="clear" w:color="auto" w:fill="auto"/>
            <w:vAlign w:val="bottom"/>
            <w:hideMark/>
          </w:tcPr>
          <w:p>
            <w:pPr>
              <w:spacing w:after="0" w:line="240" w:lineRule="auto"/>
              <w:rPr>
                <w:rFonts w:ascii="Times New Roman" w:eastAsia="Times New Roman" w:hAnsi="Times New Roman"/>
                <w:b/>
                <w:bCs/>
                <w:noProof/>
                <w:sz w:val="20"/>
                <w:szCs w:val="20"/>
              </w:rPr>
            </w:pPr>
            <w:r>
              <w:rPr>
                <w:rFonts w:ascii="Times New Roman" w:hAnsi="Times New Roman"/>
                <w:b/>
                <w:bCs/>
                <w:noProof/>
                <w:sz w:val="20"/>
                <w:szCs w:val="20"/>
              </w:rPr>
              <w:t>Dalībvalsts / EEZ</w:t>
            </w:r>
            <w:r>
              <w:rPr>
                <w:rFonts w:ascii="Times New Roman" w:hAnsi="Times New Roman"/>
                <w:b/>
                <w:bCs/>
                <w:noProof/>
                <w:sz w:val="20"/>
                <w:szCs w:val="20"/>
              </w:rPr>
              <w:br/>
              <w:t>EBTA valsts</w:t>
            </w:r>
          </w:p>
        </w:tc>
        <w:tc>
          <w:tcPr>
            <w:tcW w:w="3100" w:type="dxa"/>
            <w:shd w:val="clear" w:color="auto" w:fill="auto"/>
            <w:vAlign w:val="bottom"/>
            <w:hideMark/>
          </w:tcPr>
          <w:p>
            <w:pPr>
              <w:spacing w:after="0" w:line="240" w:lineRule="auto"/>
              <w:rPr>
                <w:rFonts w:ascii="Times New Roman" w:eastAsia="Times New Roman" w:hAnsi="Times New Roman"/>
                <w:b/>
                <w:bCs/>
                <w:noProof/>
                <w:sz w:val="20"/>
                <w:szCs w:val="20"/>
              </w:rPr>
            </w:pPr>
            <w:r>
              <w:rPr>
                <w:rFonts w:ascii="Times New Roman" w:hAnsi="Times New Roman"/>
                <w:b/>
                <w:bCs/>
                <w:noProof/>
                <w:sz w:val="20"/>
                <w:szCs w:val="20"/>
              </w:rPr>
              <w:t>Ieguldījums TSR 2019. gadā</w:t>
            </w:r>
          </w:p>
        </w:tc>
        <w:tc>
          <w:tcPr>
            <w:tcW w:w="3100" w:type="dxa"/>
            <w:shd w:val="clear" w:color="auto" w:fill="auto"/>
            <w:vAlign w:val="bottom"/>
            <w:hideMark/>
          </w:tcPr>
          <w:p>
            <w:pPr>
              <w:spacing w:after="0" w:line="240" w:lineRule="auto"/>
              <w:rPr>
                <w:rFonts w:ascii="Times New Roman" w:eastAsia="Times New Roman" w:hAnsi="Times New Roman"/>
                <w:b/>
                <w:bCs/>
                <w:noProof/>
                <w:sz w:val="20"/>
                <w:szCs w:val="20"/>
              </w:rPr>
            </w:pPr>
            <w:r>
              <w:rPr>
                <w:rFonts w:ascii="Times New Roman" w:hAnsi="Times New Roman"/>
                <w:b/>
                <w:bCs/>
                <w:noProof/>
                <w:sz w:val="20"/>
                <w:szCs w:val="20"/>
              </w:rPr>
              <w:t>Zināmais ieguldījums TSR 2020. gadā</w:t>
            </w:r>
            <w:r>
              <w:rPr>
                <w:rStyle w:val="FootnoteReference"/>
                <w:rFonts w:ascii="Times New Roman" w:eastAsia="Times New Roman" w:hAnsi="Times New Roman"/>
                <w:b/>
                <w:bCs/>
                <w:noProof/>
                <w:sz w:val="20"/>
                <w:szCs w:val="20"/>
              </w:rPr>
              <w:footnoteReference w:id="90"/>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Austrija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5 935 748</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3 957 699</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Beļģija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9 846 994</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6 565 549</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Bulgārija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8 292 720</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5 529 227</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Horvātija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1 614 984</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1 076 801</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Kipra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932 844</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621 980</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Čehija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15 406 858</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10 272 626</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Dānija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5 340 750</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3 560 981</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Igaunija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2 904 319</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1 936 474</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Somija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7 130 025</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4 753 992</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Francija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23 346 791</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15 566 629</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Vācija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85 389 770</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56 934 202</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Grieķija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12 684 492</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8 457 470</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Ungārija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5 115 708</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3 410 933</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Islande</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166 450</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110 982</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Īrija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3 991 393</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2 661 288</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Itālija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40 304 729</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26 873 449</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Latvija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865 501</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577 079</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Lihtenšteina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3725</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2484</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Lietuva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1 792 324</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1 195 044</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Luksemburga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467 394</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311 638</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Malta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354 798</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236 564</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Nīderlande</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14 291 411</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9 528 894</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Norvēģija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3 314 570</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2 210 012</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Polija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39 282 170</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26 191 650</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Portugāle</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6 478 775</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4 319 767</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Rumānija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14 941 290</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9 962 205</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Slovākija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4 752 513</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3 168 770</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Slovēnija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1 577 714</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1 051 951</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Spānija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32 660 234</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21 776 430</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Zviedrija</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3 457 106</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2 305 049</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noProof/>
                <w:sz w:val="20"/>
                <w:szCs w:val="20"/>
              </w:rPr>
            </w:pPr>
            <w:r>
              <w:rPr>
                <w:rFonts w:ascii="Times New Roman" w:hAnsi="Times New Roman"/>
                <w:noProof/>
                <w:sz w:val="20"/>
                <w:szCs w:val="20"/>
              </w:rPr>
              <w:t>Apvienotā Karaliste</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44 480 623</w:t>
            </w:r>
          </w:p>
        </w:tc>
        <w:tc>
          <w:tcPr>
            <w:tcW w:w="3100" w:type="dxa"/>
            <w:shd w:val="clear" w:color="auto" w:fill="auto"/>
            <w:noWrap/>
            <w:vAlign w:val="bottom"/>
            <w:hideMark/>
          </w:tcPr>
          <w:p>
            <w:pPr>
              <w:spacing w:after="0" w:line="240" w:lineRule="auto"/>
              <w:jc w:val="right"/>
              <w:rPr>
                <w:rFonts w:ascii="Times New Roman" w:eastAsia="Times New Roman" w:hAnsi="Times New Roman"/>
                <w:noProof/>
                <w:sz w:val="20"/>
                <w:szCs w:val="20"/>
              </w:rPr>
            </w:pPr>
            <w:r>
              <w:rPr>
                <w:rFonts w:ascii="Times New Roman" w:hAnsi="Times New Roman"/>
                <w:noProof/>
                <w:sz w:val="20"/>
                <w:szCs w:val="20"/>
              </w:rPr>
              <w:t>29 657 753</w:t>
            </w:r>
          </w:p>
        </w:tc>
      </w:tr>
      <w:tr>
        <w:trPr>
          <w:trHeight w:val="292"/>
        </w:trPr>
        <w:tc>
          <w:tcPr>
            <w:tcW w:w="3102" w:type="dxa"/>
            <w:shd w:val="clear" w:color="auto" w:fill="auto"/>
            <w:noWrap/>
            <w:vAlign w:val="bottom"/>
            <w:hideMark/>
          </w:tcPr>
          <w:p>
            <w:pPr>
              <w:spacing w:after="0" w:line="240" w:lineRule="auto"/>
              <w:rPr>
                <w:rFonts w:ascii="Times New Roman" w:eastAsia="Times New Roman" w:hAnsi="Times New Roman"/>
                <w:b/>
                <w:bCs/>
                <w:noProof/>
                <w:sz w:val="20"/>
                <w:szCs w:val="20"/>
              </w:rPr>
            </w:pPr>
            <w:r>
              <w:rPr>
                <w:rFonts w:ascii="Times New Roman" w:hAnsi="Times New Roman"/>
                <w:b/>
                <w:bCs/>
                <w:noProof/>
                <w:sz w:val="20"/>
                <w:szCs w:val="20"/>
              </w:rPr>
              <w:t>Kopā</w:t>
            </w:r>
          </w:p>
        </w:tc>
        <w:tc>
          <w:tcPr>
            <w:tcW w:w="3100" w:type="dxa"/>
            <w:shd w:val="clear" w:color="auto" w:fill="auto"/>
            <w:noWrap/>
            <w:vAlign w:val="bottom"/>
            <w:hideMark/>
          </w:tcPr>
          <w:p>
            <w:pPr>
              <w:spacing w:after="0" w:line="240" w:lineRule="auto"/>
              <w:jc w:val="right"/>
              <w:rPr>
                <w:rFonts w:ascii="Times New Roman" w:eastAsia="Times New Roman" w:hAnsi="Times New Roman"/>
                <w:b/>
                <w:bCs/>
                <w:noProof/>
                <w:sz w:val="20"/>
                <w:szCs w:val="20"/>
              </w:rPr>
            </w:pPr>
            <w:r>
              <w:rPr>
                <w:rFonts w:ascii="Times New Roman" w:hAnsi="Times New Roman"/>
                <w:b/>
                <w:bCs/>
                <w:noProof/>
                <w:sz w:val="20"/>
                <w:szCs w:val="20"/>
              </w:rPr>
              <w:t>397 124 723</w:t>
            </w:r>
          </w:p>
        </w:tc>
        <w:tc>
          <w:tcPr>
            <w:tcW w:w="3100" w:type="dxa"/>
            <w:shd w:val="clear" w:color="auto" w:fill="auto"/>
            <w:noWrap/>
            <w:vAlign w:val="bottom"/>
            <w:hideMark/>
          </w:tcPr>
          <w:p>
            <w:pPr>
              <w:spacing w:after="0" w:line="240" w:lineRule="auto"/>
              <w:jc w:val="right"/>
              <w:rPr>
                <w:rFonts w:ascii="Times New Roman" w:eastAsia="Times New Roman" w:hAnsi="Times New Roman"/>
                <w:b/>
                <w:bCs/>
                <w:noProof/>
                <w:sz w:val="20"/>
                <w:szCs w:val="20"/>
              </w:rPr>
            </w:pPr>
            <w:r>
              <w:rPr>
                <w:rFonts w:ascii="Times New Roman" w:hAnsi="Times New Roman"/>
                <w:b/>
                <w:bCs/>
                <w:noProof/>
                <w:sz w:val="20"/>
                <w:szCs w:val="20"/>
              </w:rPr>
              <w:t>264 785 572</w:t>
            </w:r>
          </w:p>
        </w:tc>
      </w:tr>
    </w:tbl>
    <w:p>
      <w:pPr>
        <w:tabs>
          <w:tab w:val="left" w:pos="3491"/>
        </w:tabs>
        <w:rPr>
          <w:rFonts w:ascii="Times New Roman" w:hAnsi="Times New Roman"/>
          <w:noProof/>
        </w:rPr>
      </w:pPr>
      <w:r>
        <w:rPr>
          <w:rFonts w:ascii="Times New Roman" w:hAnsi="Times New Roman"/>
          <w:noProof/>
        </w:rPr>
        <w:tab/>
      </w:r>
    </w:p>
    <w:p>
      <w:pPr>
        <w:rPr>
          <w:rFonts w:ascii="Times New Roman" w:hAnsi="Times New Roman"/>
          <w:b/>
          <w:noProof/>
        </w:rPr>
      </w:pPr>
      <w:r>
        <w:rPr>
          <w:rFonts w:ascii="Times New Roman" w:hAnsi="Times New Roman"/>
          <w:b/>
          <w:noProof/>
        </w:rPr>
        <w:t>9. papildinājums</w:t>
      </w:r>
    </w:p>
    <w:p>
      <w:pPr>
        <w:rPr>
          <w:rFonts w:ascii="Times New Roman" w:hAnsi="Times New Roman"/>
          <w:b/>
          <w:noProof/>
          <w:sz w:val="20"/>
          <w:szCs w:val="20"/>
        </w:rPr>
      </w:pPr>
      <w:r>
        <w:rPr>
          <w:rFonts w:ascii="Times New Roman" w:hAnsi="Times New Roman"/>
          <w:b/>
          <w:noProof/>
          <w:sz w:val="20"/>
          <w:szCs w:val="20"/>
        </w:rPr>
        <w:t xml:space="preserve">9.1. tabula. </w:t>
      </w:r>
      <w:r>
        <w:rPr>
          <w:rFonts w:ascii="Times New Roman" w:hAnsi="Times New Roman"/>
          <w:b/>
          <w:i/>
          <w:noProof/>
          <w:sz w:val="20"/>
          <w:szCs w:val="20"/>
        </w:rPr>
        <w:t>NER300</w:t>
      </w:r>
      <w:r>
        <w:rPr>
          <w:rFonts w:ascii="Times New Roman" w:hAnsi="Times New Roman"/>
          <w:b/>
          <w:noProof/>
          <w:sz w:val="20"/>
          <w:szCs w:val="20"/>
        </w:rPr>
        <w:t xml:space="preserve"> neiztērētie līdzekļi saskaņā ar </w:t>
      </w:r>
      <w:r>
        <w:rPr>
          <w:rFonts w:ascii="Times New Roman" w:hAnsi="Times New Roman"/>
          <w:b/>
          <w:i/>
          <w:noProof/>
          <w:sz w:val="20"/>
          <w:szCs w:val="20"/>
        </w:rPr>
        <w:t>InnovFin</w:t>
      </w:r>
      <w:r>
        <w:rPr>
          <w:rFonts w:ascii="Times New Roman" w:hAnsi="Times New Roman"/>
          <w:b/>
          <w:noProof/>
          <w:sz w:val="20"/>
          <w:szCs w:val="20"/>
        </w:rPr>
        <w:t xml:space="preserve"> EDP: atbalstītie projekti</w:t>
      </w:r>
    </w:p>
    <w:tbl>
      <w:tblPr>
        <w:tblStyle w:val="TableGrid"/>
        <w:tblW w:w="987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8"/>
        <w:gridCol w:w="2893"/>
        <w:gridCol w:w="4140"/>
      </w:tblGrid>
      <w:tr>
        <w:trPr>
          <w:trHeight w:val="178"/>
        </w:trPr>
        <w:tc>
          <w:tcPr>
            <w:tcW w:w="2838" w:type="dxa"/>
            <w:shd w:val="clear" w:color="auto" w:fill="D9D9D9" w:themeFill="background1" w:themeFillShade="D9"/>
          </w:tcPr>
          <w:p>
            <w:pPr>
              <w:rPr>
                <w:rFonts w:ascii="Times New Roman" w:hAnsi="Times New Roman"/>
                <w:b/>
                <w:noProof/>
              </w:rPr>
            </w:pPr>
            <w:r>
              <w:rPr>
                <w:rFonts w:ascii="Times New Roman" w:hAnsi="Times New Roman"/>
                <w:b/>
                <w:noProof/>
              </w:rPr>
              <w:t>Projekta nosaukums</w:t>
            </w:r>
          </w:p>
        </w:tc>
        <w:tc>
          <w:tcPr>
            <w:tcW w:w="2893" w:type="dxa"/>
            <w:shd w:val="clear" w:color="auto" w:fill="D9D9D9" w:themeFill="background1" w:themeFillShade="D9"/>
          </w:tcPr>
          <w:p>
            <w:pPr>
              <w:rPr>
                <w:rFonts w:ascii="Times New Roman" w:hAnsi="Times New Roman"/>
                <w:b/>
                <w:noProof/>
              </w:rPr>
            </w:pPr>
            <w:r>
              <w:rPr>
                <w:rFonts w:ascii="Times New Roman" w:hAnsi="Times New Roman"/>
                <w:b/>
                <w:noProof/>
              </w:rPr>
              <w:t>Apraksts</w:t>
            </w:r>
          </w:p>
        </w:tc>
        <w:tc>
          <w:tcPr>
            <w:tcW w:w="4140" w:type="dxa"/>
            <w:shd w:val="clear" w:color="auto" w:fill="D9D9D9" w:themeFill="background1" w:themeFillShade="D9"/>
          </w:tcPr>
          <w:p>
            <w:pPr>
              <w:rPr>
                <w:rFonts w:ascii="Times New Roman" w:hAnsi="Times New Roman"/>
                <w:b/>
                <w:noProof/>
              </w:rPr>
            </w:pPr>
            <w:r>
              <w:rPr>
                <w:rFonts w:ascii="Times New Roman" w:hAnsi="Times New Roman"/>
                <w:b/>
                <w:noProof/>
              </w:rPr>
              <w:t>Attēls</w:t>
            </w:r>
          </w:p>
        </w:tc>
      </w:tr>
      <w:tr>
        <w:trPr>
          <w:trHeight w:val="2161"/>
        </w:trPr>
        <w:tc>
          <w:tcPr>
            <w:tcW w:w="2838" w:type="dxa"/>
          </w:tcPr>
          <w:p>
            <w:pPr>
              <w:rPr>
                <w:rFonts w:ascii="Times New Roman" w:hAnsi="Times New Roman"/>
                <w:noProof/>
              </w:rPr>
            </w:pPr>
            <w:r>
              <w:rPr>
                <w:rFonts w:ascii="Times New Roman" w:hAnsi="Times New Roman"/>
                <w:i/>
                <w:noProof/>
              </w:rPr>
              <w:t>WAVE ROLLER</w:t>
            </w:r>
          </w:p>
        </w:tc>
        <w:tc>
          <w:tcPr>
            <w:tcW w:w="2893" w:type="dxa"/>
          </w:tcPr>
          <w:p>
            <w:pPr>
              <w:rPr>
                <w:rFonts w:ascii="Times New Roman" w:hAnsi="Times New Roman"/>
                <w:noProof/>
              </w:rPr>
            </w:pPr>
            <w:r>
              <w:rPr>
                <w:rFonts w:ascii="Times New Roman" w:hAnsi="Times New Roman"/>
                <w:i/>
                <w:noProof/>
              </w:rPr>
              <w:t>Wave Roller</w:t>
            </w:r>
            <w:r>
              <w:rPr>
                <w:rFonts w:ascii="Times New Roman" w:hAnsi="Times New Roman"/>
                <w:noProof/>
              </w:rPr>
              <w:t xml:space="preserve"> mērķis ir pierādīt viļņu enerģijas tehnoloģijas dzīvotspēju komerciālā mērogā, pārvarot šķirtni starp demonstrējuma iekārtu un tāda krastam tuvu esoša oscilējoša viļņu uzplūdu konvertera (</w:t>
            </w:r>
            <w:r>
              <w:rPr>
                <w:rFonts w:ascii="Times New Roman" w:hAnsi="Times New Roman"/>
                <w:i/>
                <w:noProof/>
              </w:rPr>
              <w:t>OWSC</w:t>
            </w:r>
            <w:r>
              <w:rPr>
                <w:rFonts w:ascii="Times New Roman" w:hAnsi="Times New Roman"/>
                <w:noProof/>
              </w:rPr>
              <w:t xml:space="preserve">) komerciālu izvietošanu, kas pārvērš viļņu enerģiju elektroenerģijā. </w:t>
            </w:r>
            <w:r>
              <w:rPr>
                <w:rFonts w:ascii="Times New Roman" w:hAnsi="Times New Roman"/>
                <w:i/>
                <w:noProof/>
              </w:rPr>
              <w:t>NER300</w:t>
            </w:r>
            <w:r>
              <w:rPr>
                <w:rFonts w:ascii="Times New Roman" w:hAnsi="Times New Roman"/>
                <w:noProof/>
              </w:rPr>
              <w:t xml:space="preserve"> ieguldījums būs 10 miljoni EUR.</w:t>
            </w:r>
          </w:p>
        </w:tc>
        <w:tc>
          <w:tcPr>
            <w:tcW w:w="4140" w:type="dxa"/>
          </w:tcPr>
          <w:p>
            <w:pPr>
              <w:jc w:val="center"/>
              <w:rPr>
                <w:rFonts w:ascii="Times New Roman" w:hAnsi="Times New Roman"/>
                <w:noProof/>
              </w:rPr>
            </w:pPr>
            <w:r>
              <w:rPr>
                <w:rFonts w:ascii="Times New Roman" w:hAnsi="Times New Roman"/>
                <w:b/>
                <w:noProof/>
                <w:lang w:val="en-GB"/>
              </w:rPr>
              <w:drawing>
                <wp:inline distT="0" distB="0" distL="0" distR="0">
                  <wp:extent cx="2310130" cy="1645526"/>
                  <wp:effectExtent l="0" t="0" r="0" b="0"/>
                  <wp:docPr id="17" name="Picture 17" descr="C:\Users\zmijeag\AppData\Local\Microsoft\Windows\INetCache\Content.Outlook\W4UI1M3B\Waveroller (00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jeag\AppData\Local\Microsoft\Windows\INetCache\Content.Outlook\W4UI1M3B\Waveroller (002) (0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8942" cy="1658926"/>
                          </a:xfrm>
                          <a:prstGeom prst="rect">
                            <a:avLst/>
                          </a:prstGeom>
                          <a:noFill/>
                          <a:ln>
                            <a:noFill/>
                          </a:ln>
                        </pic:spPr>
                      </pic:pic>
                    </a:graphicData>
                  </a:graphic>
                </wp:inline>
              </w:drawing>
            </w:r>
          </w:p>
        </w:tc>
      </w:tr>
      <w:tr>
        <w:trPr>
          <w:trHeight w:val="4681"/>
        </w:trPr>
        <w:tc>
          <w:tcPr>
            <w:tcW w:w="2838" w:type="dxa"/>
          </w:tcPr>
          <w:p>
            <w:pPr>
              <w:rPr>
                <w:rFonts w:ascii="Times New Roman" w:hAnsi="Times New Roman"/>
                <w:noProof/>
              </w:rPr>
            </w:pPr>
            <w:r>
              <w:rPr>
                <w:rFonts w:ascii="Times New Roman" w:hAnsi="Times New Roman"/>
                <w:i/>
                <w:noProof/>
              </w:rPr>
              <w:t>WINDFLOAT</w:t>
            </w:r>
          </w:p>
        </w:tc>
        <w:tc>
          <w:tcPr>
            <w:tcW w:w="2893" w:type="dxa"/>
          </w:tcPr>
          <w:p>
            <w:pPr>
              <w:rPr>
                <w:rFonts w:ascii="Times New Roman" w:hAnsi="Times New Roman"/>
                <w:noProof/>
              </w:rPr>
            </w:pPr>
            <w:r>
              <w:rPr>
                <w:rFonts w:ascii="Times New Roman" w:hAnsi="Times New Roman"/>
                <w:noProof/>
              </w:rPr>
              <w:t xml:space="preserve">Projekts </w:t>
            </w:r>
            <w:r>
              <w:rPr>
                <w:rFonts w:ascii="Times New Roman" w:hAnsi="Times New Roman"/>
                <w:i/>
                <w:noProof/>
              </w:rPr>
              <w:t>WindFloat</w:t>
            </w:r>
            <w:r>
              <w:rPr>
                <w:rFonts w:ascii="Times New Roman" w:hAnsi="Times New Roman"/>
                <w:noProof/>
              </w:rPr>
              <w:t xml:space="preserve"> ir novatorisks atkrastes vējparks, kas izmanto peldošu daļēji iegremdētu platformu aptuveni 20 km no Portugāles krastiem. Projekta mērķis ir uzlabot peldošo torņu pamatņu tehnoloģiskās attīstības līmeni, pierādot, ka </w:t>
            </w:r>
            <w:r>
              <w:rPr>
                <w:rFonts w:ascii="Times New Roman" w:hAnsi="Times New Roman"/>
                <w:i/>
                <w:noProof/>
              </w:rPr>
              <w:t>WindFloat</w:t>
            </w:r>
            <w:r>
              <w:rPr>
                <w:rFonts w:ascii="Times New Roman" w:hAnsi="Times New Roman"/>
                <w:noProof/>
              </w:rPr>
              <w:t xml:space="preserve"> koncepciju var piemērot lielāku turbīnu uzturēšanai. Vēlāk tas veicinās vējparku izvietošanu tālu no krasta. </w:t>
            </w:r>
            <w:r>
              <w:rPr>
                <w:rFonts w:ascii="Times New Roman" w:hAnsi="Times New Roman"/>
                <w:i/>
                <w:noProof/>
              </w:rPr>
              <w:t>NER300</w:t>
            </w:r>
            <w:r>
              <w:rPr>
                <w:rFonts w:ascii="Times New Roman" w:hAnsi="Times New Roman"/>
                <w:noProof/>
              </w:rPr>
              <w:t xml:space="preserve"> ieguldījums saskaņā ar </w:t>
            </w:r>
            <w:r>
              <w:rPr>
                <w:rFonts w:ascii="Times New Roman" w:hAnsi="Times New Roman"/>
                <w:i/>
                <w:noProof/>
              </w:rPr>
              <w:t>InnovFin</w:t>
            </w:r>
            <w:r>
              <w:rPr>
                <w:rFonts w:ascii="Times New Roman" w:hAnsi="Times New Roman"/>
                <w:noProof/>
              </w:rPr>
              <w:t xml:space="preserve"> EDP būs 60 miljoni EUR. </w:t>
            </w:r>
            <w:r>
              <w:rPr>
                <w:rFonts w:ascii="Times New Roman" w:hAnsi="Times New Roman"/>
                <w:i/>
                <w:noProof/>
              </w:rPr>
              <w:t>WindFloat</w:t>
            </w:r>
            <w:r>
              <w:rPr>
                <w:rFonts w:ascii="Times New Roman" w:hAnsi="Times New Roman"/>
                <w:noProof/>
              </w:rPr>
              <w:t xml:space="preserve"> arī saņem gandrīz 30 miljonu EUR dotāciju saskaņā ar sākotnējo programmu </w:t>
            </w:r>
            <w:r>
              <w:rPr>
                <w:rFonts w:ascii="Times New Roman" w:hAnsi="Times New Roman"/>
                <w:i/>
                <w:noProof/>
              </w:rPr>
              <w:t>NER300</w:t>
            </w:r>
            <w:r>
              <w:rPr>
                <w:rFonts w:ascii="Times New Roman" w:hAnsi="Times New Roman"/>
                <w:noProof/>
              </w:rPr>
              <w:t>.</w:t>
            </w:r>
          </w:p>
        </w:tc>
        <w:tc>
          <w:tcPr>
            <w:tcW w:w="4140" w:type="dxa"/>
          </w:tcPr>
          <w:p>
            <w:pPr>
              <w:jc w:val="center"/>
              <w:rPr>
                <w:rFonts w:ascii="Times New Roman" w:hAnsi="Times New Roman"/>
                <w:noProof/>
              </w:rPr>
            </w:pPr>
            <w:r>
              <w:rPr>
                <w:rFonts w:ascii="Times New Roman" w:hAnsi="Times New Roman"/>
                <w:b/>
                <w:noProof/>
                <w:lang w:val="en-GB"/>
              </w:rPr>
              <w:drawing>
                <wp:inline distT="0" distB="0" distL="0" distR="0">
                  <wp:extent cx="2318385" cy="1697126"/>
                  <wp:effectExtent l="0" t="0" r="5715" b="0"/>
                  <wp:docPr id="12" name="Picture 12" descr="C:\Users\zmijeag\AppData\Local\Microsoft\Windows\INetCache\Content.Outlook\W4UI1M3B\windfloat_ copyright principle powe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mijeag\AppData\Local\Microsoft\Windows\INetCache\Content.Outlook\W4UI1M3B\windfloat_ copyright principle power (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52191" cy="1721873"/>
                          </a:xfrm>
                          <a:prstGeom prst="rect">
                            <a:avLst/>
                          </a:prstGeom>
                          <a:noFill/>
                          <a:ln>
                            <a:noFill/>
                          </a:ln>
                        </pic:spPr>
                      </pic:pic>
                    </a:graphicData>
                  </a:graphic>
                </wp:inline>
              </w:drawing>
            </w:r>
          </w:p>
        </w:tc>
      </w:tr>
      <w:tr>
        <w:trPr>
          <w:trHeight w:val="3604"/>
        </w:trPr>
        <w:tc>
          <w:tcPr>
            <w:tcW w:w="2838" w:type="dxa"/>
          </w:tcPr>
          <w:p>
            <w:pPr>
              <w:rPr>
                <w:rFonts w:ascii="Times New Roman" w:hAnsi="Times New Roman"/>
                <w:noProof/>
              </w:rPr>
            </w:pPr>
            <w:r>
              <w:rPr>
                <w:rFonts w:ascii="Times New Roman" w:hAnsi="Times New Roman"/>
                <w:i/>
                <w:noProof/>
              </w:rPr>
              <w:t>GREENWAY EV CHARGING NETWORK</w:t>
            </w:r>
          </w:p>
        </w:tc>
        <w:tc>
          <w:tcPr>
            <w:tcW w:w="2893" w:type="dxa"/>
          </w:tcPr>
          <w:p>
            <w:pPr>
              <w:rPr>
                <w:rFonts w:ascii="Times New Roman" w:hAnsi="Times New Roman"/>
                <w:noProof/>
              </w:rPr>
            </w:pPr>
            <w:r>
              <w:rPr>
                <w:rFonts w:ascii="Times New Roman" w:hAnsi="Times New Roman"/>
                <w:noProof/>
              </w:rPr>
              <w:t xml:space="preserve">Projekts atbalstīs paātrinātu elektrotransportlīdzekļu infrastruktūras izvietošanu. Tas demonstrē, ka ir iespējams komerciālā apjomā izvietot sevišķi ātras elektrotransportlīdzekļu uzlādes iekārtas, kā arī — pilotprojekta veidā — integrētu akumulatoru enerģijas uzglabāšanas sistēmu. Demonstrējums tiks veikts Slovākijā, Polijā, Čehijā un Baltijas valstīs. Finansējums saskaņā ar </w:t>
            </w:r>
            <w:r>
              <w:rPr>
                <w:rFonts w:ascii="Times New Roman" w:hAnsi="Times New Roman"/>
                <w:i/>
                <w:noProof/>
              </w:rPr>
              <w:t>InnovFin</w:t>
            </w:r>
            <w:r>
              <w:rPr>
                <w:rFonts w:ascii="Times New Roman" w:hAnsi="Times New Roman"/>
                <w:noProof/>
              </w:rPr>
              <w:t xml:space="preserve"> EDP ir 17 miljoni EUR, no kuriem gandrīz 3 miljoni EUR ir segti ar </w:t>
            </w:r>
            <w:r>
              <w:rPr>
                <w:rFonts w:ascii="Times New Roman" w:hAnsi="Times New Roman"/>
                <w:i/>
                <w:noProof/>
              </w:rPr>
              <w:t>NER300</w:t>
            </w:r>
            <w:r>
              <w:rPr>
                <w:rFonts w:ascii="Times New Roman" w:hAnsi="Times New Roman"/>
                <w:noProof/>
              </w:rPr>
              <w:t xml:space="preserve"> neiztērētajiem līdzekļiem.</w:t>
            </w:r>
          </w:p>
        </w:tc>
        <w:tc>
          <w:tcPr>
            <w:tcW w:w="4140" w:type="dxa"/>
          </w:tcPr>
          <w:p>
            <w:pPr>
              <w:jc w:val="center"/>
              <w:rPr>
                <w:rFonts w:ascii="Times New Roman" w:hAnsi="Times New Roman"/>
                <w:noProof/>
              </w:rPr>
            </w:pPr>
            <w:r>
              <w:rPr>
                <w:rFonts w:ascii="Times New Roman" w:hAnsi="Times New Roman"/>
                <w:noProof/>
                <w:lang w:val="en-GB"/>
              </w:rPr>
              <w:drawing>
                <wp:inline distT="0" distB="0" distL="0" distR="0">
                  <wp:extent cx="2310159" cy="1667510"/>
                  <wp:effectExtent l="0" t="0" r="0" b="8890"/>
                  <wp:docPr id="9" name="Picture 9" descr="C:\Users\zmijeag\AppData\Local\Microsoft\Windows\INetCache\Content.Outlook\W4UI1M3B\greenway copyright greenwa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jeag\AppData\Local\Microsoft\Windows\INetCache\Content.Outlook\W4UI1M3B\greenway copyright greenway (0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1833" cy="1690373"/>
                          </a:xfrm>
                          <a:prstGeom prst="rect">
                            <a:avLst/>
                          </a:prstGeom>
                          <a:noFill/>
                          <a:ln>
                            <a:noFill/>
                          </a:ln>
                        </pic:spPr>
                      </pic:pic>
                    </a:graphicData>
                  </a:graphic>
                </wp:inline>
              </w:drawing>
            </w:r>
          </w:p>
        </w:tc>
      </w:tr>
    </w:tbl>
    <w:p>
      <w:pPr>
        <w:rPr>
          <w:rFonts w:ascii="Times New Roman" w:hAnsi="Times New Roman"/>
          <w:noProof/>
          <w:sz w:val="20"/>
          <w:szCs w:val="20"/>
        </w:rPr>
      </w:pPr>
    </w:p>
    <w:sectPr>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E97C30" w16cid:durableId="1D584DA1"/>
  <w16cid:commentId w16cid:paraId="5F4E4608" w16cid:durableId="1D584DA2"/>
  <w16cid:commentId w16cid:paraId="58E17FD7" w16cid:durableId="1D584DA3"/>
  <w16cid:commentId w16cid:paraId="5DF23A43" w16cid:durableId="1D584DA4"/>
  <w16cid:commentId w16cid:paraId="30B21068" w16cid:durableId="1D584DA5"/>
  <w16cid:commentId w16cid:paraId="3A2C271F" w16cid:durableId="1D584DA6"/>
  <w16cid:commentId w16cid:paraId="4AE592B9" w16cid:durableId="1D584DA7"/>
  <w16cid:commentId w16cid:paraId="643AA177" w16cid:durableId="1D584DA8"/>
  <w16cid:commentId w16cid:paraId="38513F67" w16cid:durableId="1D584DA9"/>
  <w16cid:commentId w16cid:paraId="1FFA1ED9" w16cid:durableId="1D584DAA"/>
  <w16cid:commentId w16cid:paraId="597E28CC" w16cid:durableId="1D584DAB"/>
  <w16cid:commentId w16cid:paraId="57EFFC44" w16cid:durableId="1D584DA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55</w:t>
    </w:r>
    <w:r>
      <w:fldChar w:fldCharType="end"/>
    </w:r>
  </w:p>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LV</w:t>
    </w:r>
    <w:r>
      <w:rPr>
        <w:rFonts w:ascii="Arial" w:hAnsi="Arial" w:cs="Arial"/>
        <w:b/>
        <w:sz w:val="48"/>
      </w:rPr>
      <w:tab/>
    </w:r>
    <w:r>
      <w:rPr>
        <w:rFonts w:ascii="Arial" w:hAnsi="Arial" w:cs="Arial"/>
        <w:b/>
        <w:sz w:val="48"/>
      </w:rPr>
      <w:tab/>
    </w:r>
    <w:r>
      <w:tab/>
    </w:r>
    <w:r>
      <w:rPr>
        <w:rFonts w:ascii="Arial" w:hAnsi="Arial" w:cs="Arial"/>
        <w:b/>
        <w:sz w:val="48"/>
      </w:rPr>
      <w:t>LV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1</w:t>
    </w:r>
    <w:r>
      <w:fldChar w:fldCharType="end"/>
    </w:r>
  </w:p>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47</w:t>
    </w:r>
    <w:r>
      <w:fldChar w:fldCharType="end"/>
    </w:r>
  </w:p>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https://ec.europa.eu/commission/sites/beta-political/files/political-guidelines-next-commission_lv.pdf</w:t>
      </w:r>
    </w:p>
  </w:footnote>
  <w:footnote w:id="2">
    <w:p>
      <w:pPr>
        <w:pStyle w:val="FootnoteText"/>
      </w:pPr>
      <w:r>
        <w:rPr>
          <w:rStyle w:val="FootnoteReference"/>
        </w:rPr>
        <w:footnoteRef/>
      </w:r>
      <w:r>
        <w:t xml:space="preserve"> Eiropas Parlamenta un Padomes Direktīva (ES) 2018/410 (2018. gada 14. marts), ar ko groza Direktīvu 2003/87/EK, lai sekmētu emisiju izmaksefektīvu samazināšanu un investīcijas mazoglekļa risinājumos, un Lēmumu (ES) 2015/1814 (OV L 76, 19.3.2018., 3. lpp.).</w:t>
      </w:r>
    </w:p>
  </w:footnote>
  <w:footnote w:id="3">
    <w:p>
      <w:pPr>
        <w:pStyle w:val="FootnoteText"/>
        <w:jc w:val="both"/>
      </w:pPr>
      <w:r>
        <w:rPr>
          <w:rStyle w:val="FootnoteReference"/>
        </w:rPr>
        <w:footnoteRef/>
      </w:r>
      <w:r>
        <w:t xml:space="preserve"> Eiropas Parlamenta un Padomes Direktīva 2003/87/EK (2003. gada 13. oktobris), ar kuru nosaka sistēmu siltumnīcas efektu izraisošo gāzu emisijas kvotu tirdzniecībai Kopienā un groza Padomes Direktīvu 96/61/EK (OV L 275, 25.10.2003., 32. lpp.).</w:t>
      </w:r>
    </w:p>
  </w:footnote>
  <w:footnote w:id="4">
    <w:p>
      <w:pPr>
        <w:pStyle w:val="FootnoteText"/>
        <w:jc w:val="both"/>
      </w:pPr>
      <w:r>
        <w:rPr>
          <w:rStyle w:val="FootnoteReference"/>
        </w:rPr>
        <w:footnoteRef/>
      </w:r>
      <w:r>
        <w:t xml:space="preserve"> Pēdējais izmantotais termiņš ir 2019. gada 28. jūnijs. </w:t>
      </w:r>
    </w:p>
  </w:footnote>
  <w:footnote w:id="5">
    <w:p>
      <w:pPr>
        <w:pStyle w:val="FootnoteText"/>
      </w:pPr>
      <w:r>
        <w:rPr>
          <w:rStyle w:val="FootnoteReference"/>
        </w:rPr>
        <w:footnoteRef/>
      </w:r>
      <w:r>
        <w:t xml:space="preserve"> Atsaucoties uz 21. pantā paredzētajiem ziņojumiem, ar apzīmējumu “iesaistītās valstis” vai vienkārši “valstis” saprot 28 ES dalībvalstis, kā arī EEZ valstis (Islandi, Norvēģiju un Lihtenšteinu).</w:t>
      </w:r>
    </w:p>
  </w:footnote>
  <w:footnote w:id="6">
    <w:p>
      <w:pPr>
        <w:pStyle w:val="FootnoteText"/>
        <w:jc w:val="both"/>
      </w:pPr>
      <w:r>
        <w:rPr>
          <w:rStyle w:val="FootnoteReference"/>
        </w:rPr>
        <w:footnoteRef/>
      </w:r>
      <w:r>
        <w:t xml:space="preserve"> ES ETS sistēmā biomasas emisijas faktors ir nulle, ja tiek izpildīta termina “biomasa” definīcija un ja (attiecībā uz biokurināmo vai bioloģisko šķidro kurināmo) tiek ievēroti Direktīvas 2009/28/EK (Atjaunojamo energoresursu direktīva) 17. panta 1. punktā noteiktie ilgtspējības kritēriji. Par emisijām, kurām ir nulles vērtība, nav jānodod kvotas. 2019. gadā saskaņā ar 21. pantu iesniegtajos ziņojumos trīs iesaistītās valstis (LV, LT un DK) paziņoja tikai par nulles faktora biomasas enerģijas saturu, bet ne par faktiskajām emisijām. Tāpēc to emisijas nav ņemtas vērā norādītajā kopējā daudzumā. </w:t>
      </w:r>
    </w:p>
  </w:footnote>
  <w:footnote w:id="7">
    <w:p>
      <w:pPr>
        <w:pStyle w:val="FootnoteText"/>
        <w:jc w:val="both"/>
      </w:pPr>
      <w:r>
        <w:rPr>
          <w:rStyle w:val="FootnoteReference"/>
        </w:rPr>
        <w:footnoteRef/>
      </w:r>
      <w:r>
        <w:t xml:space="preserve"> C kategorijā ietilpst iekārtas, kas emitē vairāk nekā 500 000 tonnu CO</w:t>
      </w:r>
      <w:r>
        <w:rPr>
          <w:vertAlign w:val="subscript"/>
        </w:rPr>
        <w:t>2</w:t>
      </w:r>
      <w:r>
        <w:t xml:space="preserve"> ekvivalenta gadā, B kategorijā — iekārtas, kas emitē no 50 000 līdz 500 000 tonnu CO</w:t>
      </w:r>
      <w:r>
        <w:rPr>
          <w:vertAlign w:val="subscript"/>
        </w:rPr>
        <w:t>2</w:t>
      </w:r>
      <w:r>
        <w:t xml:space="preserve"> ekvivalenta gadā, bet A kategorijā — iekārtas, kas emitē mazāk nekā 50 000 tonnu CO</w:t>
      </w:r>
      <w:r>
        <w:rPr>
          <w:vertAlign w:val="subscript"/>
        </w:rPr>
        <w:t>2</w:t>
      </w:r>
      <w:r>
        <w:t xml:space="preserve"> ekvivalenta gadā. Sk. Komisijas Regulu (ES) Nr. 601/2012 (2012. gada 21. jūnijs) par siltumnīcefekta gāzu emisiju monitoringu un ziņošanu saskaņā ar Eiropas Parlamenta un Padomes Direktīvu 2003/87/EK (OV L 181, 12.7.2012., 30. lpp.).</w:t>
      </w:r>
    </w:p>
  </w:footnote>
  <w:footnote w:id="8">
    <w:p>
      <w:pPr>
        <w:pStyle w:val="FootnoteText"/>
        <w:jc w:val="both"/>
      </w:pPr>
      <w:r>
        <w:rPr>
          <w:rStyle w:val="FootnoteReference"/>
        </w:rPr>
        <w:footnoteRef/>
      </w:r>
      <w:r>
        <w:t xml:space="preserve"> A kategorijas iekārtām ir noteikts apakšiedalījums “iekārtas ar zemu emisiju līmeni”, kas piemērojams tām iekārtām, kuras emitē mazāk nekā 25 000 tonnu CO</w:t>
      </w:r>
      <w:r>
        <w:rPr>
          <w:vertAlign w:val="subscript"/>
        </w:rPr>
        <w:t>2</w:t>
      </w:r>
      <w:r>
        <w:t xml:space="preserve"> ekvivalenta gadā (sk. Regulas (ES) Nr. 601/2012 47. panta 2. punktu). </w:t>
      </w:r>
    </w:p>
  </w:footnote>
  <w:footnote w:id="9">
    <w:p>
      <w:pPr>
        <w:pStyle w:val="FootnoteText"/>
        <w:jc w:val="both"/>
      </w:pPr>
      <w:r>
        <w:rPr>
          <w:rStyle w:val="FootnoteReference"/>
        </w:rPr>
        <w:footnoteRef/>
      </w:r>
      <w:r>
        <w:t xml:space="preserve"> Komisijas Regula (ES) Nr. 601/2012 (2012. gada 21. jūnijs) par siltumnīcefekta gāzu emisiju monitoringu un ziņošanu saskaņā ar Eiropas Parlamenta un Padomes Direktīvu 2003/87/EK (OV L 181, 12.7.2012., 30. lpp.).</w:t>
      </w:r>
    </w:p>
  </w:footnote>
  <w:footnote w:id="10">
    <w:p>
      <w:pPr>
        <w:pStyle w:val="FootnoteText"/>
        <w:jc w:val="both"/>
      </w:pPr>
      <w:r>
        <w:rPr>
          <w:rStyle w:val="FootnoteReference"/>
        </w:rPr>
        <w:footnoteRef/>
      </w:r>
      <w:r>
        <w:t xml:space="preserve"> Komerciāls gaisa kuģu operators ir, piemēram, pasažieru aviosabiedrība, kas sniedz pakalpojumus plašai sabiedrībai. Nekomerciāls gaisa kuģu operators ir, piemēram, gaisa kuģa privātīpašnieks.</w:t>
      </w:r>
    </w:p>
  </w:footnote>
  <w:footnote w:id="11">
    <w:p>
      <w:pPr>
        <w:pStyle w:val="FootnoteText"/>
        <w:jc w:val="both"/>
      </w:pPr>
      <w:r>
        <w:rPr>
          <w:rStyle w:val="FootnoteReference"/>
        </w:rPr>
        <w:footnoteRef/>
      </w:r>
      <w:r>
        <w:t xml:space="preserve"> Komisijas Lēmums C(2018) 8707 (2018. gada 17. decembris) par norādījumu centrālajam administratoram uz laiku apturēt to attiecīgo Apvienotās Karalistes procesu akceptēšanu Eiropas Savienības darījumu žurnālā, kas saistīti ar iedalīšanu bez maksas, izsolīšanu un apmainīšanu pret starptautiskajiem kredītiem. </w:t>
      </w:r>
    </w:p>
  </w:footnote>
  <w:footnote w:id="12">
    <w:p>
      <w:pPr>
        <w:pStyle w:val="FootnoteText"/>
        <w:jc w:val="both"/>
      </w:pPr>
      <w:r>
        <w:rPr>
          <w:rStyle w:val="FootnoteReference"/>
        </w:rPr>
        <w:footnoteRef/>
      </w:r>
      <w:r>
        <w:t xml:space="preserve"> Komisijas Regula (ES) 2018/208 (2018. gada 12. februāris), ar kuru groza Regulu (ES) Nr. 389/2013, ar ko izveido Savienības reģistru (OV L 39/3, 13.2.2018., 3. lpp.).</w:t>
      </w:r>
    </w:p>
  </w:footnote>
  <w:footnote w:id="13">
    <w:p>
      <w:pPr>
        <w:pStyle w:val="FootnoteText"/>
        <w:jc w:val="both"/>
      </w:pPr>
      <w:r>
        <w:rPr>
          <w:rStyle w:val="FootnoteReference"/>
        </w:rPr>
        <w:footnoteRef/>
      </w:r>
      <w:r>
        <w:t xml:space="preserve">  Komisijas Deleģētā regula (ES) 2019/1122 (2019. gada 12. marts), ar ko attiecībā uz Savienības reģistra darbību papildina Eiropas Parlamenta un Padomes Direktīvu 2003/87/EK (OV L 177, 2.7.2019., 3. lpp.).</w:t>
      </w:r>
    </w:p>
  </w:footnote>
  <w:footnote w:id="14">
    <w:p>
      <w:pPr>
        <w:pStyle w:val="FootnoteText"/>
      </w:pPr>
      <w:r>
        <w:rPr>
          <w:rStyle w:val="FootnoteReference"/>
        </w:rPr>
        <w:footnoteRef/>
      </w:r>
      <w:r>
        <w:t xml:space="preserve"> Eiropas Parlamenta un Padomes Direktīva 2014/65/ES (2014. gada 15. maijs) par finanšu instrumentu tirgiem un ar ko groza Direktīvu 2002/92/ES un Direktīvu 2011/61/ES.</w:t>
      </w:r>
    </w:p>
  </w:footnote>
  <w:footnote w:id="15">
    <w:p>
      <w:pPr>
        <w:pStyle w:val="FootnoteText"/>
        <w:jc w:val="both"/>
      </w:pPr>
      <w:r>
        <w:rPr>
          <w:rStyle w:val="FootnoteReference"/>
        </w:rPr>
        <w:footnoteRef/>
      </w:r>
      <w:r>
        <w:t xml:space="preserve"> Kopš 2013. gada apgrozībā laisto aviācijas kvotu skaitu nosaka augšupēja pieeja, kurā par pamatu izmanto bez maksas iedalāmās kvotas (ko nosaka pēc līmeņatzīmēm, kuru pamatā ir operatoru darbība EEZ). Pēc tam atvasina izsolīto kvotu skaitu pēc principa, ka bez maksas ir jāiedala 85 % (šai daļā ir iekļauta arī īpaša rezerve, no kuras vēlāk piešķir kvotas ātri augošiem gaisa kuģu operatoriem un jauniem dalībniekiem) no kopskaita, bet jāizsola — 15 %.</w:t>
      </w:r>
    </w:p>
  </w:footnote>
  <w:footnote w:id="16">
    <w:p>
      <w:pPr>
        <w:pStyle w:val="FootnoteText"/>
        <w:jc w:val="both"/>
      </w:pPr>
      <w:r>
        <w:rPr>
          <w:rStyle w:val="FootnoteReference"/>
        </w:rPr>
        <w:footnoteRef/>
      </w:r>
      <w:r>
        <w:t xml:space="preserve"> Aktualizētie skaitļi papildus bez maksas iedalītajiem un izsolītajiem apjomiem ietver arī starptautisko kredītu apmaiņu. </w:t>
      </w:r>
    </w:p>
  </w:footnote>
  <w:footnote w:id="17">
    <w:p>
      <w:pPr>
        <w:pStyle w:val="FootnoteText"/>
        <w:jc w:val="both"/>
      </w:pPr>
      <w:r>
        <w:rPr>
          <w:rStyle w:val="FootnoteReference"/>
        </w:rPr>
        <w:footnoteRef/>
      </w:r>
      <w:r>
        <w:t xml:space="preserve"> Iekļauta informācija no 2019. gada aviācijas izsoļu kalendāra. Apvienotās Karalistes dati par 2019. gadu nav iekļauti sakarā ar Komisijas pieņemtajiem aizsardzības pasākumiem ES ETS vidiskās integritātes aizsardzībai gadījumos, kad ES tiesību aktus pārtrauc piemērot attiecībā uz dalībvalsti, kas izstājas no ES (sk. 2.2. nodaļu).</w:t>
      </w:r>
    </w:p>
  </w:footnote>
  <w:footnote w:id="18">
    <w:p>
      <w:pPr>
        <w:pStyle w:val="FootnoteText"/>
      </w:pPr>
      <w:r>
        <w:rPr>
          <w:rStyle w:val="FootnoteReference"/>
        </w:rPr>
        <w:footnoteRef/>
      </w:r>
      <w:r>
        <w:t xml:space="preserve"> Skaitļi balstās uz dalībvalstu paziņojumiem, kas saņemti līdz 2019. gada jūnijam, un tie var mainīties sakarā ar vēlāk iesniegtiem paziņojumiem.</w:t>
      </w:r>
    </w:p>
  </w:footnote>
  <w:footnote w:id="19">
    <w:p>
      <w:pPr>
        <w:pStyle w:val="FootnoteText"/>
      </w:pPr>
      <w:r>
        <w:rPr>
          <w:rStyle w:val="FootnoteReference"/>
        </w:rPr>
        <w:footnoteRef/>
      </w:r>
      <w:r>
        <w:t xml:space="preserve"> Sākotnējais apmērs pirms tālāk norādītajiem samazinājumiem. </w:t>
      </w:r>
    </w:p>
  </w:footnote>
  <w:footnote w:id="20">
    <w:p>
      <w:pPr>
        <w:pStyle w:val="FootnoteText"/>
        <w:jc w:val="both"/>
      </w:pPr>
      <w:r>
        <w:rPr>
          <w:rStyle w:val="FootnoteReference"/>
        </w:rPr>
        <w:footnoteRef/>
      </w:r>
      <w:r>
        <w:t xml:space="preserve"> Apvienotās Karalistes kvotas (pavisam 48,0 miljoni kvotu par 2019. gadu) nav iekļautas sakarā ar Komisijas pieņemtajiem aizsardzības pasākumiem ES ETS vidiskās integritātes aizsardzībai gadījumos, kad ES tiesību aktus pārtrauc piemērot attiecībā uz dalībvalsti, kas izstājas no ES (sk. 2.2. nodaļu).</w:t>
      </w:r>
    </w:p>
  </w:footnote>
  <w:footnote w:id="21">
    <w:p>
      <w:pPr>
        <w:pStyle w:val="FootnoteText"/>
        <w:jc w:val="both"/>
      </w:pPr>
      <w:r>
        <w:rPr>
          <w:rStyle w:val="FootnoteReference"/>
        </w:rPr>
        <w:footnoteRef/>
      </w:r>
      <w:r>
        <w:t xml:space="preserve"> Komisijas Lēmums 2013/448/ES (OV L 240, 7.9.2013., 27. lpp.).</w:t>
      </w:r>
    </w:p>
  </w:footnote>
  <w:footnote w:id="22">
    <w:p>
      <w:pPr>
        <w:pStyle w:val="FootnoteText"/>
        <w:jc w:val="both"/>
      </w:pPr>
      <w:r>
        <w:rPr>
          <w:rStyle w:val="FootnoteReference"/>
        </w:rPr>
        <w:footnoteRef/>
      </w:r>
      <w:r>
        <w:t xml:space="preserve"> Komisijas Lēmums 2017/126/ES (OV L 19, 25.1.2017., 93. lpp.).</w:t>
      </w:r>
    </w:p>
  </w:footnote>
  <w:footnote w:id="23">
    <w:p>
      <w:pPr>
        <w:pStyle w:val="FootnoteText"/>
        <w:jc w:val="both"/>
      </w:pPr>
      <w:r>
        <w:rPr>
          <w:rStyle w:val="FootnoteReference"/>
        </w:rPr>
        <w:footnoteRef/>
      </w:r>
      <w:r>
        <w:t xml:space="preserve"> Komisijas Deleģētais lēmums (ES) 2019/708, https://eur-lex.europa.eu/legal-content/LV/TXT/PDF/?uri=OJ:L:2019:120:FULL&amp;from=LV.</w:t>
      </w:r>
    </w:p>
  </w:footnote>
  <w:footnote w:id="24">
    <w:p>
      <w:pPr>
        <w:pStyle w:val="FootnoteText"/>
      </w:pPr>
      <w:r>
        <w:rPr>
          <w:rStyle w:val="FootnoteReference"/>
        </w:rPr>
        <w:footnoteRef/>
      </w:r>
      <w:r>
        <w:t xml:space="preserve"> Komisijas Deleģētais lēmums (ES) 2019/331, https://eur-lex.europa.eu/legal-content/LV/TXT/PDF/?uri=OJ:L:2019:059:FULL&amp;from=LV.</w:t>
      </w:r>
    </w:p>
  </w:footnote>
  <w:footnote w:id="25">
    <w:p>
      <w:pPr>
        <w:pStyle w:val="FootnoteText"/>
      </w:pPr>
      <w:r>
        <w:rPr>
          <w:rStyle w:val="FootnoteReference"/>
        </w:rPr>
        <w:footnoteRef/>
      </w:r>
      <w:r>
        <w:t xml:space="preserve"> Komisijas Lēmums (ES) 2017/2172 (2017. gada 20. novembris), ar ko Lēmumu 2010/670/ES groza attiecībā uz to, kā izlietojami neizmaksātie ieņēmumi no pirmā uzaicinājuma iesniegt priekšlikumus.</w:t>
      </w:r>
    </w:p>
  </w:footnote>
  <w:footnote w:id="26">
    <w:p>
      <w:pPr>
        <w:pStyle w:val="FootnoteText"/>
        <w:jc w:val="both"/>
      </w:pPr>
      <w:r>
        <w:rPr>
          <w:rStyle w:val="FootnoteReference"/>
        </w:rPr>
        <w:footnoteRef/>
      </w:r>
      <w:r>
        <w:t xml:space="preserve"> Atbilstoši Komisijas Lēmumam 2010/670/ES — projektiem, kuriem finansējums piešķirts saskaņā ar pirmo uzaicinājumu, galīgais lēmums par ieguldījumiem bija jāpieņem līdz 2016. gada beigām, bet projektiem, kuriem finansējums piešķirts saskaņā ar otro uzaicinājumu, — līdz 2018. gada jūnija beigām.</w:t>
      </w:r>
    </w:p>
  </w:footnote>
  <w:footnote w:id="27">
    <w:p>
      <w:pPr>
        <w:pStyle w:val="FootnoteText"/>
        <w:jc w:val="both"/>
      </w:pPr>
      <w:r>
        <w:rPr>
          <w:rStyle w:val="FootnoteReference"/>
        </w:rPr>
        <w:footnoteRef/>
      </w:r>
      <w:r>
        <w:t xml:space="preserve"> Fondam pieejamo 450 miljonu kvotu vērtība būs atkarīga no oglekļa cenas. Pieņemot, ka kvotas vidējā cena būs 25 EUR, fonda resursu summa būs 11,3 miljardi EUR. </w:t>
      </w:r>
    </w:p>
  </w:footnote>
  <w:footnote w:id="28">
    <w:p>
      <w:pPr>
        <w:pStyle w:val="FootnoteText"/>
        <w:jc w:val="both"/>
      </w:pPr>
      <w:r>
        <w:rPr>
          <w:rStyle w:val="FootnoteReference"/>
        </w:rPr>
        <w:footnoteRef/>
      </w:r>
      <w:r>
        <w:t xml:space="preserve"> Komisijas Deleģētā regula (ES) 2019/856 (2019. gada 26. februāris), ar ko attiecībā uz Inovāciju fonda darbību papildina Eiropas Parlamenta un Padomes Direktīvu 2003/87/EK (OV L 140, 28.5.2019., 6.–17. lpp.).</w:t>
      </w:r>
    </w:p>
  </w:footnote>
  <w:footnote w:id="29">
    <w:p>
      <w:pPr>
        <w:pStyle w:val="FootnoteText"/>
      </w:pPr>
      <w:r>
        <w:rPr>
          <w:rStyle w:val="FootnoteReference"/>
        </w:rPr>
        <w:footnoteRef/>
      </w:r>
      <w:r>
        <w:t xml:space="preserve"> Turklāt ir pieņemti grozījumi Francijas un Spānijas shēmās.</w:t>
      </w:r>
    </w:p>
  </w:footnote>
  <w:footnote w:id="30">
    <w:p>
      <w:pPr>
        <w:pStyle w:val="FootnoteText"/>
      </w:pPr>
      <w:r>
        <w:rPr>
          <w:rStyle w:val="FootnoteReference"/>
        </w:rPr>
        <w:footnoteRef/>
      </w:r>
      <w:r>
        <w:t xml:space="preserve"> Informācija par izmaksātajām kompensācijām un saņēmēju skaitu ir balstīta uz Direktīvas (ES) 2018/410 10.a panta 6. punktā noteikto ziņošanas pienākumu.</w:t>
      </w:r>
    </w:p>
  </w:footnote>
  <w:footnote w:id="31">
    <w:p>
      <w:pPr>
        <w:pStyle w:val="FootnoteText"/>
      </w:pPr>
      <w:r>
        <w:rPr>
          <w:rStyle w:val="FootnoteReference"/>
        </w:rPr>
        <w:footnoteRef/>
      </w:r>
      <w:r>
        <w:t xml:space="preserve"> 19,7 miljoni GBP (par netiešajām izmaksām, kas radušās 2018. gadā), balstoties uz vidējo EUR/GBP valūtas kursu 1,1355.</w:t>
      </w:r>
    </w:p>
  </w:footnote>
  <w:footnote w:id="32">
    <w:p>
      <w:pPr>
        <w:pStyle w:val="FootnoteText"/>
      </w:pPr>
      <w:r>
        <w:rPr>
          <w:rStyle w:val="FootnoteReference"/>
        </w:rPr>
        <w:footnoteRef/>
      </w:r>
      <w:r>
        <w:t xml:space="preserve"> Apvienotā Karaliste nav ziņojusi par iekārtām, bet gan par uzņēmumiem.</w:t>
      </w:r>
    </w:p>
  </w:footnote>
  <w:footnote w:id="33">
    <w:p>
      <w:pPr>
        <w:pStyle w:val="FootnoteText"/>
      </w:pPr>
      <w:r>
        <w:rPr>
          <w:rStyle w:val="FootnoteReference"/>
        </w:rPr>
        <w:footnoteRef/>
      </w:r>
      <w:r>
        <w:t xml:space="preserve"> Piezīme: Apvienotā Karaliste ir izmaksājusi 2019. gada atbalstu par netiešajām izmaksām, kas radušās 2018. gadā. Šā iemesla dēļ attiecībā uz Apvienoto Karalisti ir norādīti 2018. gada ieņēmumi no izsolēm. </w:t>
      </w:r>
    </w:p>
  </w:footnote>
  <w:footnote w:id="34">
    <w:p>
      <w:pPr>
        <w:pStyle w:val="FootnoteText"/>
      </w:pPr>
      <w:r>
        <w:rPr>
          <w:rStyle w:val="FootnoteReference"/>
        </w:rPr>
        <w:footnoteRef/>
      </w:r>
      <w:r>
        <w:t xml:space="preserve"> Polija nav ietverta, jo tā atbalstu par netiešajām izmaksām, kas radušās 2019. gadā, sāks izmaksāt 2020. gadā.</w:t>
      </w:r>
    </w:p>
  </w:footnote>
  <w:footnote w:id="35">
    <w:p>
      <w:pPr>
        <w:pStyle w:val="FootnoteText"/>
      </w:pPr>
      <w:r>
        <w:rPr>
          <w:rStyle w:val="FootnoteReference"/>
        </w:rPr>
        <w:footnoteRef/>
      </w:r>
      <w:r>
        <w:t xml:space="preserve"> 2018. gada izmaksas ar 2017. gada izsoļu ieņēmumiem ir jāsalīdzina tādēļ, ka 2018. gada izmaksas kopumā ir kompensācija par netiešajām izmaksām, kas 2017. kalendārajā gadā radušās patērētājiem. </w:t>
      </w:r>
    </w:p>
  </w:footnote>
  <w:footnote w:id="36">
    <w:p>
      <w:pPr>
        <w:pStyle w:val="FootnoteText"/>
      </w:pPr>
      <w:r>
        <w:rPr>
          <w:rStyle w:val="FootnoteReference"/>
        </w:rPr>
        <w:footnoteRef/>
      </w:r>
      <w:r>
        <w:t xml:space="preserve"> Komisijas Deleģētā regula (ES) 2019/7 (2018. gada 30. oktobris), ar ko Regulu (ES) Nr. 1031/2010 groza attiecībā uz 50 miljonu neiedalīto tirgus stabilitātes rezerves kvotu izsolīšanu inovācijas fonda vajadzībām un iekļauj sarakstā izsoles platformu, kas jāieceļ Vācijai (OV L 2, 4.1.2019., 1.–5. lpp.).</w:t>
      </w:r>
    </w:p>
  </w:footnote>
  <w:footnote w:id="37">
    <w:p>
      <w:pPr>
        <w:pStyle w:val="FootnoteText"/>
      </w:pPr>
      <w:r>
        <w:rPr>
          <w:rStyle w:val="FootnoteReference"/>
        </w:rPr>
        <w:footnoteRef/>
      </w:r>
      <w:r>
        <w:t xml:space="preserve"> Vispārīgo kvotu daudzums ir noteikts, ņemot vērā Lēmumu Nr. 1359/2013/ES. Aviācijas kvotu daudzums ir noteikts, ņemot vērā Lēmumu Nr. 377/2013/ES un Regulu (ES) Nr. 421/2014.</w:t>
      </w:r>
    </w:p>
  </w:footnote>
  <w:footnote w:id="38">
    <w:p>
      <w:pPr>
        <w:pStyle w:val="FootnoteText"/>
      </w:pPr>
      <w:r>
        <w:rPr>
          <w:rStyle w:val="FootnoteReference"/>
        </w:rPr>
        <w:footnoteRef/>
      </w:r>
      <w:r>
        <w:rPr>
          <w:rStyle w:val="FootnoteReference"/>
        </w:rPr>
        <w:t xml:space="preserve"> </w:t>
      </w:r>
      <w:r>
        <w:t>Trešā posma kvotu agrīnās izsoles notika 2012. gadā sakarā ar elektroenerģijas nozarē plaši izplatīto komercpraksi elektroenerģiju pārdot uz priekšu un visu nepieciešamo (tostarp kvotas) iegādāties brīdī, kad pārdod saražoto jaudu.</w:t>
      </w:r>
    </w:p>
  </w:footnote>
  <w:footnote w:id="39">
    <w:p>
      <w:pPr>
        <w:pStyle w:val="FootnoteText"/>
      </w:pPr>
      <w:r>
        <w:rPr>
          <w:rStyle w:val="FootnoteReference"/>
        </w:rPr>
        <w:footnoteRef/>
      </w:r>
      <w:r>
        <w:t xml:space="preserve"> Apvienotās Karalistes dati par 2019. gadu nav iekļauti sakarā ar Komisijas pieņemtajiem aizsardzības pasākumiem ES ETS vidiskās integritātes aizsardzībai gadījumos, kad ES tiesību aktus pārtrauc piemērot attiecībā uz dalībvalsti, kas izstājas no ES (sk. 2.2. nodaļu).</w:t>
      </w:r>
    </w:p>
  </w:footnote>
  <w:footnote w:id="40">
    <w:p>
      <w:pPr>
        <w:pStyle w:val="FootnoteText"/>
      </w:pPr>
      <w:r>
        <w:rPr>
          <w:rStyle w:val="FootnoteReference"/>
        </w:rPr>
        <w:footnoteRef/>
      </w:r>
      <w:r>
        <w:t xml:space="preserve"> </w:t>
      </w:r>
      <w:hyperlink r:id="rId1" w:history="1">
        <w:r>
          <w:rPr>
            <w:rStyle w:val="Hyperlink"/>
          </w:rPr>
          <w:t>http://ec.europa.eu/clima/policies/ets/auctioning/documentation_en.htm</w:t>
        </w:r>
      </w:hyperlink>
    </w:p>
  </w:footnote>
  <w:footnote w:id="41">
    <w:p>
      <w:pPr>
        <w:pStyle w:val="FootnoteText"/>
      </w:pPr>
      <w:r>
        <w:rPr>
          <w:rStyle w:val="FootnoteReference"/>
        </w:rPr>
        <w:footnoteRef/>
      </w:r>
      <w:r>
        <w:t xml:space="preserve"> Te ietilpst kvotas, kas ir jāizsola pēc 2019. gada izsoļu kalendāra, tāpēc te ir atspoguļoti 55,8 miljoni neiedalīto kvotu, kuras Polija prasīja izsolīt 2019. gadā.</w:t>
      </w:r>
    </w:p>
  </w:footnote>
  <w:footnote w:id="42">
    <w:p>
      <w:pPr>
        <w:pStyle w:val="FootnoteText"/>
      </w:pPr>
      <w:r>
        <w:rPr>
          <w:rStyle w:val="FootnoteReference"/>
        </w:rPr>
        <w:footnoteRef/>
      </w:r>
      <w:r>
        <w:t xml:space="preserve"> Te ietilpst kvotas, kas ir jāizsola saskaņā ar 2019. gada izsoļu kalendāru (no 2013.–2018. iedales gadiem). </w:t>
      </w:r>
    </w:p>
  </w:footnote>
  <w:footnote w:id="43">
    <w:p>
      <w:pPr>
        <w:pStyle w:val="FootnoteText"/>
      </w:pPr>
      <w:r>
        <w:rPr>
          <w:rStyle w:val="FootnoteReference"/>
        </w:rPr>
        <w:footnoteRef/>
      </w:r>
      <w:r>
        <w:t xml:space="preserve"> 7. tabulā izmantotā elektroenerģijas un siltuma ražošanas, kā arī rūpniecības nozaru klasifikācija atbilst ceturtā posma </w:t>
      </w:r>
      <w:r>
        <w:rPr>
          <w:i/>
        </w:rPr>
        <w:t>NACE</w:t>
      </w:r>
      <w:r>
        <w:t xml:space="preserve"> klasifikācijai, kas izmantota nākamā tirdzniecības perioda oglekļa emisiju pārvirzes saraksta izveidei.</w:t>
      </w:r>
    </w:p>
  </w:footnote>
  <w:footnote w:id="44">
    <w:p>
      <w:pPr>
        <w:pStyle w:val="FootnoteText"/>
        <w:jc w:val="both"/>
      </w:pPr>
      <w:r>
        <w:rPr>
          <w:rStyle w:val="FootnoteReference"/>
        </w:rPr>
        <w:footnoteRef/>
      </w:r>
      <w:r>
        <w:t xml:space="preserve"> Eiropas Parlamenta un Padomes Lēmums (ES) 2015/1814 (2015. gada 6. oktobris) par Savienības siltumnīcefekta gāzu emisijas kvotu tirdzniecības sistēmas tirgus stabilitātes rezerves izveidi un darbību un ar ko groza Direktīvu 2003/87/EK (OV L 264, 9.10.2015., 1. lpp.).</w:t>
      </w:r>
    </w:p>
  </w:footnote>
  <w:footnote w:id="45">
    <w:p>
      <w:pPr>
        <w:pStyle w:val="FootnoteText"/>
        <w:jc w:val="both"/>
      </w:pPr>
      <w:r>
        <w:rPr>
          <w:rStyle w:val="FootnoteReference"/>
        </w:rPr>
        <w:footnoteRef/>
      </w:r>
      <w:r>
        <w:t xml:space="preserve"> Eiropas Parlamenta un Padomes Direktīva (ES) 2018/410 (2018. gada 14. marts), ar ko groza Direktīvu 2003/87/EK, lai sekmētu emisiju izmaksefektīvu samazināšanu un investīcijas mazoglekļa risinājumos, un Lēmumu (ES) 2015/1814 (OV L 76, 19.3.2018., 3. lpp.); pieejama: </w:t>
      </w:r>
      <w:hyperlink r:id="rId2" w:history="1">
        <w:r>
          <w:rPr>
            <w:rStyle w:val="Hyperlink"/>
          </w:rPr>
          <w:t>http://eur-lex.europa.eu/legal-content/LV/TXT/?uri=uriserv:OJ.L_.2018.076.01.0003.01.LAV&amp;toc=OJ:L:2018:076:TOC</w:t>
        </w:r>
      </w:hyperlink>
      <w:r>
        <w:t xml:space="preserve">. </w:t>
      </w:r>
    </w:p>
  </w:footnote>
  <w:footnote w:id="46">
    <w:p>
      <w:pPr>
        <w:pStyle w:val="Default"/>
        <w:rPr>
          <w:color w:val="auto"/>
          <w:sz w:val="18"/>
          <w:szCs w:val="18"/>
        </w:rPr>
      </w:pPr>
      <w:r>
        <w:rPr>
          <w:rStyle w:val="FootnoteReference"/>
          <w:sz w:val="20"/>
          <w:szCs w:val="20"/>
        </w:rPr>
        <w:footnoteRef/>
      </w:r>
      <w:r>
        <w:rPr>
          <w:sz w:val="20"/>
          <w:szCs w:val="20"/>
        </w:rPr>
        <w:t xml:space="preserve"> </w:t>
      </w:r>
      <w:r>
        <w:rPr>
          <w:sz w:val="18"/>
          <w:szCs w:val="18"/>
        </w:rPr>
        <w:t>C(2019) 3288 final, https://ec.europa.eu/clima/sites/clima/files/ets/reform/docs/c_2019_3288_en.pdf.</w:t>
      </w:r>
    </w:p>
  </w:footnote>
  <w:footnote w:id="47">
    <w:p>
      <w:pPr>
        <w:pStyle w:val="FootnoteText"/>
        <w:jc w:val="both"/>
      </w:pPr>
      <w:r>
        <w:rPr>
          <w:rStyle w:val="FootnoteReference"/>
        </w:rPr>
        <w:footnoteRef/>
      </w:r>
      <w:r>
        <w:t xml:space="preserve"> C(2017) 3228 final, https://ec.europa.eu/clima/sites/clima/files/ets/reform/docs/c_2017_3228_en.pdf.</w:t>
      </w:r>
    </w:p>
  </w:footnote>
  <w:footnote w:id="48">
    <w:p>
      <w:pPr>
        <w:pStyle w:val="FootnoteText"/>
        <w:jc w:val="both"/>
      </w:pPr>
      <w:r>
        <w:rPr>
          <w:rStyle w:val="FootnoteReference"/>
        </w:rPr>
        <w:footnoteRef/>
      </w:r>
      <w:r>
        <w:t xml:space="preserve"> C(2019) 3288 final, https://ec.europa.eu/clima/sites/clima/files/ets/reform/docs/c_2019_3288_en.pdf.</w:t>
      </w:r>
    </w:p>
  </w:footnote>
  <w:footnote w:id="49">
    <w:p>
      <w:pPr>
        <w:pStyle w:val="FootnoteText"/>
        <w:jc w:val="both"/>
      </w:pPr>
      <w:r>
        <w:rPr>
          <w:rStyle w:val="FootnoteReference"/>
        </w:rPr>
        <w:footnoteRef/>
      </w:r>
      <w:r>
        <w:t xml:space="preserve"> Apjoms, kas ir jāiekļauj TSR par periodu no 2020. gada 1. janvāra līdz 31. augustam, tika noteikts pēc 2019. gadā publicētā pārpalikuma rādītāja, un tas bija aptuveni 265 miljoni kvotu. Pārējais apjoms, kas ir jāiekļauj TSR 2020. gadā, tiks noteikts atbilstīgi 2020. gadā publicētajam pārpalikuma rādītājam.</w:t>
      </w:r>
    </w:p>
  </w:footnote>
  <w:footnote w:id="50">
    <w:p>
      <w:pPr>
        <w:pStyle w:val="FootnoteText"/>
        <w:jc w:val="both"/>
      </w:pPr>
      <w:r>
        <w:rPr>
          <w:rStyle w:val="FootnoteReference"/>
        </w:rPr>
        <w:footnoteRef/>
      </w:r>
      <w:r>
        <w:t xml:space="preserve"> Ņemot vērā to, ka faktiski izsolītais apjoms ir atkarīgs arī no citiem faktoriem, piem., pārpalikumu izsolīšanas saskaņā ar 10. panta c) apakšpunktu un EEZ/EBTA valstu dalības ES ETS.</w:t>
      </w:r>
    </w:p>
  </w:footnote>
  <w:footnote w:id="51">
    <w:p>
      <w:pPr>
        <w:pStyle w:val="FootnoteText"/>
        <w:jc w:val="both"/>
      </w:pPr>
      <w:r>
        <w:rPr>
          <w:rStyle w:val="FootnoteReference"/>
        </w:rPr>
        <w:footnoteRef/>
      </w:r>
      <w:r>
        <w:t xml:space="preserve"> Ņemot vērā to, ka no 2019. gada janvāra līdz augustam izsolāmais apjoms jau bija samazināts par TSR, balstoties uz datiem par 2017. gada pārpalikumu.</w:t>
      </w:r>
    </w:p>
  </w:footnote>
  <w:footnote w:id="52">
    <w:p>
      <w:pPr>
        <w:pStyle w:val="FootnoteText"/>
        <w:jc w:val="both"/>
      </w:pPr>
      <w:r>
        <w:rPr>
          <w:rStyle w:val="FootnoteReference"/>
        </w:rPr>
        <w:footnoteRef/>
      </w:r>
      <w:r>
        <w:t xml:space="preserve"> Te nav ņemti vērā visi gadījumi, kad gaisa kuģu operatoru darbība tiek pārtraukta.</w:t>
      </w:r>
    </w:p>
  </w:footnote>
  <w:footnote w:id="53">
    <w:p>
      <w:pPr>
        <w:pStyle w:val="FootnoteText"/>
        <w:jc w:val="both"/>
      </w:pPr>
      <w:r>
        <w:rPr>
          <w:rStyle w:val="FootnoteReference"/>
        </w:rPr>
        <w:footnoteRef/>
      </w:r>
      <w:r>
        <w:t xml:space="preserve"> Apvienotās Karalistes kvotas (pavisam 4,31 miljoni kvotu par 2019. gadu) nav iekļautas sakarā ar Komisijas pieņemtajiem aizsardzības pasākumiem ES ETS vidiskās integritātes aizsardzībai gadījumos, kad ES tiesību aktus pārtrauc piemērot attiecībā uz dalībvalsti, kas izstājas no ES (sk. 2.2. nodaļu).</w:t>
      </w:r>
    </w:p>
  </w:footnote>
  <w:footnote w:id="54">
    <w:p>
      <w:pPr>
        <w:pStyle w:val="FootnoteText"/>
        <w:jc w:val="both"/>
      </w:pPr>
      <w:r>
        <w:rPr>
          <w:rStyle w:val="FootnoteReference"/>
        </w:rPr>
        <w:footnoteRef/>
      </w:r>
      <w:r>
        <w:t xml:space="preserve"> Līdz 2019. gada jūnija beigām.</w:t>
      </w:r>
    </w:p>
  </w:footnote>
  <w:footnote w:id="55">
    <w:p>
      <w:pPr>
        <w:pStyle w:val="FootnoteText"/>
        <w:jc w:val="both"/>
      </w:pPr>
      <w:r>
        <w:rPr>
          <w:rStyle w:val="FootnoteReference"/>
        </w:rPr>
        <w:footnoteRef/>
      </w:r>
      <w:r>
        <w:t xml:space="preserve"> Eiropas Parlamenta un Padomes Lēmums Nr. 377/2013/ES (2013. gada 24. aprīlis) par pagaidu atkāpi no Direktīvas 2003/87/EK, ar kuru nosaka sistēmu siltumnīcas efektu izraisošo gāzu emisijas kvotu tirdzniecībai Kopienā (dokuments attiecas uz EEZ) (OV L 113, 25.4.2013., 1. lpp.).</w:t>
      </w:r>
    </w:p>
  </w:footnote>
  <w:footnote w:id="56">
    <w:p>
      <w:pPr>
        <w:pStyle w:val="FootnoteText"/>
        <w:jc w:val="both"/>
      </w:pPr>
      <w:r>
        <w:rPr>
          <w:rStyle w:val="FootnoteReference"/>
        </w:rPr>
        <w:footnoteRef/>
      </w:r>
      <w:r>
        <w:t xml:space="preserve"> https://www.icao.int/environmental-protection/CORSIA/Pages/SARPs-Annex-16-Volume-IV.aspx</w:t>
      </w:r>
    </w:p>
  </w:footnote>
  <w:footnote w:id="57">
    <w:p>
      <w:pPr>
        <w:pStyle w:val="FootnoteText"/>
        <w:jc w:val="both"/>
      </w:pPr>
      <w:r>
        <w:rPr>
          <w:rStyle w:val="FootnoteReference"/>
        </w:rPr>
        <w:footnoteRef/>
      </w:r>
      <w:r>
        <w:t xml:space="preserve"> Padomes Lēmums (ES) 2018/2027 (2018. gada 29. novembris) par nostāju, kas Eiropas Savienības vārdā jāieņem Starptautiskajā Civilās aviācijas organizācijā attiecībā uz Starptautisko standartu un ieteicamās prakses vides aizsardzības jomā pirmo izdevumu — Starptautiskās aviācijas radīto oglekļa emisiju izlīdzināšanas un samazināšanas shēma (</w:t>
      </w:r>
      <w:r>
        <w:rPr>
          <w:i/>
        </w:rPr>
        <w:t>CORSIA</w:t>
      </w:r>
      <w:r>
        <w:t>) (OV L 325, 20.12.2018., 25.–28. lpp.).</w:t>
      </w:r>
    </w:p>
  </w:footnote>
  <w:footnote w:id="58">
    <w:p>
      <w:pPr>
        <w:pStyle w:val="FootnoteText"/>
        <w:jc w:val="both"/>
      </w:pPr>
      <w:r>
        <w:rPr>
          <w:rStyle w:val="FootnoteReference"/>
        </w:rPr>
        <w:footnoteRef/>
      </w:r>
      <w:r>
        <w:t xml:space="preserve"> Visi dati ir iegūti no kopējās izsoļu platformas (</w:t>
      </w:r>
      <w:r>
        <w:rPr>
          <w:i/>
        </w:rPr>
        <w:t>CAP2</w:t>
      </w:r>
      <w:r>
        <w:t>) ikmēneša ziņojumiem Komisijai.</w:t>
      </w:r>
    </w:p>
  </w:footnote>
  <w:footnote w:id="59">
    <w:p>
      <w:pPr>
        <w:pStyle w:val="FootnoteText"/>
        <w:jc w:val="both"/>
      </w:pPr>
      <w:r>
        <w:rPr>
          <w:rStyle w:val="FootnoteReference"/>
        </w:rPr>
        <w:footnoteRef/>
      </w:r>
      <w:r>
        <w:t xml:space="preserve"> Saskaņā ar Izsoļu regulas 18. panta 2. punktu.</w:t>
      </w:r>
    </w:p>
  </w:footnote>
  <w:footnote w:id="60">
    <w:p>
      <w:pPr>
        <w:pStyle w:val="FootnoteText"/>
        <w:jc w:val="both"/>
      </w:pPr>
      <w:r>
        <w:rPr>
          <w:rStyle w:val="FootnoteReference"/>
        </w:rPr>
        <w:footnoteRef/>
      </w:r>
      <w:r>
        <w:t xml:space="preserve"> Valstu kompetento iestāžu saraksts ir pieejams vietnē https://ec.europa.eu/info/system/files/mar-2014-596-art-22-list_en.pdf. </w:t>
      </w:r>
    </w:p>
  </w:footnote>
  <w:footnote w:id="61">
    <w:p>
      <w:pPr>
        <w:pStyle w:val="FootnoteText"/>
        <w:jc w:val="both"/>
      </w:pPr>
      <w:r>
        <w:rPr>
          <w:rStyle w:val="FootnoteReference"/>
        </w:rPr>
        <w:footnoteRef/>
      </w:r>
      <w:r>
        <w:t xml:space="preserve"> Saskaņā ar Eiropas Parlamenta un Padomes 2014. gada 14. maija Regulas (ES) Nr. 600/2014 par finanšu instrumentu tirgiem (FITR) 26. pantu tirdzniecības vietām un ieguldījumu sabiedrībām ir jāpaziņo kompetentajām iestādēm detalizēti dati par darījumiem ar kvotām un to atvasinātajiem instrumentiem.</w:t>
      </w:r>
    </w:p>
  </w:footnote>
  <w:footnote w:id="62">
    <w:p>
      <w:pPr>
        <w:pStyle w:val="FootnoteText"/>
        <w:jc w:val="both"/>
      </w:pPr>
      <w:r>
        <w:rPr>
          <w:rStyle w:val="FootnoteReference"/>
        </w:rPr>
        <w:footnoteRef/>
      </w:r>
      <w:r>
        <w:t xml:space="preserve"> FITD 2 58. pantā paredzētā pozīciju paziņošanas pienākuma mērķis ir ļaut uzraudzīt dažādu kategoriju personu turētās pozīcijas attiecībā uz emisijas kvotām.</w:t>
      </w:r>
    </w:p>
  </w:footnote>
  <w:footnote w:id="63">
    <w:p>
      <w:pPr>
        <w:pStyle w:val="FootnoteText"/>
        <w:jc w:val="both"/>
      </w:pPr>
      <w:r>
        <w:rPr>
          <w:rStyle w:val="FootnoteReference"/>
        </w:rPr>
        <w:footnoteRef/>
      </w:r>
      <w:r>
        <w:t xml:space="preserve"> Ar FITR 8., 10. un 21. pantu izveidotā pirms- un pēctirdzniecības pārredzamības režīma mērķis ir nodrošināt, ka tirgus dalībniekiem ir uzticamāka un pieejamāka informācija par tirdzniecības iespējām un cenām.</w:t>
      </w:r>
    </w:p>
  </w:footnote>
  <w:footnote w:id="64">
    <w:p>
      <w:pPr>
        <w:pStyle w:val="FootnoteText"/>
        <w:jc w:val="both"/>
      </w:pPr>
      <w:r>
        <w:rPr>
          <w:rStyle w:val="FootnoteReference"/>
        </w:rPr>
        <w:footnoteRef/>
      </w:r>
      <w:r>
        <w:t xml:space="preserve"> Publiski pieejami iknedēļas ziņojumi par pozīcijām nodrošina pārredzamību attiecībā uz noteiktu tirgotāju kategoriju skatījumu uz tirgu.</w:t>
      </w:r>
    </w:p>
  </w:footnote>
  <w:footnote w:id="65">
    <w:p>
      <w:pPr>
        <w:pStyle w:val="FootnoteText"/>
        <w:jc w:val="both"/>
      </w:pPr>
      <w:r>
        <w:rPr>
          <w:rStyle w:val="FootnoteReference"/>
        </w:rPr>
        <w:footnoteRef/>
      </w:r>
      <w:r>
        <w:t xml:space="preserve"> Ar pētījumu var iepazīties vietnē https://publications.europa.eu/en/publication-detail/-/publication/9d985256-a6a9-11e9-9d01-01aa75ed71a1/language-en.</w:t>
      </w:r>
    </w:p>
  </w:footnote>
  <w:footnote w:id="66">
    <w:p>
      <w:pPr>
        <w:pStyle w:val="FootnoteText"/>
        <w:jc w:val="both"/>
        <w:rPr>
          <w:sz w:val="16"/>
          <w:szCs w:val="16"/>
        </w:rPr>
      </w:pPr>
      <w:r>
        <w:rPr>
          <w:rStyle w:val="FootnoteReference"/>
        </w:rPr>
        <w:footnoteRef/>
      </w:r>
      <w:r>
        <w:t xml:space="preserve"> Eiropas Parlamenta un Padomes Direktīva 2014/65/ES (2014. gada 15. maijs) par finanšu instrumentu tirgiem un ar ko groza Direktīvu 2002/92/EK un Direktīvu 2011/61/ES (OV L 173, 12.6.2014., 349. lpp.). Pieejama vietnē </w:t>
      </w:r>
      <w:hyperlink r:id="rId3" w:history="1">
        <w:r>
          <w:rPr>
            <w:rStyle w:val="Hyperlink"/>
            <w:sz w:val="16"/>
            <w:szCs w:val="16"/>
          </w:rPr>
          <w:t>https://eur-lex.europa.eu/legal-content/LV/TXT/?qid=1536584176375&amp;uri=CELEX:02014L0065-20160701</w:t>
        </w:r>
      </w:hyperlink>
      <w:r>
        <w:t>.</w:t>
      </w:r>
    </w:p>
  </w:footnote>
  <w:footnote w:id="67">
    <w:p>
      <w:pPr>
        <w:pStyle w:val="FootnoteText"/>
        <w:jc w:val="both"/>
      </w:pPr>
      <w:r>
        <w:rPr>
          <w:rStyle w:val="FootnoteReference"/>
        </w:rPr>
        <w:footnoteRef/>
      </w:r>
      <w:r>
        <w:t xml:space="preserve"> Padomes Direktīva (ES) 2018/1695 (2018. gada 6. novembris), ar ko Direktīvu 2006/112/EK par kopējo pievienotās vērtības nodokļa sistēmu groza attiecībā uz fakultatīvas apgrieztās maksāšanas sistēmas piemērošanas periodu noteiktām preču piegādēm un pakalpojumu sniegšanai, kam ir paaugstināts krāpšanas risks, un attiecībā uz ātrās reaģēšanas mehānisma cīņai pret krāpšanu PVN jomā piemērošanas periodu (OV L 282, 12.11.2018., 5.–7. lpp.).</w:t>
      </w:r>
    </w:p>
  </w:footnote>
  <w:footnote w:id="68">
    <w:p>
      <w:pPr>
        <w:pStyle w:val="FootnoteText"/>
        <w:jc w:val="both"/>
      </w:pPr>
      <w:r>
        <w:rPr>
          <w:rStyle w:val="FootnoteReference"/>
        </w:rPr>
        <w:footnoteRef/>
      </w:r>
      <w:r>
        <w:t xml:space="preserve"> Komisijas Īstenošanas regula (ES) 2018/2066 (2018. gada 19. decembris) par siltumnīcefekta gāzu emisiju monitoringu un ziņošanu saskaņā ar Eiropas Parlamenta un Padomes Direktīvu 2003/87/EK un ar ko groza Komisijas Regulu (ES) Nr. 601/2012 (OV L 334, 31.12.2018., 1.–93. lpp.).</w:t>
      </w:r>
    </w:p>
  </w:footnote>
  <w:footnote w:id="69">
    <w:p>
      <w:pPr>
        <w:pStyle w:val="FootnoteText"/>
        <w:jc w:val="both"/>
      </w:pPr>
      <w:r>
        <w:rPr>
          <w:rStyle w:val="FootnoteReference"/>
        </w:rPr>
        <w:footnoteRef/>
      </w:r>
      <w:r>
        <w:t xml:space="preserve"> Komisijas Īstenošanas regula (ES) 2018/2067 (2018. gada 19. decembris) par datu verifikāciju un verificētāju akreditāciju saskaņā ar Eiropas Parlamenta un Padomes Direktīvu 2003/87/EK (OV L 334, 31.12.2018., 94.–134. lpp.).</w:t>
      </w:r>
    </w:p>
  </w:footnote>
  <w:footnote w:id="70">
    <w:p>
      <w:pPr>
        <w:pStyle w:val="FootnoteText"/>
        <w:jc w:val="both"/>
      </w:pPr>
      <w:r>
        <w:rPr>
          <w:rStyle w:val="FootnoteReference"/>
        </w:rPr>
        <w:footnoteRef/>
      </w:r>
      <w:r>
        <w:t xml:space="preserve"> Tā galvenais iemesls ir tāds, ka uz mērījumiem balstītas metodikas izmantošanai ir vajadzīgi ievērojami resursi un zinātība, lai varētu nepārtraukti mērīt attiecīgo SEG koncentrāciju, bet daudziem mazajiem operatoriem šādu resursu un zinātības nav.</w:t>
      </w:r>
    </w:p>
  </w:footnote>
  <w:footnote w:id="71">
    <w:p>
      <w:pPr>
        <w:pStyle w:val="FootnoteText"/>
        <w:jc w:val="both"/>
      </w:pPr>
      <w:r>
        <w:rPr>
          <w:rStyle w:val="FootnoteReference"/>
        </w:rPr>
        <w:footnoteRef/>
      </w:r>
      <w:r>
        <w:t xml:space="preserve"> Komisijas Regulā (ES) Nr. 601/2012 ir noteikts, ka visiem operatoriem ir jāizpilda konkrētas minimālā līmeņa prasības, bet lielākiem emisiju avotiem ir jāizpilda augstāka līmeņa prasības (saskaņā ar kurām ir jāsniedz uzticamākas kvalitātes dati), savukārt mazākiem avotiem rentabilitātes apsvērumu dēļ piemēro mazāk stingras prasības.</w:t>
      </w:r>
    </w:p>
  </w:footnote>
  <w:footnote w:id="72">
    <w:p>
      <w:pPr>
        <w:pStyle w:val="FootnoteText"/>
        <w:jc w:val="both"/>
      </w:pPr>
      <w:r>
        <w:rPr>
          <w:rStyle w:val="FootnoteReference"/>
        </w:rPr>
        <w:footnoteRef/>
      </w:r>
      <w:r>
        <w:t xml:space="preserve"> EA saraksts ar VAS, kas akreditē verificētājus ES ETS vajadzībām, atrodams šeit: https://european-accreditation.org/national-accreditation-bodies-having-successfully-undergone-peer-evaluation-by-ea/.</w:t>
      </w:r>
    </w:p>
  </w:footnote>
  <w:footnote w:id="73">
    <w:p>
      <w:pPr>
        <w:pStyle w:val="FootnoteText"/>
        <w:jc w:val="both"/>
      </w:pPr>
      <w:r>
        <w:rPr>
          <w:rStyle w:val="FootnoteReference"/>
        </w:rPr>
        <w:footnoteRef/>
      </w:r>
      <w:r>
        <w:t xml:space="preserve"> Dažos gadījumos valstis, iespējams, par vairākām reģionālām/vietējām iestādēm ziņo kā par vienu kompetento iestādi.</w:t>
      </w:r>
    </w:p>
  </w:footnote>
  <w:footnote w:id="74">
    <w:p>
      <w:pPr>
        <w:pStyle w:val="FootnoteText"/>
      </w:pPr>
      <w:r>
        <w:rPr>
          <w:rStyle w:val="FootnoteReference"/>
        </w:rPr>
        <w:footnoteRef/>
      </w:r>
      <w:r>
        <w:t xml:space="preserve"> Šajā kopsummā nav ietverti Portugāles aviācijas nozarei noteiktie naudas sodi, jo pašlaik notiekošo soda piemērošanas procesu dēļ to summas vēl nebija noteiktas. </w:t>
      </w:r>
    </w:p>
  </w:footnote>
  <w:footnote w:id="75">
    <w:p>
      <w:pPr>
        <w:pStyle w:val="FootnoteText"/>
      </w:pPr>
      <w:r>
        <w:rPr>
          <w:rStyle w:val="FootnoteReference"/>
        </w:rPr>
        <w:footnoteRef/>
      </w:r>
      <w:r>
        <w:t xml:space="preserve"> Ungārija izmantoja 10.c pantā noteikto atkāpi tikai 2013. gadā. </w:t>
      </w:r>
    </w:p>
  </w:footnote>
  <w:footnote w:id="76">
    <w:p>
      <w:pPr>
        <w:pStyle w:val="FootnoteText"/>
      </w:pPr>
      <w:r>
        <w:rPr>
          <w:rStyle w:val="FootnoteReference"/>
        </w:rPr>
        <w:footnoteRef/>
      </w:r>
      <w:r>
        <w:t xml:space="preserve"> 2013. un 2014. gadā netika izsolītas neizmantotās kvotas saskaņā ar 10.c pantu.</w:t>
      </w:r>
    </w:p>
  </w:footnote>
  <w:footnote w:id="77">
    <w:p>
      <w:pPr>
        <w:pStyle w:val="FootnoteText"/>
      </w:pPr>
      <w:r>
        <w:rPr>
          <w:rStyle w:val="FootnoteReference"/>
        </w:rPr>
        <w:footnoteRef/>
      </w:r>
      <w:r>
        <w:t xml:space="preserve"> Avots: </w:t>
      </w:r>
      <w:r>
        <w:rPr>
          <w:i/>
        </w:rPr>
        <w:t>EEX</w:t>
      </w:r>
      <w:r>
        <w:t>.</w:t>
      </w:r>
    </w:p>
  </w:footnote>
  <w:footnote w:id="78">
    <w:p>
      <w:pPr>
        <w:pStyle w:val="FootnoteText"/>
      </w:pPr>
      <w:r>
        <w:rPr>
          <w:rStyle w:val="FootnoteReference"/>
        </w:rPr>
        <w:footnoteRef/>
      </w:r>
      <w:r>
        <w:t xml:space="preserve"> Apvienotās Karalistes dati par 2019. gadu nav iekļauti 3.1. un 3.2. tabulā sakarā ar Komisijas pieņemtajiem aizsardzības pasākumiem ES ETS vidiskās integritātes aizsardzībai gadījumos, kad ES tiesību aktus pārtrauc piemērot attiecībā uz dalībvalsti, kas izstājas no ES (sk. 2.2. nodaļu).</w:t>
      </w:r>
    </w:p>
  </w:footnote>
  <w:footnote w:id="79">
    <w:p>
      <w:pPr>
        <w:pStyle w:val="FootnoteText"/>
      </w:pPr>
      <w:r>
        <w:rPr>
          <w:rStyle w:val="FootnoteReference"/>
        </w:rPr>
        <w:footnoteRef/>
      </w:r>
      <w:r>
        <w:t xml:space="preserve"> Atbilstības datus par iepriekšējiem gadiem var koriģēt ar atpakaļejošu datumu, piemēram, novēlotas iesniegšanas gadījumā.</w:t>
      </w:r>
    </w:p>
  </w:footnote>
  <w:footnote w:id="80">
    <w:p>
      <w:pPr>
        <w:pStyle w:val="FootnoteText"/>
        <w:jc w:val="both"/>
      </w:pPr>
      <w:r>
        <w:rPr>
          <w:rStyle w:val="FootnoteReference"/>
        </w:rPr>
        <w:footnoteRef/>
      </w:r>
      <w:r>
        <w:t xml:space="preserve"> Attiecībā uz dažām iekārtām par </w:t>
      </w:r>
      <w:r>
        <w:rPr>
          <w:bCs/>
          <w:color w:val="262626"/>
        </w:rPr>
        <w:t>N</w:t>
      </w:r>
      <w:r>
        <w:rPr>
          <w:bCs/>
          <w:color w:val="262626"/>
          <w:bdr w:val="none" w:sz="0" w:space="0" w:color="auto" w:frame="1"/>
          <w:vertAlign w:val="subscript"/>
        </w:rPr>
        <w:t>2</w:t>
      </w:r>
      <w:r>
        <w:rPr>
          <w:bCs/>
          <w:color w:val="262626"/>
        </w:rPr>
        <w:t>O</w:t>
      </w:r>
      <w:r>
        <w:t xml:space="preserve"> vai </w:t>
      </w:r>
      <w:r>
        <w:rPr>
          <w:i/>
        </w:rPr>
        <w:t>PFC</w:t>
      </w:r>
      <w:r>
        <w:t xml:space="preserve"> emisijām, iespējams, nav atsevišķi paziņots Savienības reģistrā, bet to vietā ir paziņots par kopējām emisijām, izsakot tonnās </w:t>
      </w:r>
      <w:r>
        <w:rPr>
          <w:bCs/>
          <w:color w:val="262626"/>
        </w:rPr>
        <w:t>CO</w:t>
      </w:r>
      <w:r>
        <w:rPr>
          <w:bCs/>
          <w:color w:val="262626"/>
          <w:bdr w:val="none" w:sz="0" w:space="0" w:color="auto" w:frame="1"/>
          <w:vertAlign w:val="subscript"/>
        </w:rPr>
        <w:t xml:space="preserve">2 </w:t>
      </w:r>
      <w:r>
        <w:t xml:space="preserve">ekvivalenta. Tabulā attēlotie dati atspoguļo emisiju sadalījumu pa SEG atbilstoši datiem Savienības reģistrā. </w:t>
      </w:r>
      <w:r>
        <w:rPr>
          <w:bCs/>
          <w:color w:val="262626"/>
        </w:rPr>
        <w:t>N</w:t>
      </w:r>
      <w:r>
        <w:rPr>
          <w:bCs/>
          <w:color w:val="262626"/>
          <w:bdr w:val="none" w:sz="0" w:space="0" w:color="auto" w:frame="1"/>
          <w:vertAlign w:val="subscript"/>
        </w:rPr>
        <w:t>2</w:t>
      </w:r>
      <w:r>
        <w:rPr>
          <w:bCs/>
          <w:color w:val="262626"/>
        </w:rPr>
        <w:t xml:space="preserve">O emisijas tika iekļautas ES ETS, sākot ar otro posmu (no 2008. gada), kā dažu dalībvalstu brīvprātīgs iekļaušanas pasākums, bet kopā ar </w:t>
      </w:r>
      <w:r>
        <w:rPr>
          <w:bCs/>
          <w:i/>
          <w:color w:val="262626"/>
        </w:rPr>
        <w:t>PFC</w:t>
      </w:r>
      <w:r>
        <w:rPr>
          <w:bCs/>
          <w:color w:val="262626"/>
        </w:rPr>
        <w:t xml:space="preserve"> kā obligātas — sākot ar trešo posmu (no 2013. gada).</w:t>
      </w:r>
    </w:p>
  </w:footnote>
  <w:footnote w:id="81">
    <w:p>
      <w:pPr>
        <w:pStyle w:val="FootnoteText"/>
      </w:pPr>
      <w:r>
        <w:rPr>
          <w:rStyle w:val="FootnoteReference"/>
        </w:rPr>
        <w:footnoteRef/>
      </w:r>
      <w:r>
        <w:t xml:space="preserve"> https://eur-lex.europa.eu/legal-content/LV/TXT/PDF/?uri=OJ:L:2019:120:FULL&amp;from=LV</w:t>
      </w:r>
    </w:p>
  </w:footnote>
  <w:footnote w:id="82">
    <w:p>
      <w:pPr>
        <w:pStyle w:val="FootnoteText"/>
      </w:pPr>
      <w:r>
        <w:rPr>
          <w:rStyle w:val="FootnoteReference"/>
        </w:rPr>
        <w:footnoteRef/>
      </w:r>
      <w:r>
        <w:t>https://eur-lex.europa.eu/legal-content/LV/TXT/PDF/?uri=CELEX:32019R0331&amp;from=LV</w:t>
      </w:r>
    </w:p>
  </w:footnote>
  <w:footnote w:id="83">
    <w:p>
      <w:pPr>
        <w:pStyle w:val="FootnoteText"/>
      </w:pPr>
      <w:r>
        <w:rPr>
          <w:rStyle w:val="FootnoteReference"/>
        </w:rPr>
        <w:footnoteRef/>
      </w:r>
      <w:r>
        <w:t xml:space="preserve"> https://eur-lex.europa.eu/legal-content/LV/TXT/PDF/?uri=CELEX:32019R0856&amp;from=LV</w:t>
      </w:r>
    </w:p>
  </w:footnote>
  <w:footnote w:id="84">
    <w:p>
      <w:pPr>
        <w:pStyle w:val="FootnoteText"/>
      </w:pPr>
      <w:r>
        <w:rPr>
          <w:rStyle w:val="FootnoteReference"/>
        </w:rPr>
        <w:footnoteRef/>
      </w:r>
      <w:r>
        <w:t xml:space="preserve"> https://eur-lex.europa.eu/legal-content/LV/TXT/PDF/?uri=CELEX:32019R1122&amp;from=LV</w:t>
      </w:r>
    </w:p>
  </w:footnote>
  <w:footnote w:id="85">
    <w:p>
      <w:pPr>
        <w:pStyle w:val="FootnoteText"/>
      </w:pPr>
      <w:r>
        <w:rPr>
          <w:rStyle w:val="FootnoteReference"/>
        </w:rPr>
        <w:footnoteRef/>
      </w:r>
      <w:r>
        <w:t xml:space="preserve"> https://eur-lex.europa.eu/legal-content/LV/TXT/PDF/?uri=CELEX:32019R0007</w:t>
      </w:r>
    </w:p>
  </w:footnote>
  <w:footnote w:id="86">
    <w:p>
      <w:pPr>
        <w:pStyle w:val="FootnoteText"/>
      </w:pPr>
      <w:r>
        <w:rPr>
          <w:rStyle w:val="FootnoteReference"/>
        </w:rPr>
        <w:footnoteRef/>
      </w:r>
      <w:r>
        <w:t xml:space="preserve"> https://eur-lex.europa.eu/legal-content/LV/TXT/PDF/?uri=CELEX:32018R2066</w:t>
      </w:r>
    </w:p>
  </w:footnote>
  <w:footnote w:id="87">
    <w:p>
      <w:pPr>
        <w:pStyle w:val="FootnoteText"/>
      </w:pPr>
      <w:r>
        <w:rPr>
          <w:rStyle w:val="FootnoteReference"/>
        </w:rPr>
        <w:footnoteRef/>
      </w:r>
      <w:r>
        <w:t xml:space="preserve"> https://eur-lex.europa.eu/legal-content/LV/TXT/PDF/?uri=CELEX:32018R2067&amp;from=LV</w:t>
      </w:r>
    </w:p>
  </w:footnote>
  <w:footnote w:id="88">
    <w:p>
      <w:pPr>
        <w:pStyle w:val="FootnoteText"/>
      </w:pPr>
      <w:r>
        <w:rPr>
          <w:rStyle w:val="FootnoteReference"/>
        </w:rPr>
        <w:footnoteRef/>
      </w:r>
      <w:r>
        <w:t xml:space="preserve"> Rādītāji attiecībā uz laikposmu no 2019. gada janvāra līdz augustam ir balstīti uz Komisijas paziņojumu C(2018) 2801 final, 15.5.2018., pieejams: </w:t>
      </w:r>
      <w:hyperlink r:id="rId4" w:history="1">
        <w:r>
          <w:rPr>
            <w:rStyle w:val="Hyperlink"/>
          </w:rPr>
          <w:t>https://ec.europa.eu/clima/sites/clima/files/ets/reform/docs/c_2018_2801_en.pdf</w:t>
        </w:r>
      </w:hyperlink>
      <w:r>
        <w:t xml:space="preserve">. </w:t>
      </w:r>
    </w:p>
  </w:footnote>
  <w:footnote w:id="89">
    <w:p>
      <w:pPr>
        <w:pStyle w:val="FootnoteText"/>
      </w:pPr>
      <w:r>
        <w:rPr>
          <w:rStyle w:val="FootnoteReference"/>
        </w:rPr>
        <w:footnoteRef/>
      </w:r>
      <w:r>
        <w:t xml:space="preserve"> Rādītāji attiecībā uz laikposmu no 2019. gada septembra līdz decembrim un no 2020. gada janvāra līdz augustam ir balstīti uz Komisijas paziņojumu C(2019) 3288 final, pieejams: </w:t>
      </w:r>
      <w:hyperlink r:id="rId5" w:history="1">
        <w:r>
          <w:rPr>
            <w:rStyle w:val="Hyperlink"/>
          </w:rPr>
          <w:t>https://ec.europa.eu/clima/sites/clima/files/ets/reform/docs/c_2019_3288_en.pdf</w:t>
        </w:r>
      </w:hyperlink>
      <w:r>
        <w:t xml:space="preserve">. </w:t>
      </w:r>
    </w:p>
  </w:footnote>
  <w:footnote w:id="90">
    <w:p>
      <w:pPr>
        <w:pStyle w:val="FootnoteText"/>
      </w:pPr>
      <w:r>
        <w:rPr>
          <w:rStyle w:val="FootnoteReference"/>
        </w:rPr>
        <w:footnoteRef/>
      </w:r>
      <w:r>
        <w:t xml:space="preserve"> Daļa no dalībvalstu ieguldījuma TSR 2020. gadā tiks noteikta pēc tam, kad 2020. gadā būs publicēts pārpalikuma rādītājs.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
      <w:lvlJc w:val="left"/>
      <w:pPr>
        <w:tabs>
          <w:tab w:val="num" w:pos="0"/>
        </w:tabs>
        <w:ind w:left="360" w:hanging="360"/>
      </w:pPr>
      <w:rPr>
        <w:rFonts w:ascii="Symbol" w:hAnsi="Symbol" w:cs="Symbol"/>
      </w:rPr>
    </w:lvl>
  </w:abstractNum>
  <w:abstractNum w:abstractNumId="1">
    <w:nsid w:val="00000003"/>
    <w:multiLevelType w:val="singleLevel"/>
    <w:tmpl w:val="00000003"/>
    <w:name w:val="WW8Num2"/>
    <w:lvl w:ilvl="0">
      <w:start w:val="1"/>
      <w:numFmt w:val="bullet"/>
      <w:lvlText w:val="o"/>
      <w:lvlJc w:val="left"/>
      <w:pPr>
        <w:tabs>
          <w:tab w:val="num" w:pos="0"/>
        </w:tabs>
        <w:ind w:left="720" w:hanging="360"/>
      </w:pPr>
      <w:rPr>
        <w:rFonts w:ascii="Courier New" w:hAnsi="Courier New" w:cs="Courier New"/>
      </w:rPr>
    </w:lvl>
  </w:abstractNum>
  <w:abstractNum w:abstractNumId="2">
    <w:nsid w:val="00586663"/>
    <w:multiLevelType w:val="hybridMultilevel"/>
    <w:tmpl w:val="636E0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0F4A9C"/>
    <w:multiLevelType w:val="multilevel"/>
    <w:tmpl w:val="F476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9E1EF7"/>
    <w:multiLevelType w:val="hybridMultilevel"/>
    <w:tmpl w:val="3E6C0D5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1535361B"/>
    <w:multiLevelType w:val="hybridMultilevel"/>
    <w:tmpl w:val="F0243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F46418"/>
    <w:multiLevelType w:val="hybridMultilevel"/>
    <w:tmpl w:val="82B4D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AB37AA"/>
    <w:multiLevelType w:val="multilevel"/>
    <w:tmpl w:val="AB602AF8"/>
    <w:lvl w:ilvl="0">
      <w:start w:val="2"/>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E54362E"/>
    <w:multiLevelType w:val="hybridMultilevel"/>
    <w:tmpl w:val="6018E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7173E9"/>
    <w:multiLevelType w:val="hybridMultilevel"/>
    <w:tmpl w:val="39EA262A"/>
    <w:lvl w:ilvl="0" w:tplc="924A8FE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651550"/>
    <w:multiLevelType w:val="hybridMultilevel"/>
    <w:tmpl w:val="90964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42987CC0"/>
    <w:multiLevelType w:val="hybridMultilevel"/>
    <w:tmpl w:val="48FA1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CF1B1C"/>
    <w:multiLevelType w:val="hybridMultilevel"/>
    <w:tmpl w:val="61D0F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1B1D46"/>
    <w:multiLevelType w:val="multilevel"/>
    <w:tmpl w:val="9F0E4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D97B9D"/>
    <w:multiLevelType w:val="hybridMultilevel"/>
    <w:tmpl w:val="14823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50C4B58"/>
    <w:multiLevelType w:val="hybridMultilevel"/>
    <w:tmpl w:val="78524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5FD65E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8277188"/>
    <w:multiLevelType w:val="multilevel"/>
    <w:tmpl w:val="6F66F5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7251656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359678A"/>
    <w:multiLevelType w:val="hybridMultilevel"/>
    <w:tmpl w:val="B730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9E75877"/>
    <w:multiLevelType w:val="hybridMultilevel"/>
    <w:tmpl w:val="F57C4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D351DAB"/>
    <w:multiLevelType w:val="hybridMultilevel"/>
    <w:tmpl w:val="CD70F27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4"/>
  </w:num>
  <w:num w:numId="3">
    <w:abstractNumId w:val="8"/>
  </w:num>
  <w:num w:numId="4">
    <w:abstractNumId w:val="20"/>
  </w:num>
  <w:num w:numId="5">
    <w:abstractNumId w:val="10"/>
  </w:num>
  <w:num w:numId="6">
    <w:abstractNumId w:val="19"/>
  </w:num>
  <w:num w:numId="7">
    <w:abstractNumId w:val="22"/>
  </w:num>
  <w:num w:numId="8">
    <w:abstractNumId w:val="13"/>
  </w:num>
  <w:num w:numId="9">
    <w:abstractNumId w:val="9"/>
  </w:num>
  <w:num w:numId="10">
    <w:abstractNumId w:val="16"/>
  </w:num>
  <w:num w:numId="11">
    <w:abstractNumId w:val="17"/>
  </w:num>
  <w:num w:numId="12">
    <w:abstractNumId w:val="6"/>
  </w:num>
  <w:num w:numId="13">
    <w:abstractNumId w:val="12"/>
  </w:num>
  <w:num w:numId="14">
    <w:abstractNumId w:val="21"/>
  </w:num>
  <w:num w:numId="15">
    <w:abstractNumId w:val="2"/>
  </w:num>
  <w:num w:numId="16">
    <w:abstractNumId w:val="3"/>
  </w:num>
  <w:num w:numId="17">
    <w:abstractNumId w:val="14"/>
  </w:num>
  <w:num w:numId="18">
    <w:abstractNumId w:val="18"/>
  </w:num>
  <w:num w:numId="19">
    <w:abstractNumId w:val="12"/>
  </w:num>
  <w:num w:numId="20">
    <w:abstractNumId w:val="21"/>
  </w:num>
  <w:num w:numId="21">
    <w:abstractNumId w:val="15"/>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283"/>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0BA03CB9-D7A0-4E08-AF9F-EBB0DB16F4DE"/>
    <w:docVar w:name="LW_COVERPAGE_TYPE" w:val="1"/>
    <w:docVar w:name="LW_CROSSREFERENCE" w:val="&lt;UNUSED&gt;"/>
    <w:docVar w:name="LW_DocType" w:val="NORMAL"/>
    <w:docVar w:name="LW_EMISSION" w:val="31.10.2019"/>
    <w:docVar w:name="LW_EMISSION_ISODATE" w:val="2019-10-31"/>
    <w:docVar w:name="LW_EMISSION_LOCATION" w:val="BRX"/>
    <w:docVar w:name="LW_EMISSION_PREFIX" w:val="Briselē, "/>
    <w:docVar w:name="LW_EMISSION_SUFFIX" w:val="."/>
    <w:docVar w:name="LW_ID_DOCTYPE_NONLW" w:val="CP-006"/>
    <w:docVar w:name="LW_LANGUE" w:val="LV"/>
    <w:docVar w:name="LW_LEVEL_OF_SENSITIVITY" w:val="Standard treatment"/>
    <w:docVar w:name="LW_NOM.INST" w:val="EIROPAS KOMISIJA"/>
    <w:docVar w:name="LW_NOM.INST_JOINTDOC" w:val="&lt;EMPTY&gt;"/>
    <w:docVar w:name="LW_PART_NBR" w:val="1"/>
    <w:docVar w:name="LW_PART_NBR_TOTAL" w:val="1"/>
    <w:docVar w:name="LW_REF.INST.NEW" w:val="COM"/>
    <w:docVar w:name="LW_REF.INST.NEW_ADOPTED" w:val="final"/>
    <w:docVar w:name="LW_REF.INST.NEW_TEXT" w:val="(2019) 55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Zi\u326?ojums par Eiropas oglek\u316?a tirgus darb\u299?bu"/>
    <w:docVar w:name="LW_TYPE.DOC.CP" w:val="KOMISIJAS ZI\u325?OJUMS EIROPAS PARLAMENTAM UN PADOMEI"/>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Times New Roman"/>
    </w:rPr>
  </w:style>
  <w:style w:type="paragraph" w:styleId="Heading1">
    <w:name w:val="heading 1"/>
    <w:basedOn w:val="Normal"/>
    <w:next w:val="Normal"/>
    <w:link w:val="Heading1Char"/>
    <w:uiPriority w:val="9"/>
    <w:qFormat/>
    <w:pPr>
      <w:keepNext/>
      <w:spacing w:before="240" w:after="60"/>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iPriority w:val="9"/>
    <w:unhideWhenUsed/>
    <w:qFormat/>
    <w:pPr>
      <w:keepNext/>
      <w:spacing w:before="240" w:after="60"/>
      <w:outlineLvl w:val="1"/>
    </w:pPr>
    <w:rPr>
      <w:rFonts w:ascii="Times New Roman" w:eastAsia="Times New Roman" w:hAnsi="Times New Roman"/>
      <w:b/>
      <w:bCs/>
      <w:i/>
      <w:iCs/>
      <w:sz w:val="24"/>
      <w:szCs w:val="28"/>
    </w:rPr>
  </w:style>
  <w:style w:type="paragraph" w:styleId="Heading3">
    <w:name w:val="heading 3"/>
    <w:basedOn w:val="Normal"/>
    <w:next w:val="Normal"/>
    <w:link w:val="Heading3Char"/>
    <w:uiPriority w:val="9"/>
    <w:unhideWhenUsed/>
    <w:qFormat/>
    <w:pPr>
      <w:keepNext/>
      <w:spacing w:before="240" w:after="60"/>
      <w:outlineLvl w:val="2"/>
    </w:pPr>
    <w:rPr>
      <w:rFonts w:ascii="Times New Roman" w:eastAsia="Times New Roman" w:hAnsi="Times New Roman"/>
      <w:b/>
      <w:bCs/>
      <w:sz w:val="24"/>
      <w:szCs w:val="26"/>
    </w:rPr>
  </w:style>
  <w:style w:type="paragraph" w:styleId="Heading4">
    <w:name w:val="heading 4"/>
    <w:basedOn w:val="Normal"/>
    <w:next w:val="Normal"/>
    <w:link w:val="Heading4Char"/>
    <w:uiPriority w:val="9"/>
    <w:unhideWhenUsed/>
    <w:qFormat/>
    <w:pPr>
      <w:keepNext/>
      <w:spacing w:before="240" w:after="60"/>
      <w:outlineLvl w:val="3"/>
    </w:pPr>
    <w:rPr>
      <w:rFonts w:ascii="Times New Roman" w:eastAsia="Times New Roman" w:hAnsi="Times New Roman"/>
      <w:bCs/>
      <w:i/>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2"/>
      <w:sz w:val="24"/>
      <w:szCs w:val="32"/>
    </w:rPr>
  </w:style>
  <w:style w:type="character" w:customStyle="1" w:styleId="Heading2Char">
    <w:name w:val="Heading 2 Char"/>
    <w:basedOn w:val="DefaultParagraphFont"/>
    <w:link w:val="Heading2"/>
    <w:uiPriority w:val="9"/>
    <w:rPr>
      <w:rFonts w:ascii="Times New Roman" w:eastAsia="Times New Roman" w:hAnsi="Times New Roman" w:cs="Times New Roman"/>
      <w:b/>
      <w:bCs/>
      <w:i/>
      <w:iCs/>
      <w:sz w:val="24"/>
      <w:szCs w:val="28"/>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uiPriority w:val="9"/>
    <w:rPr>
      <w:rFonts w:ascii="Times New Roman" w:eastAsia="Times New Roman" w:hAnsi="Times New Roman" w:cs="Times New Roman"/>
      <w:bCs/>
      <w:i/>
      <w:sz w:val="24"/>
      <w:szCs w:val="28"/>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lv-LV"/>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val="lv-LV"/>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lang w:val="lv-LV"/>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Pr>
      <w:color w:val="0000FF"/>
      <w:u w:val="single"/>
    </w:rPr>
  </w:style>
  <w:style w:type="paragraph" w:styleId="FootnoteText">
    <w:name w:val="footnote text"/>
    <w:aliases w:val="Fußnotentextf,RSK-FT,RSK-FT1,RSK-FT2"/>
    <w:basedOn w:val="Normal"/>
    <w:link w:val="FootnoteTextChar"/>
    <w:autoRedefine/>
    <w:uiPriority w:val="99"/>
    <w:unhideWhenUsed/>
    <w:qFormat/>
    <w:pPr>
      <w:spacing w:after="0" w:line="240" w:lineRule="auto"/>
    </w:pPr>
    <w:rPr>
      <w:rFonts w:ascii="Times New Roman" w:hAnsi="Times New Roman"/>
      <w:sz w:val="18"/>
      <w:szCs w:val="18"/>
    </w:rPr>
  </w:style>
  <w:style w:type="character" w:customStyle="1" w:styleId="FootnoteTextChar">
    <w:name w:val="Footnote Text Char"/>
    <w:aliases w:val="Fußnotentextf Char,RSK-FT Char,RSK-FT1 Char,RSK-FT2 Char"/>
    <w:basedOn w:val="DefaultParagraphFont"/>
    <w:link w:val="FootnoteText"/>
    <w:uiPriority w:val="99"/>
    <w:rPr>
      <w:rFonts w:ascii="Times New Roman" w:eastAsia="Calibri" w:hAnsi="Times New Roman" w:cs="Times New Roman"/>
      <w:sz w:val="18"/>
      <w:szCs w:val="18"/>
    </w:rPr>
  </w:style>
  <w:style w:type="character" w:styleId="FootnoteReference">
    <w:name w:val="footnote reference"/>
    <w:aliases w:val="Footnote Refernece,BVI fnr,callout,16 Point,Superscript 6 Point,Odwołanie przypisu,Footnote symbol,Footnote Reference Number,Footnote Reference Superscript,SUPERS,Times 10 Point,Exposant 3 Point,Ref,de nota al pie,number, BVI fnr"/>
    <w:uiPriority w:val="99"/>
    <w:unhideWhenUsed/>
    <w:qFormat/>
    <w:rPr>
      <w:vertAlign w:val="superscript"/>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rFonts w:ascii="Calibri" w:eastAsia="Calibri" w:hAnsi="Calibri" w:cs="Times New Roman"/>
    </w:rPr>
  </w:style>
  <w:style w:type="paragraph" w:customStyle="1" w:styleId="a3520normalp11">
    <w:name w:val="a__35__20_normal_p11"/>
    <w:basedOn w:val="Normal"/>
    <w:pPr>
      <w:spacing w:after="120" w:line="240" w:lineRule="auto"/>
      <w:ind w:right="57"/>
      <w:jc w:val="both"/>
    </w:pPr>
    <w:rPr>
      <w:rFonts w:ascii="Times New Roman" w:eastAsia="Times New Roman" w:hAnsi="Times New Roman"/>
      <w:sz w:val="24"/>
      <w:szCs w:val="24"/>
      <w:lang w:eastAsia="en-GB"/>
    </w:rPr>
  </w:style>
  <w:style w:type="paragraph" w:customStyle="1" w:styleId="5normal">
    <w:name w:val="5normal"/>
    <w:basedOn w:val="Normal"/>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ps">
    <w:name w:val="hps"/>
  </w:style>
  <w:style w:type="paragraph" w:styleId="ListParagraph">
    <w:name w:val="List Paragraph"/>
    <w:basedOn w:val="Normal"/>
    <w:uiPriority w:val="34"/>
    <w:qFormat/>
    <w:pPr>
      <w:spacing w:after="160" w:line="259" w:lineRule="auto"/>
      <w:ind w:left="720"/>
      <w:contextualSpacing/>
    </w:pPr>
  </w:style>
  <w:style w:type="character" w:styleId="Strong">
    <w:name w:val="Strong"/>
    <w:uiPriority w:val="22"/>
    <w:qFormat/>
    <w:rPr>
      <w:b/>
      <w:bCs/>
    </w:rPr>
  </w:style>
  <w:style w:type="paragraph" w:customStyle="1" w:styleId="ECStandard">
    <w:name w:val="EC Standard"/>
    <w:basedOn w:val="Normal"/>
    <w:link w:val="ECStandardZchn"/>
    <w:qFormat/>
    <w:pPr>
      <w:spacing w:after="120" w:line="240" w:lineRule="auto"/>
      <w:jc w:val="both"/>
    </w:pPr>
    <w:rPr>
      <w:rFonts w:ascii="Times New Roman" w:eastAsia="Times New Roman" w:hAnsi="Times New Roman"/>
      <w:sz w:val="24"/>
      <w:szCs w:val="24"/>
      <w:lang w:eastAsia="de-DE"/>
    </w:rPr>
  </w:style>
  <w:style w:type="character" w:customStyle="1" w:styleId="ECStandardZchn">
    <w:name w:val="EC Standard Zchn"/>
    <w:link w:val="ECStandard"/>
    <w:rPr>
      <w:rFonts w:ascii="Times New Roman" w:eastAsia="Times New Roman" w:hAnsi="Times New Roman" w:cs="Times New Roman"/>
      <w:sz w:val="24"/>
      <w:szCs w:val="24"/>
      <w:lang w:eastAsia="de-DE"/>
    </w:rPr>
  </w:style>
  <w:style w:type="paragraph" w:styleId="Revision">
    <w:name w:val="Revision"/>
    <w:hidden/>
    <w:uiPriority w:val="99"/>
    <w:semiHidden/>
    <w:pPr>
      <w:spacing w:after="0" w:line="240" w:lineRule="auto"/>
    </w:pPr>
    <w:rPr>
      <w:rFonts w:ascii="Calibri" w:eastAsia="Calibri" w:hAnsi="Calibri" w:cs="Times New Roman"/>
    </w:rPr>
  </w:style>
  <w:style w:type="paragraph" w:customStyle="1" w:styleId="5Normal0">
    <w:name w:val="5 Normal"/>
    <w:basedOn w:val="Normal"/>
    <w:link w:val="5NormalChar"/>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ind w:right="57"/>
      <w:jc w:val="both"/>
    </w:pPr>
    <w:rPr>
      <w:rFonts w:ascii="Verdana" w:eastAsia="Times New Roman" w:hAnsi="Verdana"/>
      <w:spacing w:val="-2"/>
      <w:sz w:val="20"/>
      <w:szCs w:val="24"/>
      <w:lang w:eastAsia="en-GB"/>
    </w:rPr>
  </w:style>
  <w:style w:type="character" w:customStyle="1" w:styleId="5NormalChar">
    <w:name w:val="5 Normal Char"/>
    <w:link w:val="5Normal0"/>
    <w:locked/>
    <w:rPr>
      <w:rFonts w:ascii="Verdana" w:eastAsia="Times New Roman" w:hAnsi="Verdana" w:cs="Times New Roman"/>
      <w:spacing w:val="-2"/>
      <w:sz w:val="20"/>
      <w:szCs w:val="24"/>
      <w:lang w:eastAsia="en-GB"/>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pPr>
      <w:keepLines/>
      <w:spacing w:before="480" w:after="0"/>
      <w:outlineLvl w:val="9"/>
    </w:pPr>
    <w:rPr>
      <w:rFonts w:ascii="Cambria" w:hAnsi="Cambria"/>
      <w:color w:val="365F91"/>
      <w:kern w:val="0"/>
      <w:sz w:val="28"/>
      <w:szCs w:val="28"/>
      <w:lang w:eastAsia="ja-JP"/>
    </w:rPr>
  </w:style>
  <w:style w:type="paragraph" w:styleId="TOC1">
    <w:name w:val="toc 1"/>
    <w:basedOn w:val="Normal"/>
    <w:next w:val="Normal"/>
    <w:autoRedefine/>
    <w:uiPriority w:val="39"/>
    <w:unhideWhenUsed/>
    <w:qFormat/>
    <w:pPr>
      <w:tabs>
        <w:tab w:val="right" w:leader="dot" w:pos="9016"/>
      </w:tabs>
    </w:pPr>
  </w:style>
  <w:style w:type="paragraph" w:styleId="TOC2">
    <w:name w:val="toc 2"/>
    <w:basedOn w:val="Normal"/>
    <w:next w:val="Normal"/>
    <w:autoRedefine/>
    <w:uiPriority w:val="39"/>
    <w:unhideWhenUsed/>
    <w:qFormat/>
    <w:pPr>
      <w:ind w:left="220"/>
    </w:pPr>
  </w:style>
  <w:style w:type="paragraph" w:styleId="TOC3">
    <w:name w:val="toc 3"/>
    <w:basedOn w:val="Normal"/>
    <w:next w:val="Normal"/>
    <w:autoRedefine/>
    <w:uiPriority w:val="39"/>
    <w:unhideWhenUsed/>
    <w:qFormat/>
    <w:pPr>
      <w:ind w:left="440"/>
    </w:pPr>
  </w:style>
  <w:style w:type="paragraph" w:styleId="Caption">
    <w:name w:val="caption"/>
    <w:basedOn w:val="Normal"/>
    <w:next w:val="Normal"/>
    <w:uiPriority w:val="35"/>
    <w:unhideWhenUsed/>
    <w:qFormat/>
    <w:rPr>
      <w:b/>
      <w:bCs/>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 w:type="paragraph" w:styleId="TOC4">
    <w:name w:val="toc 4"/>
    <w:basedOn w:val="Normal"/>
    <w:next w:val="Normal"/>
    <w:autoRedefine/>
    <w:uiPriority w:val="39"/>
    <w:unhideWhenUsed/>
    <w:pPr>
      <w:spacing w:after="100"/>
      <w:ind w:left="660"/>
    </w:pPr>
  </w:style>
  <w:style w:type="paragraph" w:styleId="NoSpacing">
    <w:name w:val="No Spacing"/>
    <w:uiPriority w:val="1"/>
    <w:qFormat/>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character" w:customStyle="1" w:styleId="clear">
    <w:name w:val="clear"/>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TOCHeadingChar">
    <w:name w:val="TOC Heading Char"/>
    <w:basedOn w:val="Heading1Char"/>
    <w:link w:val="TOCHeading"/>
    <w:uiPriority w:val="39"/>
    <w:rPr>
      <w:rFonts w:ascii="Cambria" w:eastAsia="Times New Roman" w:hAnsi="Cambria" w:cs="Times New Roman"/>
      <w:b/>
      <w:bCs/>
      <w:color w:val="365F91"/>
      <w:kern w:val="32"/>
      <w:sz w:val="28"/>
      <w:szCs w:val="28"/>
      <w:lang w:val="lv-LV" w:eastAsia="ja-JP"/>
    </w:rPr>
  </w:style>
  <w:style w:type="character" w:customStyle="1" w:styleId="FooterSensitivityChar">
    <w:name w:val="Footer Sensitivity Char"/>
    <w:basedOn w:val="TOCHeadingChar"/>
    <w:link w:val="FooterSensitivity"/>
    <w:rPr>
      <w:rFonts w:ascii="Times New Roman" w:eastAsia="Calibri" w:hAnsi="Times New Roman" w:cs="Times New Roman"/>
      <w:b/>
      <w:bCs w:val="0"/>
      <w:color w:val="365F91"/>
      <w:kern w:val="32"/>
      <w:sz w:val="32"/>
      <w:szCs w:val="28"/>
      <w:lang w:val="lv-LV" w:eastAsia="ja-JP"/>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TOCHeadingChar"/>
    <w:link w:val="HeaderSensitivity"/>
    <w:rPr>
      <w:rFonts w:ascii="Times New Roman" w:eastAsia="Calibri" w:hAnsi="Times New Roman" w:cs="Times New Roman"/>
      <w:b/>
      <w:bCs w:val="0"/>
      <w:color w:val="365F91"/>
      <w:kern w:val="32"/>
      <w:sz w:val="32"/>
      <w:szCs w:val="28"/>
      <w:lang w:val="lv-LV" w:eastAsia="ja-JP"/>
    </w:rPr>
  </w:style>
  <w:style w:type="table" w:customStyle="1" w:styleId="TableGrid5">
    <w:name w:val="Table Grid5"/>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urityMarking">
    <w:name w:val="SecurityMarking"/>
    <w:basedOn w:val="Normal"/>
    <w:pPr>
      <w:spacing w:after="0"/>
      <w:ind w:left="5103"/>
    </w:pPr>
    <w:rPr>
      <w:rFonts w:ascii="Times New Roman" w:eastAsiaTheme="minorHAnsi" w:hAnsi="Times New Roman"/>
      <w:sz w:val="28"/>
    </w:rPr>
  </w:style>
  <w:style w:type="paragraph" w:customStyle="1" w:styleId="DateMarking">
    <w:name w:val="DateMarking"/>
    <w:basedOn w:val="Normal"/>
    <w:pPr>
      <w:spacing w:after="0"/>
      <w:ind w:left="5103"/>
    </w:pPr>
    <w:rPr>
      <w:rFonts w:ascii="Times New Roman" w:eastAsiaTheme="minorHAnsi" w:hAnsi="Times New Roman"/>
      <w:i/>
      <w:sz w:val="28"/>
    </w:rPr>
  </w:style>
  <w:style w:type="paragraph" w:customStyle="1" w:styleId="ReleasableTo">
    <w:name w:val="ReleasableTo"/>
    <w:basedOn w:val="Normal"/>
    <w:pPr>
      <w:spacing w:after="0"/>
      <w:ind w:left="5103"/>
    </w:pPr>
    <w:rPr>
      <w:rFonts w:ascii="Times New Roman" w:eastAsiaTheme="minorHAnsi" w:hAnsi="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Times New Roman"/>
    </w:rPr>
  </w:style>
  <w:style w:type="paragraph" w:styleId="Heading1">
    <w:name w:val="heading 1"/>
    <w:basedOn w:val="Normal"/>
    <w:next w:val="Normal"/>
    <w:link w:val="Heading1Char"/>
    <w:uiPriority w:val="9"/>
    <w:qFormat/>
    <w:pPr>
      <w:keepNext/>
      <w:spacing w:before="240" w:after="60"/>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iPriority w:val="9"/>
    <w:unhideWhenUsed/>
    <w:qFormat/>
    <w:pPr>
      <w:keepNext/>
      <w:spacing w:before="240" w:after="60"/>
      <w:outlineLvl w:val="1"/>
    </w:pPr>
    <w:rPr>
      <w:rFonts w:ascii="Times New Roman" w:eastAsia="Times New Roman" w:hAnsi="Times New Roman"/>
      <w:b/>
      <w:bCs/>
      <w:i/>
      <w:iCs/>
      <w:sz w:val="24"/>
      <w:szCs w:val="28"/>
    </w:rPr>
  </w:style>
  <w:style w:type="paragraph" w:styleId="Heading3">
    <w:name w:val="heading 3"/>
    <w:basedOn w:val="Normal"/>
    <w:next w:val="Normal"/>
    <w:link w:val="Heading3Char"/>
    <w:uiPriority w:val="9"/>
    <w:unhideWhenUsed/>
    <w:qFormat/>
    <w:pPr>
      <w:keepNext/>
      <w:spacing w:before="240" w:after="60"/>
      <w:outlineLvl w:val="2"/>
    </w:pPr>
    <w:rPr>
      <w:rFonts w:ascii="Times New Roman" w:eastAsia="Times New Roman" w:hAnsi="Times New Roman"/>
      <w:b/>
      <w:bCs/>
      <w:sz w:val="24"/>
      <w:szCs w:val="26"/>
    </w:rPr>
  </w:style>
  <w:style w:type="paragraph" w:styleId="Heading4">
    <w:name w:val="heading 4"/>
    <w:basedOn w:val="Normal"/>
    <w:next w:val="Normal"/>
    <w:link w:val="Heading4Char"/>
    <w:uiPriority w:val="9"/>
    <w:unhideWhenUsed/>
    <w:qFormat/>
    <w:pPr>
      <w:keepNext/>
      <w:spacing w:before="240" w:after="60"/>
      <w:outlineLvl w:val="3"/>
    </w:pPr>
    <w:rPr>
      <w:rFonts w:ascii="Times New Roman" w:eastAsia="Times New Roman" w:hAnsi="Times New Roman"/>
      <w:bCs/>
      <w:i/>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2"/>
      <w:sz w:val="24"/>
      <w:szCs w:val="32"/>
    </w:rPr>
  </w:style>
  <w:style w:type="character" w:customStyle="1" w:styleId="Heading2Char">
    <w:name w:val="Heading 2 Char"/>
    <w:basedOn w:val="DefaultParagraphFont"/>
    <w:link w:val="Heading2"/>
    <w:uiPriority w:val="9"/>
    <w:rPr>
      <w:rFonts w:ascii="Times New Roman" w:eastAsia="Times New Roman" w:hAnsi="Times New Roman" w:cs="Times New Roman"/>
      <w:b/>
      <w:bCs/>
      <w:i/>
      <w:iCs/>
      <w:sz w:val="24"/>
      <w:szCs w:val="28"/>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uiPriority w:val="9"/>
    <w:rPr>
      <w:rFonts w:ascii="Times New Roman" w:eastAsia="Times New Roman" w:hAnsi="Times New Roman" w:cs="Times New Roman"/>
      <w:bCs/>
      <w:i/>
      <w:sz w:val="24"/>
      <w:szCs w:val="28"/>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lv-LV"/>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val="lv-LV"/>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lang w:val="lv-LV"/>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Pr>
      <w:color w:val="0000FF"/>
      <w:u w:val="single"/>
    </w:rPr>
  </w:style>
  <w:style w:type="paragraph" w:styleId="FootnoteText">
    <w:name w:val="footnote text"/>
    <w:aliases w:val="Fußnotentextf,RSK-FT,RSK-FT1,RSK-FT2"/>
    <w:basedOn w:val="Normal"/>
    <w:link w:val="FootnoteTextChar"/>
    <w:autoRedefine/>
    <w:uiPriority w:val="99"/>
    <w:unhideWhenUsed/>
    <w:qFormat/>
    <w:pPr>
      <w:spacing w:after="0" w:line="240" w:lineRule="auto"/>
    </w:pPr>
    <w:rPr>
      <w:rFonts w:ascii="Times New Roman" w:hAnsi="Times New Roman"/>
      <w:sz w:val="18"/>
      <w:szCs w:val="18"/>
    </w:rPr>
  </w:style>
  <w:style w:type="character" w:customStyle="1" w:styleId="FootnoteTextChar">
    <w:name w:val="Footnote Text Char"/>
    <w:aliases w:val="Fußnotentextf Char,RSK-FT Char,RSK-FT1 Char,RSK-FT2 Char"/>
    <w:basedOn w:val="DefaultParagraphFont"/>
    <w:link w:val="FootnoteText"/>
    <w:uiPriority w:val="99"/>
    <w:rPr>
      <w:rFonts w:ascii="Times New Roman" w:eastAsia="Calibri" w:hAnsi="Times New Roman" w:cs="Times New Roman"/>
      <w:sz w:val="18"/>
      <w:szCs w:val="18"/>
    </w:rPr>
  </w:style>
  <w:style w:type="character" w:styleId="FootnoteReference">
    <w:name w:val="footnote reference"/>
    <w:aliases w:val="Footnote Refernece,BVI fnr,callout,16 Point,Superscript 6 Point,Odwołanie przypisu,Footnote symbol,Footnote Reference Number,Footnote Reference Superscript,SUPERS,Times 10 Point,Exposant 3 Point,Ref,de nota al pie,number, BVI fnr"/>
    <w:uiPriority w:val="99"/>
    <w:unhideWhenUsed/>
    <w:qFormat/>
    <w:rPr>
      <w:vertAlign w:val="superscript"/>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rFonts w:ascii="Calibri" w:eastAsia="Calibri" w:hAnsi="Calibri" w:cs="Times New Roman"/>
    </w:rPr>
  </w:style>
  <w:style w:type="paragraph" w:customStyle="1" w:styleId="a3520normalp11">
    <w:name w:val="a__35__20_normal_p11"/>
    <w:basedOn w:val="Normal"/>
    <w:pPr>
      <w:spacing w:after="120" w:line="240" w:lineRule="auto"/>
      <w:ind w:right="57"/>
      <w:jc w:val="both"/>
    </w:pPr>
    <w:rPr>
      <w:rFonts w:ascii="Times New Roman" w:eastAsia="Times New Roman" w:hAnsi="Times New Roman"/>
      <w:sz w:val="24"/>
      <w:szCs w:val="24"/>
      <w:lang w:eastAsia="en-GB"/>
    </w:rPr>
  </w:style>
  <w:style w:type="paragraph" w:customStyle="1" w:styleId="5normal">
    <w:name w:val="5normal"/>
    <w:basedOn w:val="Normal"/>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ps">
    <w:name w:val="hps"/>
  </w:style>
  <w:style w:type="paragraph" w:styleId="ListParagraph">
    <w:name w:val="List Paragraph"/>
    <w:basedOn w:val="Normal"/>
    <w:uiPriority w:val="34"/>
    <w:qFormat/>
    <w:pPr>
      <w:spacing w:after="160" w:line="259" w:lineRule="auto"/>
      <w:ind w:left="720"/>
      <w:contextualSpacing/>
    </w:pPr>
  </w:style>
  <w:style w:type="character" w:styleId="Strong">
    <w:name w:val="Strong"/>
    <w:uiPriority w:val="22"/>
    <w:qFormat/>
    <w:rPr>
      <w:b/>
      <w:bCs/>
    </w:rPr>
  </w:style>
  <w:style w:type="paragraph" w:customStyle="1" w:styleId="ECStandard">
    <w:name w:val="EC Standard"/>
    <w:basedOn w:val="Normal"/>
    <w:link w:val="ECStandardZchn"/>
    <w:qFormat/>
    <w:pPr>
      <w:spacing w:after="120" w:line="240" w:lineRule="auto"/>
      <w:jc w:val="both"/>
    </w:pPr>
    <w:rPr>
      <w:rFonts w:ascii="Times New Roman" w:eastAsia="Times New Roman" w:hAnsi="Times New Roman"/>
      <w:sz w:val="24"/>
      <w:szCs w:val="24"/>
      <w:lang w:eastAsia="de-DE"/>
    </w:rPr>
  </w:style>
  <w:style w:type="character" w:customStyle="1" w:styleId="ECStandardZchn">
    <w:name w:val="EC Standard Zchn"/>
    <w:link w:val="ECStandard"/>
    <w:rPr>
      <w:rFonts w:ascii="Times New Roman" w:eastAsia="Times New Roman" w:hAnsi="Times New Roman" w:cs="Times New Roman"/>
      <w:sz w:val="24"/>
      <w:szCs w:val="24"/>
      <w:lang w:eastAsia="de-DE"/>
    </w:rPr>
  </w:style>
  <w:style w:type="paragraph" w:styleId="Revision">
    <w:name w:val="Revision"/>
    <w:hidden/>
    <w:uiPriority w:val="99"/>
    <w:semiHidden/>
    <w:pPr>
      <w:spacing w:after="0" w:line="240" w:lineRule="auto"/>
    </w:pPr>
    <w:rPr>
      <w:rFonts w:ascii="Calibri" w:eastAsia="Calibri" w:hAnsi="Calibri" w:cs="Times New Roman"/>
    </w:rPr>
  </w:style>
  <w:style w:type="paragraph" w:customStyle="1" w:styleId="5Normal0">
    <w:name w:val="5 Normal"/>
    <w:basedOn w:val="Normal"/>
    <w:link w:val="5NormalChar"/>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ind w:right="57"/>
      <w:jc w:val="both"/>
    </w:pPr>
    <w:rPr>
      <w:rFonts w:ascii="Verdana" w:eastAsia="Times New Roman" w:hAnsi="Verdana"/>
      <w:spacing w:val="-2"/>
      <w:sz w:val="20"/>
      <w:szCs w:val="24"/>
      <w:lang w:eastAsia="en-GB"/>
    </w:rPr>
  </w:style>
  <w:style w:type="character" w:customStyle="1" w:styleId="5NormalChar">
    <w:name w:val="5 Normal Char"/>
    <w:link w:val="5Normal0"/>
    <w:locked/>
    <w:rPr>
      <w:rFonts w:ascii="Verdana" w:eastAsia="Times New Roman" w:hAnsi="Verdana" w:cs="Times New Roman"/>
      <w:spacing w:val="-2"/>
      <w:sz w:val="20"/>
      <w:szCs w:val="24"/>
      <w:lang w:eastAsia="en-GB"/>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pPr>
      <w:keepLines/>
      <w:spacing w:before="480" w:after="0"/>
      <w:outlineLvl w:val="9"/>
    </w:pPr>
    <w:rPr>
      <w:rFonts w:ascii="Cambria" w:hAnsi="Cambria"/>
      <w:color w:val="365F91"/>
      <w:kern w:val="0"/>
      <w:sz w:val="28"/>
      <w:szCs w:val="28"/>
      <w:lang w:eastAsia="ja-JP"/>
    </w:rPr>
  </w:style>
  <w:style w:type="paragraph" w:styleId="TOC1">
    <w:name w:val="toc 1"/>
    <w:basedOn w:val="Normal"/>
    <w:next w:val="Normal"/>
    <w:autoRedefine/>
    <w:uiPriority w:val="39"/>
    <w:unhideWhenUsed/>
    <w:qFormat/>
    <w:pPr>
      <w:tabs>
        <w:tab w:val="right" w:leader="dot" w:pos="9016"/>
      </w:tabs>
    </w:pPr>
  </w:style>
  <w:style w:type="paragraph" w:styleId="TOC2">
    <w:name w:val="toc 2"/>
    <w:basedOn w:val="Normal"/>
    <w:next w:val="Normal"/>
    <w:autoRedefine/>
    <w:uiPriority w:val="39"/>
    <w:unhideWhenUsed/>
    <w:qFormat/>
    <w:pPr>
      <w:ind w:left="220"/>
    </w:pPr>
  </w:style>
  <w:style w:type="paragraph" w:styleId="TOC3">
    <w:name w:val="toc 3"/>
    <w:basedOn w:val="Normal"/>
    <w:next w:val="Normal"/>
    <w:autoRedefine/>
    <w:uiPriority w:val="39"/>
    <w:unhideWhenUsed/>
    <w:qFormat/>
    <w:pPr>
      <w:ind w:left="440"/>
    </w:pPr>
  </w:style>
  <w:style w:type="paragraph" w:styleId="Caption">
    <w:name w:val="caption"/>
    <w:basedOn w:val="Normal"/>
    <w:next w:val="Normal"/>
    <w:uiPriority w:val="35"/>
    <w:unhideWhenUsed/>
    <w:qFormat/>
    <w:rPr>
      <w:b/>
      <w:bCs/>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 w:type="paragraph" w:styleId="TOC4">
    <w:name w:val="toc 4"/>
    <w:basedOn w:val="Normal"/>
    <w:next w:val="Normal"/>
    <w:autoRedefine/>
    <w:uiPriority w:val="39"/>
    <w:unhideWhenUsed/>
    <w:pPr>
      <w:spacing w:after="100"/>
      <w:ind w:left="660"/>
    </w:pPr>
  </w:style>
  <w:style w:type="paragraph" w:styleId="NoSpacing">
    <w:name w:val="No Spacing"/>
    <w:uiPriority w:val="1"/>
    <w:qFormat/>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character" w:customStyle="1" w:styleId="clear">
    <w:name w:val="clear"/>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TOCHeadingChar">
    <w:name w:val="TOC Heading Char"/>
    <w:basedOn w:val="Heading1Char"/>
    <w:link w:val="TOCHeading"/>
    <w:uiPriority w:val="39"/>
    <w:rPr>
      <w:rFonts w:ascii="Cambria" w:eastAsia="Times New Roman" w:hAnsi="Cambria" w:cs="Times New Roman"/>
      <w:b/>
      <w:bCs/>
      <w:color w:val="365F91"/>
      <w:kern w:val="32"/>
      <w:sz w:val="28"/>
      <w:szCs w:val="28"/>
      <w:lang w:val="lv-LV" w:eastAsia="ja-JP"/>
    </w:rPr>
  </w:style>
  <w:style w:type="character" w:customStyle="1" w:styleId="FooterSensitivityChar">
    <w:name w:val="Footer Sensitivity Char"/>
    <w:basedOn w:val="TOCHeadingChar"/>
    <w:link w:val="FooterSensitivity"/>
    <w:rPr>
      <w:rFonts w:ascii="Times New Roman" w:eastAsia="Calibri" w:hAnsi="Times New Roman" w:cs="Times New Roman"/>
      <w:b/>
      <w:bCs w:val="0"/>
      <w:color w:val="365F91"/>
      <w:kern w:val="32"/>
      <w:sz w:val="32"/>
      <w:szCs w:val="28"/>
      <w:lang w:val="lv-LV" w:eastAsia="ja-JP"/>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TOCHeadingChar"/>
    <w:link w:val="HeaderSensitivity"/>
    <w:rPr>
      <w:rFonts w:ascii="Times New Roman" w:eastAsia="Calibri" w:hAnsi="Times New Roman" w:cs="Times New Roman"/>
      <w:b/>
      <w:bCs w:val="0"/>
      <w:color w:val="365F91"/>
      <w:kern w:val="32"/>
      <w:sz w:val="32"/>
      <w:szCs w:val="28"/>
      <w:lang w:val="lv-LV" w:eastAsia="ja-JP"/>
    </w:rPr>
  </w:style>
  <w:style w:type="table" w:customStyle="1" w:styleId="TableGrid5">
    <w:name w:val="Table Grid5"/>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urityMarking">
    <w:name w:val="SecurityMarking"/>
    <w:basedOn w:val="Normal"/>
    <w:pPr>
      <w:spacing w:after="0"/>
      <w:ind w:left="5103"/>
    </w:pPr>
    <w:rPr>
      <w:rFonts w:ascii="Times New Roman" w:eastAsiaTheme="minorHAnsi" w:hAnsi="Times New Roman"/>
      <w:sz w:val="28"/>
    </w:rPr>
  </w:style>
  <w:style w:type="paragraph" w:customStyle="1" w:styleId="DateMarking">
    <w:name w:val="DateMarking"/>
    <w:basedOn w:val="Normal"/>
    <w:pPr>
      <w:spacing w:after="0"/>
      <w:ind w:left="5103"/>
    </w:pPr>
    <w:rPr>
      <w:rFonts w:ascii="Times New Roman" w:eastAsiaTheme="minorHAnsi" w:hAnsi="Times New Roman"/>
      <w:i/>
      <w:sz w:val="28"/>
    </w:rPr>
  </w:style>
  <w:style w:type="paragraph" w:customStyle="1" w:styleId="ReleasableTo">
    <w:name w:val="ReleasableTo"/>
    <w:basedOn w:val="Normal"/>
    <w:pPr>
      <w:spacing w:after="0"/>
      <w:ind w:left="5103"/>
    </w:pPr>
    <w:rPr>
      <w:rFonts w:ascii="Times New Roman" w:eastAsiaTheme="minorHAnsi" w:hAnsi="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61495">
      <w:bodyDiv w:val="1"/>
      <w:marLeft w:val="0"/>
      <w:marRight w:val="0"/>
      <w:marTop w:val="0"/>
      <w:marBottom w:val="0"/>
      <w:divBdr>
        <w:top w:val="none" w:sz="0" w:space="0" w:color="auto"/>
        <w:left w:val="none" w:sz="0" w:space="0" w:color="auto"/>
        <w:bottom w:val="none" w:sz="0" w:space="0" w:color="auto"/>
        <w:right w:val="none" w:sz="0" w:space="0" w:color="auto"/>
      </w:divBdr>
    </w:div>
    <w:div w:id="93596496">
      <w:bodyDiv w:val="1"/>
      <w:marLeft w:val="0"/>
      <w:marRight w:val="0"/>
      <w:marTop w:val="0"/>
      <w:marBottom w:val="0"/>
      <w:divBdr>
        <w:top w:val="none" w:sz="0" w:space="0" w:color="auto"/>
        <w:left w:val="none" w:sz="0" w:space="0" w:color="auto"/>
        <w:bottom w:val="none" w:sz="0" w:space="0" w:color="auto"/>
        <w:right w:val="none" w:sz="0" w:space="0" w:color="auto"/>
      </w:divBdr>
    </w:div>
    <w:div w:id="133959825">
      <w:bodyDiv w:val="1"/>
      <w:marLeft w:val="0"/>
      <w:marRight w:val="0"/>
      <w:marTop w:val="0"/>
      <w:marBottom w:val="0"/>
      <w:divBdr>
        <w:top w:val="none" w:sz="0" w:space="0" w:color="auto"/>
        <w:left w:val="none" w:sz="0" w:space="0" w:color="auto"/>
        <w:bottom w:val="none" w:sz="0" w:space="0" w:color="auto"/>
        <w:right w:val="none" w:sz="0" w:space="0" w:color="auto"/>
      </w:divBdr>
    </w:div>
    <w:div w:id="255866945">
      <w:bodyDiv w:val="1"/>
      <w:marLeft w:val="0"/>
      <w:marRight w:val="0"/>
      <w:marTop w:val="0"/>
      <w:marBottom w:val="0"/>
      <w:divBdr>
        <w:top w:val="none" w:sz="0" w:space="0" w:color="auto"/>
        <w:left w:val="none" w:sz="0" w:space="0" w:color="auto"/>
        <w:bottom w:val="none" w:sz="0" w:space="0" w:color="auto"/>
        <w:right w:val="none" w:sz="0" w:space="0" w:color="auto"/>
      </w:divBdr>
    </w:div>
    <w:div w:id="275797483">
      <w:bodyDiv w:val="1"/>
      <w:marLeft w:val="0"/>
      <w:marRight w:val="0"/>
      <w:marTop w:val="0"/>
      <w:marBottom w:val="0"/>
      <w:divBdr>
        <w:top w:val="none" w:sz="0" w:space="0" w:color="auto"/>
        <w:left w:val="none" w:sz="0" w:space="0" w:color="auto"/>
        <w:bottom w:val="none" w:sz="0" w:space="0" w:color="auto"/>
        <w:right w:val="none" w:sz="0" w:space="0" w:color="auto"/>
      </w:divBdr>
    </w:div>
    <w:div w:id="290207403">
      <w:bodyDiv w:val="1"/>
      <w:marLeft w:val="0"/>
      <w:marRight w:val="0"/>
      <w:marTop w:val="0"/>
      <w:marBottom w:val="0"/>
      <w:divBdr>
        <w:top w:val="none" w:sz="0" w:space="0" w:color="auto"/>
        <w:left w:val="none" w:sz="0" w:space="0" w:color="auto"/>
        <w:bottom w:val="none" w:sz="0" w:space="0" w:color="auto"/>
        <w:right w:val="none" w:sz="0" w:space="0" w:color="auto"/>
      </w:divBdr>
    </w:div>
    <w:div w:id="364062195">
      <w:bodyDiv w:val="1"/>
      <w:marLeft w:val="0"/>
      <w:marRight w:val="0"/>
      <w:marTop w:val="0"/>
      <w:marBottom w:val="0"/>
      <w:divBdr>
        <w:top w:val="none" w:sz="0" w:space="0" w:color="auto"/>
        <w:left w:val="none" w:sz="0" w:space="0" w:color="auto"/>
        <w:bottom w:val="none" w:sz="0" w:space="0" w:color="auto"/>
        <w:right w:val="none" w:sz="0" w:space="0" w:color="auto"/>
      </w:divBdr>
      <w:divsChild>
        <w:div w:id="1461415837">
          <w:marLeft w:val="0"/>
          <w:marRight w:val="0"/>
          <w:marTop w:val="0"/>
          <w:marBottom w:val="0"/>
          <w:divBdr>
            <w:top w:val="none" w:sz="0" w:space="0" w:color="auto"/>
            <w:left w:val="none" w:sz="0" w:space="0" w:color="auto"/>
            <w:bottom w:val="none" w:sz="0" w:space="0" w:color="auto"/>
            <w:right w:val="none" w:sz="0" w:space="0" w:color="auto"/>
          </w:divBdr>
        </w:div>
      </w:divsChild>
    </w:div>
    <w:div w:id="372270018">
      <w:bodyDiv w:val="1"/>
      <w:marLeft w:val="0"/>
      <w:marRight w:val="0"/>
      <w:marTop w:val="0"/>
      <w:marBottom w:val="0"/>
      <w:divBdr>
        <w:top w:val="none" w:sz="0" w:space="0" w:color="auto"/>
        <w:left w:val="none" w:sz="0" w:space="0" w:color="auto"/>
        <w:bottom w:val="none" w:sz="0" w:space="0" w:color="auto"/>
        <w:right w:val="none" w:sz="0" w:space="0" w:color="auto"/>
      </w:divBdr>
      <w:divsChild>
        <w:div w:id="2046782589">
          <w:marLeft w:val="0"/>
          <w:marRight w:val="0"/>
          <w:marTop w:val="0"/>
          <w:marBottom w:val="0"/>
          <w:divBdr>
            <w:top w:val="none" w:sz="0" w:space="0" w:color="auto"/>
            <w:left w:val="none" w:sz="0" w:space="0" w:color="auto"/>
            <w:bottom w:val="none" w:sz="0" w:space="0" w:color="auto"/>
            <w:right w:val="none" w:sz="0" w:space="0" w:color="auto"/>
          </w:divBdr>
        </w:div>
        <w:div w:id="302003568">
          <w:marLeft w:val="0"/>
          <w:marRight w:val="0"/>
          <w:marTop w:val="0"/>
          <w:marBottom w:val="0"/>
          <w:divBdr>
            <w:top w:val="none" w:sz="0" w:space="0" w:color="auto"/>
            <w:left w:val="none" w:sz="0" w:space="0" w:color="auto"/>
            <w:bottom w:val="none" w:sz="0" w:space="0" w:color="auto"/>
            <w:right w:val="none" w:sz="0" w:space="0" w:color="auto"/>
          </w:divBdr>
        </w:div>
        <w:div w:id="805123812">
          <w:marLeft w:val="0"/>
          <w:marRight w:val="0"/>
          <w:marTop w:val="0"/>
          <w:marBottom w:val="0"/>
          <w:divBdr>
            <w:top w:val="none" w:sz="0" w:space="0" w:color="auto"/>
            <w:left w:val="none" w:sz="0" w:space="0" w:color="auto"/>
            <w:bottom w:val="none" w:sz="0" w:space="0" w:color="auto"/>
            <w:right w:val="none" w:sz="0" w:space="0" w:color="auto"/>
          </w:divBdr>
        </w:div>
        <w:div w:id="1823505275">
          <w:marLeft w:val="0"/>
          <w:marRight w:val="0"/>
          <w:marTop w:val="0"/>
          <w:marBottom w:val="0"/>
          <w:divBdr>
            <w:top w:val="none" w:sz="0" w:space="0" w:color="auto"/>
            <w:left w:val="none" w:sz="0" w:space="0" w:color="auto"/>
            <w:bottom w:val="none" w:sz="0" w:space="0" w:color="auto"/>
            <w:right w:val="none" w:sz="0" w:space="0" w:color="auto"/>
          </w:divBdr>
        </w:div>
        <w:div w:id="975600029">
          <w:marLeft w:val="0"/>
          <w:marRight w:val="0"/>
          <w:marTop w:val="0"/>
          <w:marBottom w:val="0"/>
          <w:divBdr>
            <w:top w:val="none" w:sz="0" w:space="0" w:color="auto"/>
            <w:left w:val="none" w:sz="0" w:space="0" w:color="auto"/>
            <w:bottom w:val="none" w:sz="0" w:space="0" w:color="auto"/>
            <w:right w:val="none" w:sz="0" w:space="0" w:color="auto"/>
          </w:divBdr>
        </w:div>
      </w:divsChild>
    </w:div>
    <w:div w:id="382825163">
      <w:bodyDiv w:val="1"/>
      <w:marLeft w:val="0"/>
      <w:marRight w:val="0"/>
      <w:marTop w:val="0"/>
      <w:marBottom w:val="0"/>
      <w:divBdr>
        <w:top w:val="none" w:sz="0" w:space="0" w:color="auto"/>
        <w:left w:val="none" w:sz="0" w:space="0" w:color="auto"/>
        <w:bottom w:val="none" w:sz="0" w:space="0" w:color="auto"/>
        <w:right w:val="none" w:sz="0" w:space="0" w:color="auto"/>
      </w:divBdr>
      <w:divsChild>
        <w:div w:id="1072195181">
          <w:marLeft w:val="0"/>
          <w:marRight w:val="0"/>
          <w:marTop w:val="0"/>
          <w:marBottom w:val="0"/>
          <w:divBdr>
            <w:top w:val="none" w:sz="0" w:space="0" w:color="auto"/>
            <w:left w:val="none" w:sz="0" w:space="0" w:color="auto"/>
            <w:bottom w:val="none" w:sz="0" w:space="0" w:color="auto"/>
            <w:right w:val="none" w:sz="0" w:space="0" w:color="auto"/>
          </w:divBdr>
          <w:divsChild>
            <w:div w:id="1886259599">
              <w:marLeft w:val="0"/>
              <w:marRight w:val="0"/>
              <w:marTop w:val="0"/>
              <w:marBottom w:val="0"/>
              <w:divBdr>
                <w:top w:val="none" w:sz="0" w:space="0" w:color="auto"/>
                <w:left w:val="none" w:sz="0" w:space="0" w:color="auto"/>
                <w:bottom w:val="none" w:sz="0" w:space="0" w:color="auto"/>
                <w:right w:val="none" w:sz="0" w:space="0" w:color="auto"/>
              </w:divBdr>
              <w:divsChild>
                <w:div w:id="1709329333">
                  <w:marLeft w:val="0"/>
                  <w:marRight w:val="0"/>
                  <w:marTop w:val="0"/>
                  <w:marBottom w:val="0"/>
                  <w:divBdr>
                    <w:top w:val="none" w:sz="0" w:space="0" w:color="auto"/>
                    <w:left w:val="none" w:sz="0" w:space="0" w:color="auto"/>
                    <w:bottom w:val="none" w:sz="0" w:space="0" w:color="auto"/>
                    <w:right w:val="none" w:sz="0" w:space="0" w:color="auto"/>
                  </w:divBdr>
                  <w:divsChild>
                    <w:div w:id="1583679908">
                      <w:marLeft w:val="0"/>
                      <w:marRight w:val="0"/>
                      <w:marTop w:val="0"/>
                      <w:marBottom w:val="0"/>
                      <w:divBdr>
                        <w:top w:val="none" w:sz="0" w:space="0" w:color="auto"/>
                        <w:left w:val="none" w:sz="0" w:space="0" w:color="auto"/>
                        <w:bottom w:val="none" w:sz="0" w:space="0" w:color="auto"/>
                        <w:right w:val="none" w:sz="0" w:space="0" w:color="auto"/>
                      </w:divBdr>
                      <w:divsChild>
                        <w:div w:id="1452434118">
                          <w:marLeft w:val="0"/>
                          <w:marRight w:val="0"/>
                          <w:marTop w:val="0"/>
                          <w:marBottom w:val="0"/>
                          <w:divBdr>
                            <w:top w:val="none" w:sz="0" w:space="0" w:color="auto"/>
                            <w:left w:val="none" w:sz="0" w:space="0" w:color="auto"/>
                            <w:bottom w:val="none" w:sz="0" w:space="0" w:color="auto"/>
                            <w:right w:val="none" w:sz="0" w:space="0" w:color="auto"/>
                          </w:divBdr>
                          <w:divsChild>
                            <w:div w:id="1843818149">
                              <w:marLeft w:val="0"/>
                              <w:marRight w:val="0"/>
                              <w:marTop w:val="0"/>
                              <w:marBottom w:val="0"/>
                              <w:divBdr>
                                <w:top w:val="none" w:sz="0" w:space="0" w:color="auto"/>
                                <w:left w:val="none" w:sz="0" w:space="0" w:color="auto"/>
                                <w:bottom w:val="none" w:sz="0" w:space="0" w:color="auto"/>
                                <w:right w:val="none" w:sz="0" w:space="0" w:color="auto"/>
                              </w:divBdr>
                              <w:divsChild>
                                <w:div w:id="757288114">
                                  <w:marLeft w:val="0"/>
                                  <w:marRight w:val="0"/>
                                  <w:marTop w:val="0"/>
                                  <w:marBottom w:val="0"/>
                                  <w:divBdr>
                                    <w:top w:val="none" w:sz="0" w:space="0" w:color="auto"/>
                                    <w:left w:val="none" w:sz="0" w:space="0" w:color="auto"/>
                                    <w:bottom w:val="none" w:sz="0" w:space="0" w:color="auto"/>
                                    <w:right w:val="none" w:sz="0" w:space="0" w:color="auto"/>
                                  </w:divBdr>
                                  <w:divsChild>
                                    <w:div w:id="7983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711484">
      <w:bodyDiv w:val="1"/>
      <w:marLeft w:val="0"/>
      <w:marRight w:val="0"/>
      <w:marTop w:val="0"/>
      <w:marBottom w:val="0"/>
      <w:divBdr>
        <w:top w:val="none" w:sz="0" w:space="0" w:color="auto"/>
        <w:left w:val="none" w:sz="0" w:space="0" w:color="auto"/>
        <w:bottom w:val="none" w:sz="0" w:space="0" w:color="auto"/>
        <w:right w:val="none" w:sz="0" w:space="0" w:color="auto"/>
      </w:divBdr>
    </w:div>
    <w:div w:id="414322125">
      <w:bodyDiv w:val="1"/>
      <w:marLeft w:val="0"/>
      <w:marRight w:val="0"/>
      <w:marTop w:val="0"/>
      <w:marBottom w:val="0"/>
      <w:divBdr>
        <w:top w:val="none" w:sz="0" w:space="0" w:color="auto"/>
        <w:left w:val="none" w:sz="0" w:space="0" w:color="auto"/>
        <w:bottom w:val="none" w:sz="0" w:space="0" w:color="auto"/>
        <w:right w:val="none" w:sz="0" w:space="0" w:color="auto"/>
      </w:divBdr>
    </w:div>
    <w:div w:id="414471705">
      <w:bodyDiv w:val="1"/>
      <w:marLeft w:val="0"/>
      <w:marRight w:val="0"/>
      <w:marTop w:val="0"/>
      <w:marBottom w:val="0"/>
      <w:divBdr>
        <w:top w:val="none" w:sz="0" w:space="0" w:color="auto"/>
        <w:left w:val="none" w:sz="0" w:space="0" w:color="auto"/>
        <w:bottom w:val="none" w:sz="0" w:space="0" w:color="auto"/>
        <w:right w:val="none" w:sz="0" w:space="0" w:color="auto"/>
      </w:divBdr>
    </w:div>
    <w:div w:id="457072976">
      <w:bodyDiv w:val="1"/>
      <w:marLeft w:val="0"/>
      <w:marRight w:val="0"/>
      <w:marTop w:val="0"/>
      <w:marBottom w:val="0"/>
      <w:divBdr>
        <w:top w:val="none" w:sz="0" w:space="0" w:color="auto"/>
        <w:left w:val="none" w:sz="0" w:space="0" w:color="auto"/>
        <w:bottom w:val="none" w:sz="0" w:space="0" w:color="auto"/>
        <w:right w:val="none" w:sz="0" w:space="0" w:color="auto"/>
      </w:divBdr>
    </w:div>
    <w:div w:id="484980193">
      <w:bodyDiv w:val="1"/>
      <w:marLeft w:val="0"/>
      <w:marRight w:val="0"/>
      <w:marTop w:val="0"/>
      <w:marBottom w:val="0"/>
      <w:divBdr>
        <w:top w:val="none" w:sz="0" w:space="0" w:color="auto"/>
        <w:left w:val="none" w:sz="0" w:space="0" w:color="auto"/>
        <w:bottom w:val="none" w:sz="0" w:space="0" w:color="auto"/>
        <w:right w:val="none" w:sz="0" w:space="0" w:color="auto"/>
      </w:divBdr>
    </w:div>
    <w:div w:id="503974906">
      <w:bodyDiv w:val="1"/>
      <w:marLeft w:val="0"/>
      <w:marRight w:val="0"/>
      <w:marTop w:val="0"/>
      <w:marBottom w:val="0"/>
      <w:divBdr>
        <w:top w:val="none" w:sz="0" w:space="0" w:color="auto"/>
        <w:left w:val="none" w:sz="0" w:space="0" w:color="auto"/>
        <w:bottom w:val="none" w:sz="0" w:space="0" w:color="auto"/>
        <w:right w:val="none" w:sz="0" w:space="0" w:color="auto"/>
      </w:divBdr>
    </w:div>
    <w:div w:id="653223400">
      <w:bodyDiv w:val="1"/>
      <w:marLeft w:val="0"/>
      <w:marRight w:val="0"/>
      <w:marTop w:val="0"/>
      <w:marBottom w:val="0"/>
      <w:divBdr>
        <w:top w:val="none" w:sz="0" w:space="0" w:color="auto"/>
        <w:left w:val="none" w:sz="0" w:space="0" w:color="auto"/>
        <w:bottom w:val="none" w:sz="0" w:space="0" w:color="auto"/>
        <w:right w:val="none" w:sz="0" w:space="0" w:color="auto"/>
      </w:divBdr>
    </w:div>
    <w:div w:id="690716501">
      <w:bodyDiv w:val="1"/>
      <w:marLeft w:val="0"/>
      <w:marRight w:val="0"/>
      <w:marTop w:val="0"/>
      <w:marBottom w:val="0"/>
      <w:divBdr>
        <w:top w:val="none" w:sz="0" w:space="0" w:color="auto"/>
        <w:left w:val="none" w:sz="0" w:space="0" w:color="auto"/>
        <w:bottom w:val="none" w:sz="0" w:space="0" w:color="auto"/>
        <w:right w:val="none" w:sz="0" w:space="0" w:color="auto"/>
      </w:divBdr>
    </w:div>
    <w:div w:id="752094506">
      <w:bodyDiv w:val="1"/>
      <w:marLeft w:val="0"/>
      <w:marRight w:val="0"/>
      <w:marTop w:val="0"/>
      <w:marBottom w:val="0"/>
      <w:divBdr>
        <w:top w:val="none" w:sz="0" w:space="0" w:color="auto"/>
        <w:left w:val="none" w:sz="0" w:space="0" w:color="auto"/>
        <w:bottom w:val="none" w:sz="0" w:space="0" w:color="auto"/>
        <w:right w:val="none" w:sz="0" w:space="0" w:color="auto"/>
      </w:divBdr>
    </w:div>
    <w:div w:id="797643879">
      <w:bodyDiv w:val="1"/>
      <w:marLeft w:val="0"/>
      <w:marRight w:val="0"/>
      <w:marTop w:val="0"/>
      <w:marBottom w:val="0"/>
      <w:divBdr>
        <w:top w:val="none" w:sz="0" w:space="0" w:color="auto"/>
        <w:left w:val="none" w:sz="0" w:space="0" w:color="auto"/>
        <w:bottom w:val="none" w:sz="0" w:space="0" w:color="auto"/>
        <w:right w:val="none" w:sz="0" w:space="0" w:color="auto"/>
      </w:divBdr>
    </w:div>
    <w:div w:id="942765932">
      <w:bodyDiv w:val="1"/>
      <w:marLeft w:val="0"/>
      <w:marRight w:val="0"/>
      <w:marTop w:val="0"/>
      <w:marBottom w:val="0"/>
      <w:divBdr>
        <w:top w:val="none" w:sz="0" w:space="0" w:color="auto"/>
        <w:left w:val="none" w:sz="0" w:space="0" w:color="auto"/>
        <w:bottom w:val="none" w:sz="0" w:space="0" w:color="auto"/>
        <w:right w:val="none" w:sz="0" w:space="0" w:color="auto"/>
      </w:divBdr>
    </w:div>
    <w:div w:id="946347997">
      <w:bodyDiv w:val="1"/>
      <w:marLeft w:val="0"/>
      <w:marRight w:val="0"/>
      <w:marTop w:val="0"/>
      <w:marBottom w:val="0"/>
      <w:divBdr>
        <w:top w:val="none" w:sz="0" w:space="0" w:color="auto"/>
        <w:left w:val="none" w:sz="0" w:space="0" w:color="auto"/>
        <w:bottom w:val="none" w:sz="0" w:space="0" w:color="auto"/>
        <w:right w:val="none" w:sz="0" w:space="0" w:color="auto"/>
      </w:divBdr>
    </w:div>
    <w:div w:id="1109006879">
      <w:bodyDiv w:val="1"/>
      <w:marLeft w:val="0"/>
      <w:marRight w:val="0"/>
      <w:marTop w:val="0"/>
      <w:marBottom w:val="0"/>
      <w:divBdr>
        <w:top w:val="none" w:sz="0" w:space="0" w:color="auto"/>
        <w:left w:val="none" w:sz="0" w:space="0" w:color="auto"/>
        <w:bottom w:val="none" w:sz="0" w:space="0" w:color="auto"/>
        <w:right w:val="none" w:sz="0" w:space="0" w:color="auto"/>
      </w:divBdr>
    </w:div>
    <w:div w:id="1168448656">
      <w:bodyDiv w:val="1"/>
      <w:marLeft w:val="0"/>
      <w:marRight w:val="0"/>
      <w:marTop w:val="0"/>
      <w:marBottom w:val="0"/>
      <w:divBdr>
        <w:top w:val="none" w:sz="0" w:space="0" w:color="auto"/>
        <w:left w:val="none" w:sz="0" w:space="0" w:color="auto"/>
        <w:bottom w:val="none" w:sz="0" w:space="0" w:color="auto"/>
        <w:right w:val="none" w:sz="0" w:space="0" w:color="auto"/>
      </w:divBdr>
    </w:div>
    <w:div w:id="1230732294">
      <w:bodyDiv w:val="1"/>
      <w:marLeft w:val="0"/>
      <w:marRight w:val="0"/>
      <w:marTop w:val="0"/>
      <w:marBottom w:val="0"/>
      <w:divBdr>
        <w:top w:val="none" w:sz="0" w:space="0" w:color="auto"/>
        <w:left w:val="none" w:sz="0" w:space="0" w:color="auto"/>
        <w:bottom w:val="none" w:sz="0" w:space="0" w:color="auto"/>
        <w:right w:val="none" w:sz="0" w:space="0" w:color="auto"/>
      </w:divBdr>
    </w:div>
    <w:div w:id="1268191800">
      <w:bodyDiv w:val="1"/>
      <w:marLeft w:val="0"/>
      <w:marRight w:val="0"/>
      <w:marTop w:val="0"/>
      <w:marBottom w:val="0"/>
      <w:divBdr>
        <w:top w:val="none" w:sz="0" w:space="0" w:color="auto"/>
        <w:left w:val="none" w:sz="0" w:space="0" w:color="auto"/>
        <w:bottom w:val="none" w:sz="0" w:space="0" w:color="auto"/>
        <w:right w:val="none" w:sz="0" w:space="0" w:color="auto"/>
      </w:divBdr>
    </w:div>
    <w:div w:id="1344358518">
      <w:bodyDiv w:val="1"/>
      <w:marLeft w:val="0"/>
      <w:marRight w:val="0"/>
      <w:marTop w:val="0"/>
      <w:marBottom w:val="0"/>
      <w:divBdr>
        <w:top w:val="none" w:sz="0" w:space="0" w:color="auto"/>
        <w:left w:val="none" w:sz="0" w:space="0" w:color="auto"/>
        <w:bottom w:val="none" w:sz="0" w:space="0" w:color="auto"/>
        <w:right w:val="none" w:sz="0" w:space="0" w:color="auto"/>
      </w:divBdr>
    </w:div>
    <w:div w:id="1427270544">
      <w:bodyDiv w:val="1"/>
      <w:marLeft w:val="0"/>
      <w:marRight w:val="0"/>
      <w:marTop w:val="0"/>
      <w:marBottom w:val="0"/>
      <w:divBdr>
        <w:top w:val="none" w:sz="0" w:space="0" w:color="auto"/>
        <w:left w:val="none" w:sz="0" w:space="0" w:color="auto"/>
        <w:bottom w:val="none" w:sz="0" w:space="0" w:color="auto"/>
        <w:right w:val="none" w:sz="0" w:space="0" w:color="auto"/>
      </w:divBdr>
    </w:div>
    <w:div w:id="1436095905">
      <w:bodyDiv w:val="1"/>
      <w:marLeft w:val="0"/>
      <w:marRight w:val="0"/>
      <w:marTop w:val="0"/>
      <w:marBottom w:val="0"/>
      <w:divBdr>
        <w:top w:val="none" w:sz="0" w:space="0" w:color="auto"/>
        <w:left w:val="none" w:sz="0" w:space="0" w:color="auto"/>
        <w:bottom w:val="none" w:sz="0" w:space="0" w:color="auto"/>
        <w:right w:val="none" w:sz="0" w:space="0" w:color="auto"/>
      </w:divBdr>
    </w:div>
    <w:div w:id="1444837507">
      <w:bodyDiv w:val="1"/>
      <w:marLeft w:val="0"/>
      <w:marRight w:val="0"/>
      <w:marTop w:val="0"/>
      <w:marBottom w:val="0"/>
      <w:divBdr>
        <w:top w:val="none" w:sz="0" w:space="0" w:color="auto"/>
        <w:left w:val="none" w:sz="0" w:space="0" w:color="auto"/>
        <w:bottom w:val="none" w:sz="0" w:space="0" w:color="auto"/>
        <w:right w:val="none" w:sz="0" w:space="0" w:color="auto"/>
      </w:divBdr>
    </w:div>
    <w:div w:id="1589078938">
      <w:bodyDiv w:val="1"/>
      <w:marLeft w:val="0"/>
      <w:marRight w:val="0"/>
      <w:marTop w:val="0"/>
      <w:marBottom w:val="0"/>
      <w:divBdr>
        <w:top w:val="none" w:sz="0" w:space="0" w:color="auto"/>
        <w:left w:val="none" w:sz="0" w:space="0" w:color="auto"/>
        <w:bottom w:val="none" w:sz="0" w:space="0" w:color="auto"/>
        <w:right w:val="none" w:sz="0" w:space="0" w:color="auto"/>
      </w:divBdr>
    </w:div>
    <w:div w:id="1713337364">
      <w:bodyDiv w:val="1"/>
      <w:marLeft w:val="0"/>
      <w:marRight w:val="0"/>
      <w:marTop w:val="0"/>
      <w:marBottom w:val="0"/>
      <w:divBdr>
        <w:top w:val="none" w:sz="0" w:space="0" w:color="auto"/>
        <w:left w:val="none" w:sz="0" w:space="0" w:color="auto"/>
        <w:bottom w:val="none" w:sz="0" w:space="0" w:color="auto"/>
        <w:right w:val="none" w:sz="0" w:space="0" w:color="auto"/>
      </w:divBdr>
    </w:div>
    <w:div w:id="1733575401">
      <w:bodyDiv w:val="1"/>
      <w:marLeft w:val="0"/>
      <w:marRight w:val="0"/>
      <w:marTop w:val="0"/>
      <w:marBottom w:val="0"/>
      <w:divBdr>
        <w:top w:val="none" w:sz="0" w:space="0" w:color="auto"/>
        <w:left w:val="none" w:sz="0" w:space="0" w:color="auto"/>
        <w:bottom w:val="none" w:sz="0" w:space="0" w:color="auto"/>
        <w:right w:val="none" w:sz="0" w:space="0" w:color="auto"/>
      </w:divBdr>
    </w:div>
    <w:div w:id="1739478285">
      <w:bodyDiv w:val="1"/>
      <w:marLeft w:val="0"/>
      <w:marRight w:val="0"/>
      <w:marTop w:val="0"/>
      <w:marBottom w:val="0"/>
      <w:divBdr>
        <w:top w:val="none" w:sz="0" w:space="0" w:color="auto"/>
        <w:left w:val="none" w:sz="0" w:space="0" w:color="auto"/>
        <w:bottom w:val="none" w:sz="0" w:space="0" w:color="auto"/>
        <w:right w:val="none" w:sz="0" w:space="0" w:color="auto"/>
      </w:divBdr>
    </w:div>
    <w:div w:id="1745953170">
      <w:bodyDiv w:val="1"/>
      <w:marLeft w:val="0"/>
      <w:marRight w:val="0"/>
      <w:marTop w:val="0"/>
      <w:marBottom w:val="0"/>
      <w:divBdr>
        <w:top w:val="none" w:sz="0" w:space="0" w:color="auto"/>
        <w:left w:val="none" w:sz="0" w:space="0" w:color="auto"/>
        <w:bottom w:val="none" w:sz="0" w:space="0" w:color="auto"/>
        <w:right w:val="none" w:sz="0" w:space="0" w:color="auto"/>
      </w:divBdr>
    </w:div>
    <w:div w:id="1765101787">
      <w:bodyDiv w:val="1"/>
      <w:marLeft w:val="0"/>
      <w:marRight w:val="0"/>
      <w:marTop w:val="0"/>
      <w:marBottom w:val="0"/>
      <w:divBdr>
        <w:top w:val="none" w:sz="0" w:space="0" w:color="auto"/>
        <w:left w:val="none" w:sz="0" w:space="0" w:color="auto"/>
        <w:bottom w:val="none" w:sz="0" w:space="0" w:color="auto"/>
        <w:right w:val="none" w:sz="0" w:space="0" w:color="auto"/>
      </w:divBdr>
    </w:div>
    <w:div w:id="1765104420">
      <w:bodyDiv w:val="1"/>
      <w:marLeft w:val="0"/>
      <w:marRight w:val="0"/>
      <w:marTop w:val="0"/>
      <w:marBottom w:val="0"/>
      <w:divBdr>
        <w:top w:val="none" w:sz="0" w:space="0" w:color="auto"/>
        <w:left w:val="none" w:sz="0" w:space="0" w:color="auto"/>
        <w:bottom w:val="none" w:sz="0" w:space="0" w:color="auto"/>
        <w:right w:val="none" w:sz="0" w:space="0" w:color="auto"/>
      </w:divBdr>
    </w:div>
    <w:div w:id="1793939123">
      <w:bodyDiv w:val="1"/>
      <w:marLeft w:val="0"/>
      <w:marRight w:val="0"/>
      <w:marTop w:val="0"/>
      <w:marBottom w:val="0"/>
      <w:divBdr>
        <w:top w:val="none" w:sz="0" w:space="0" w:color="auto"/>
        <w:left w:val="none" w:sz="0" w:space="0" w:color="auto"/>
        <w:bottom w:val="none" w:sz="0" w:space="0" w:color="auto"/>
        <w:right w:val="none" w:sz="0" w:space="0" w:color="auto"/>
      </w:divBdr>
    </w:div>
    <w:div w:id="1859201110">
      <w:bodyDiv w:val="1"/>
      <w:marLeft w:val="0"/>
      <w:marRight w:val="0"/>
      <w:marTop w:val="0"/>
      <w:marBottom w:val="0"/>
      <w:divBdr>
        <w:top w:val="none" w:sz="0" w:space="0" w:color="auto"/>
        <w:left w:val="none" w:sz="0" w:space="0" w:color="auto"/>
        <w:bottom w:val="none" w:sz="0" w:space="0" w:color="auto"/>
        <w:right w:val="none" w:sz="0" w:space="0" w:color="auto"/>
      </w:divBdr>
      <w:divsChild>
        <w:div w:id="1262105219">
          <w:marLeft w:val="0"/>
          <w:marRight w:val="0"/>
          <w:marTop w:val="0"/>
          <w:marBottom w:val="0"/>
          <w:divBdr>
            <w:top w:val="none" w:sz="0" w:space="0" w:color="auto"/>
            <w:left w:val="none" w:sz="0" w:space="0" w:color="auto"/>
            <w:bottom w:val="none" w:sz="0" w:space="0" w:color="auto"/>
            <w:right w:val="none" w:sz="0" w:space="0" w:color="auto"/>
          </w:divBdr>
          <w:divsChild>
            <w:div w:id="1047146044">
              <w:marLeft w:val="0"/>
              <w:marRight w:val="0"/>
              <w:marTop w:val="0"/>
              <w:marBottom w:val="0"/>
              <w:divBdr>
                <w:top w:val="none" w:sz="0" w:space="0" w:color="auto"/>
                <w:left w:val="none" w:sz="0" w:space="0" w:color="auto"/>
                <w:bottom w:val="none" w:sz="0" w:space="0" w:color="auto"/>
                <w:right w:val="none" w:sz="0" w:space="0" w:color="auto"/>
              </w:divBdr>
              <w:divsChild>
                <w:div w:id="809054003">
                  <w:marLeft w:val="0"/>
                  <w:marRight w:val="0"/>
                  <w:marTop w:val="0"/>
                  <w:marBottom w:val="0"/>
                  <w:divBdr>
                    <w:top w:val="none" w:sz="0" w:space="0" w:color="auto"/>
                    <w:left w:val="none" w:sz="0" w:space="0" w:color="auto"/>
                    <w:bottom w:val="none" w:sz="0" w:space="0" w:color="auto"/>
                    <w:right w:val="none" w:sz="0" w:space="0" w:color="auto"/>
                  </w:divBdr>
                  <w:divsChild>
                    <w:div w:id="1645574807">
                      <w:marLeft w:val="0"/>
                      <w:marRight w:val="0"/>
                      <w:marTop w:val="0"/>
                      <w:marBottom w:val="0"/>
                      <w:divBdr>
                        <w:top w:val="none" w:sz="0" w:space="0" w:color="auto"/>
                        <w:left w:val="none" w:sz="0" w:space="0" w:color="auto"/>
                        <w:bottom w:val="none" w:sz="0" w:space="0" w:color="auto"/>
                        <w:right w:val="none" w:sz="0" w:space="0" w:color="auto"/>
                      </w:divBdr>
                      <w:divsChild>
                        <w:div w:id="980187837">
                          <w:marLeft w:val="0"/>
                          <w:marRight w:val="0"/>
                          <w:marTop w:val="0"/>
                          <w:marBottom w:val="0"/>
                          <w:divBdr>
                            <w:top w:val="none" w:sz="0" w:space="0" w:color="auto"/>
                            <w:left w:val="none" w:sz="0" w:space="0" w:color="auto"/>
                            <w:bottom w:val="none" w:sz="0" w:space="0" w:color="auto"/>
                            <w:right w:val="none" w:sz="0" w:space="0" w:color="auto"/>
                          </w:divBdr>
                          <w:divsChild>
                            <w:div w:id="600185095">
                              <w:marLeft w:val="0"/>
                              <w:marRight w:val="0"/>
                              <w:marTop w:val="0"/>
                              <w:marBottom w:val="0"/>
                              <w:divBdr>
                                <w:top w:val="none" w:sz="0" w:space="0" w:color="auto"/>
                                <w:left w:val="none" w:sz="0" w:space="0" w:color="auto"/>
                                <w:bottom w:val="none" w:sz="0" w:space="0" w:color="auto"/>
                                <w:right w:val="none" w:sz="0" w:space="0" w:color="auto"/>
                              </w:divBdr>
                              <w:divsChild>
                                <w:div w:id="421731457">
                                  <w:marLeft w:val="0"/>
                                  <w:marRight w:val="0"/>
                                  <w:marTop w:val="0"/>
                                  <w:marBottom w:val="0"/>
                                  <w:divBdr>
                                    <w:top w:val="none" w:sz="0" w:space="0" w:color="auto"/>
                                    <w:left w:val="none" w:sz="0" w:space="0" w:color="auto"/>
                                    <w:bottom w:val="none" w:sz="0" w:space="0" w:color="auto"/>
                                    <w:right w:val="none" w:sz="0" w:space="0" w:color="auto"/>
                                  </w:divBdr>
                                  <w:divsChild>
                                    <w:div w:id="1216620166">
                                      <w:marLeft w:val="0"/>
                                      <w:marRight w:val="0"/>
                                      <w:marTop w:val="0"/>
                                      <w:marBottom w:val="0"/>
                                      <w:divBdr>
                                        <w:top w:val="none" w:sz="0" w:space="0" w:color="auto"/>
                                        <w:left w:val="none" w:sz="0" w:space="0" w:color="auto"/>
                                        <w:bottom w:val="none" w:sz="0" w:space="0" w:color="auto"/>
                                        <w:right w:val="none" w:sz="0" w:space="0" w:color="auto"/>
                                      </w:divBdr>
                                    </w:div>
                                    <w:div w:id="1953970728">
                                      <w:marLeft w:val="0"/>
                                      <w:marRight w:val="0"/>
                                      <w:marTop w:val="0"/>
                                      <w:marBottom w:val="0"/>
                                      <w:divBdr>
                                        <w:top w:val="none" w:sz="0" w:space="0" w:color="auto"/>
                                        <w:left w:val="none" w:sz="0" w:space="0" w:color="auto"/>
                                        <w:bottom w:val="none" w:sz="0" w:space="0" w:color="auto"/>
                                        <w:right w:val="none" w:sz="0" w:space="0" w:color="auto"/>
                                      </w:divBdr>
                                      <w:divsChild>
                                        <w:div w:id="10985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808309">
      <w:bodyDiv w:val="1"/>
      <w:marLeft w:val="0"/>
      <w:marRight w:val="0"/>
      <w:marTop w:val="0"/>
      <w:marBottom w:val="0"/>
      <w:divBdr>
        <w:top w:val="none" w:sz="0" w:space="0" w:color="auto"/>
        <w:left w:val="none" w:sz="0" w:space="0" w:color="auto"/>
        <w:bottom w:val="none" w:sz="0" w:space="0" w:color="auto"/>
        <w:right w:val="none" w:sz="0" w:space="0" w:color="auto"/>
      </w:divBdr>
    </w:div>
    <w:div w:id="2016879733">
      <w:bodyDiv w:val="1"/>
      <w:marLeft w:val="0"/>
      <w:marRight w:val="0"/>
      <w:marTop w:val="0"/>
      <w:marBottom w:val="0"/>
      <w:divBdr>
        <w:top w:val="none" w:sz="0" w:space="0" w:color="auto"/>
        <w:left w:val="none" w:sz="0" w:space="0" w:color="auto"/>
        <w:bottom w:val="none" w:sz="0" w:space="0" w:color="auto"/>
        <w:right w:val="none" w:sz="0" w:space="0" w:color="auto"/>
      </w:divBdr>
    </w:div>
    <w:div w:id="2020963727">
      <w:bodyDiv w:val="1"/>
      <w:marLeft w:val="0"/>
      <w:marRight w:val="0"/>
      <w:marTop w:val="0"/>
      <w:marBottom w:val="0"/>
      <w:divBdr>
        <w:top w:val="none" w:sz="0" w:space="0" w:color="auto"/>
        <w:left w:val="none" w:sz="0" w:space="0" w:color="auto"/>
        <w:bottom w:val="none" w:sz="0" w:space="0" w:color="auto"/>
        <w:right w:val="none" w:sz="0" w:space="0" w:color="auto"/>
      </w:divBdr>
    </w:div>
    <w:div w:id="2024278107">
      <w:bodyDiv w:val="1"/>
      <w:marLeft w:val="0"/>
      <w:marRight w:val="0"/>
      <w:marTop w:val="0"/>
      <w:marBottom w:val="0"/>
      <w:divBdr>
        <w:top w:val="none" w:sz="0" w:space="0" w:color="auto"/>
        <w:left w:val="none" w:sz="0" w:space="0" w:color="auto"/>
        <w:bottom w:val="none" w:sz="0" w:space="0" w:color="auto"/>
        <w:right w:val="none" w:sz="0" w:space="0" w:color="auto"/>
      </w:divBdr>
    </w:div>
    <w:div w:id="2098013947">
      <w:bodyDiv w:val="1"/>
      <w:marLeft w:val="0"/>
      <w:marRight w:val="0"/>
      <w:marTop w:val="0"/>
      <w:marBottom w:val="0"/>
      <w:divBdr>
        <w:top w:val="none" w:sz="0" w:space="0" w:color="auto"/>
        <w:left w:val="none" w:sz="0" w:space="0" w:color="auto"/>
        <w:bottom w:val="none" w:sz="0" w:space="0" w:color="auto"/>
        <w:right w:val="none" w:sz="0" w:space="0" w:color="auto"/>
      </w:divBdr>
    </w:div>
    <w:div w:id="212075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4.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eader" Target="header9.xml"/><Relationship Id="rId42" Type="http://schemas.openxmlformats.org/officeDocument/2006/relationships/footer" Target="footer11.xml"/><Relationship Id="rId47"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image" Target="media/image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footer" Target="footer6.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image" Target="media/image8.jpeg"/><Relationship Id="rId40" Type="http://schemas.openxmlformats.org/officeDocument/2006/relationships/header" Target="header1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6.xml"/><Relationship Id="rId36"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hyperlink" Target="http://epp.eurostat.ec.europa.eu/tgm/table.do?tab=table&amp;init=1&amp;plugin=1&amp;language=en&amp;pcode=tec00115" TargetMode="External"/><Relationship Id="rId31" Type="http://schemas.openxmlformats.org/officeDocument/2006/relationships/header" Target="header8.xml"/><Relationship Id="rId44"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chart" Target="charts/chart2.xml"/><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header" Target="header12.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LV/TXT/?qid=1536584176375&amp;uri=CELEX:02014L0065-20160701" TargetMode="External"/><Relationship Id="rId2" Type="http://schemas.openxmlformats.org/officeDocument/2006/relationships/hyperlink" Target="http://eur-lex.europa.eu/legal-content/LV/TXT/?uri=uriserv:OJ.L_.2018.076.01.0003.01.LAV&amp;toc=OJ:L:2018:076:TOC" TargetMode="External"/><Relationship Id="rId1" Type="http://schemas.openxmlformats.org/officeDocument/2006/relationships/hyperlink" Target="http://ec.europa.eu/clima/policies/ets/auctioning/documentation_en.htm" TargetMode="External"/><Relationship Id="rId5" Type="http://schemas.openxmlformats.org/officeDocument/2006/relationships/hyperlink" Target="https://ec.europa.eu/clima/sites/clima/files/ets/reform/docs/c_2019_3288_en.pdf" TargetMode="External"/><Relationship Id="rId4" Type="http://schemas.openxmlformats.org/officeDocument/2006/relationships/hyperlink" Target="https://ec.europa.eu/clima/sites/clima/files/ets/reform/docs/c_2018_2801_en.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5"/>
          <c:order val="0"/>
          <c:tx>
            <c:strRef>
              <c:f>'MSR composition'!$A$7</c:f>
              <c:strCache>
                <c:ptCount val="1"/>
                <c:pt idx="0">
                  <c:v>NER 300 monetisation by EIB</c:v>
                </c:pt>
              </c:strCache>
            </c:strRef>
          </c:tx>
          <c:spPr>
            <a:solidFill>
              <a:schemeClr val="accent6"/>
            </a:solidFill>
            <a:ln>
              <a:noFill/>
            </a:ln>
            <a:effectLst/>
          </c:spPr>
          <c:invertIfNegative val="0"/>
          <c:val>
            <c:numRef>
              <c:f>'MSR composition'!$B$7</c:f>
              <c:numCache>
                <c:formatCode>#,##0</c:formatCode>
                <c:ptCount val="1"/>
                <c:pt idx="0">
                  <c:v>300000000</c:v>
                </c:pt>
              </c:numCache>
            </c:numRef>
          </c:val>
          <c:extLst xmlns:c16r2="http://schemas.microsoft.com/office/drawing/2015/06/chart">
            <c:ext xmlns:c16="http://schemas.microsoft.com/office/drawing/2014/chart" uri="{C3380CC4-5D6E-409C-BE32-E72D297353CC}">
              <c16:uniqueId val="{00000000-9912-4BFD-8E82-9FBB85F3FD61}"/>
            </c:ext>
          </c:extLst>
        </c:ser>
        <c:ser>
          <c:idx val="7"/>
          <c:order val="1"/>
          <c:tx>
            <c:strRef>
              <c:f>'MSR composition'!$A$9</c:f>
              <c:strCache>
                <c:ptCount val="1"/>
                <c:pt idx="0">
                  <c:v>Early auctions</c:v>
                </c:pt>
              </c:strCache>
            </c:strRef>
          </c:tx>
          <c:spPr>
            <a:solidFill>
              <a:schemeClr val="accent2">
                <a:lumMod val="60000"/>
              </a:schemeClr>
            </a:solidFill>
            <a:ln>
              <a:noFill/>
            </a:ln>
            <a:effectLst/>
          </c:spPr>
          <c:invertIfNegative val="0"/>
          <c:val>
            <c:numRef>
              <c:f>'MSR composition'!$B$9</c:f>
              <c:numCache>
                <c:formatCode>_-* #,##0\ _€_-;\-* #,##0\ _€_-;_-* "-"??\ _€_-;_-@_-</c:formatCode>
                <c:ptCount val="1"/>
                <c:pt idx="0">
                  <c:v>89701500</c:v>
                </c:pt>
              </c:numCache>
            </c:numRef>
          </c:val>
          <c:extLst xmlns:c16r2="http://schemas.microsoft.com/office/drawing/2015/06/chart">
            <c:ext xmlns:c16="http://schemas.microsoft.com/office/drawing/2014/chart" uri="{C3380CC4-5D6E-409C-BE32-E72D297353CC}">
              <c16:uniqueId val="{00000001-9912-4BFD-8E82-9FBB85F3FD61}"/>
            </c:ext>
          </c:extLst>
        </c:ser>
        <c:ser>
          <c:idx val="0"/>
          <c:order val="2"/>
          <c:tx>
            <c:strRef>
              <c:f>'MSR composition'!$A$2</c:f>
              <c:strCache>
                <c:ptCount val="1"/>
                <c:pt idx="0">
                  <c:v>Banking from phase 2</c:v>
                </c:pt>
              </c:strCache>
            </c:strRef>
          </c:tx>
          <c:spPr>
            <a:solidFill>
              <a:schemeClr val="accent1"/>
            </a:solidFill>
            <a:ln>
              <a:noFill/>
            </a:ln>
            <a:effectLst/>
          </c:spPr>
          <c:invertIfNegative val="0"/>
          <c:val>
            <c:numRef>
              <c:f>'MSR composition'!$B$2</c:f>
              <c:numCache>
                <c:formatCode>#,##0</c:formatCode>
                <c:ptCount val="1"/>
                <c:pt idx="0">
                  <c:v>1749540826</c:v>
                </c:pt>
              </c:numCache>
            </c:numRef>
          </c:val>
          <c:extLst xmlns:c16r2="http://schemas.microsoft.com/office/drawing/2015/06/chart">
            <c:ext xmlns:c16="http://schemas.microsoft.com/office/drawing/2014/chart" uri="{C3380CC4-5D6E-409C-BE32-E72D297353CC}">
              <c16:uniqueId val="{00000002-9912-4BFD-8E82-9FBB85F3FD61}"/>
            </c:ext>
          </c:extLst>
        </c:ser>
        <c:ser>
          <c:idx val="6"/>
          <c:order val="3"/>
          <c:tx>
            <c:strRef>
              <c:f>'MSR composition'!$A$8</c:f>
              <c:strCache>
                <c:ptCount val="1"/>
                <c:pt idx="0">
                  <c:v>International credits exchanged</c:v>
                </c:pt>
              </c:strCache>
            </c:strRef>
          </c:tx>
          <c:spPr>
            <a:solidFill>
              <a:schemeClr val="accent1">
                <a:lumMod val="60000"/>
              </a:schemeClr>
            </a:solidFill>
            <a:ln>
              <a:noFill/>
            </a:ln>
            <a:effectLst/>
          </c:spPr>
          <c:invertIfNegative val="0"/>
          <c:val>
            <c:numRef>
              <c:f>'MSR composition'!$B$8</c:f>
              <c:numCache>
                <c:formatCode>#,##0</c:formatCode>
                <c:ptCount val="1"/>
                <c:pt idx="0">
                  <c:v>434049616</c:v>
                </c:pt>
              </c:numCache>
            </c:numRef>
          </c:val>
          <c:extLst xmlns:c16r2="http://schemas.microsoft.com/office/drawing/2015/06/chart">
            <c:ext xmlns:c16="http://schemas.microsoft.com/office/drawing/2014/chart" uri="{C3380CC4-5D6E-409C-BE32-E72D297353CC}">
              <c16:uniqueId val="{00000003-9912-4BFD-8E82-9FBB85F3FD61}"/>
            </c:ext>
          </c:extLst>
        </c:ser>
        <c:ser>
          <c:idx val="1"/>
          <c:order val="4"/>
          <c:tx>
            <c:strRef>
              <c:f>'MSR composition'!$A$3</c:f>
              <c:strCache>
                <c:ptCount val="1"/>
                <c:pt idx="0">
                  <c:v>Free allocation</c:v>
                </c:pt>
              </c:strCache>
            </c:strRef>
          </c:tx>
          <c:spPr>
            <a:solidFill>
              <a:schemeClr val="accent2"/>
            </a:solidFill>
            <a:ln>
              <a:noFill/>
            </a:ln>
            <a:effectLst/>
          </c:spPr>
          <c:invertIfNegative val="0"/>
          <c:val>
            <c:numRef>
              <c:f>'MSR composition'!$B$3</c:f>
              <c:numCache>
                <c:formatCode>General</c:formatCode>
                <c:ptCount val="1"/>
                <c:pt idx="0">
                  <c:v>4606725157</c:v>
                </c:pt>
              </c:numCache>
            </c:numRef>
          </c:val>
          <c:extLst xmlns:c16r2="http://schemas.microsoft.com/office/drawing/2015/06/chart">
            <c:ext xmlns:c16="http://schemas.microsoft.com/office/drawing/2014/chart" uri="{C3380CC4-5D6E-409C-BE32-E72D297353CC}">
              <c16:uniqueId val="{00000004-9912-4BFD-8E82-9FBB85F3FD61}"/>
            </c:ext>
          </c:extLst>
        </c:ser>
        <c:ser>
          <c:idx val="2"/>
          <c:order val="5"/>
          <c:tx>
            <c:strRef>
              <c:f>'MSR composition'!$A$4</c:f>
              <c:strCache>
                <c:ptCount val="1"/>
                <c:pt idx="0">
                  <c:v>Free allocation (NER)</c:v>
                </c:pt>
              </c:strCache>
            </c:strRef>
          </c:tx>
          <c:spPr>
            <a:solidFill>
              <a:schemeClr val="accent3"/>
            </a:solidFill>
            <a:ln>
              <a:noFill/>
            </a:ln>
            <a:effectLst/>
          </c:spPr>
          <c:invertIfNegative val="0"/>
          <c:val>
            <c:numRef>
              <c:f>'MSR composition'!$B$4</c:f>
              <c:numCache>
                <c:formatCode>General</c:formatCode>
                <c:ptCount val="1"/>
                <c:pt idx="0">
                  <c:v>113573605</c:v>
                </c:pt>
              </c:numCache>
            </c:numRef>
          </c:val>
          <c:extLst xmlns:c16r2="http://schemas.microsoft.com/office/drawing/2015/06/chart">
            <c:ext xmlns:c16="http://schemas.microsoft.com/office/drawing/2014/chart" uri="{C3380CC4-5D6E-409C-BE32-E72D297353CC}">
              <c16:uniqueId val="{00000005-9912-4BFD-8E82-9FBB85F3FD61}"/>
            </c:ext>
          </c:extLst>
        </c:ser>
        <c:ser>
          <c:idx val="3"/>
          <c:order val="6"/>
          <c:tx>
            <c:strRef>
              <c:f>'MSR composition'!$A$5</c:f>
              <c:strCache>
                <c:ptCount val="1"/>
                <c:pt idx="0">
                  <c:v>Free allocation (10c)</c:v>
                </c:pt>
              </c:strCache>
            </c:strRef>
          </c:tx>
          <c:spPr>
            <a:solidFill>
              <a:schemeClr val="accent4"/>
            </a:solidFill>
            <a:ln>
              <a:noFill/>
            </a:ln>
            <a:effectLst/>
          </c:spPr>
          <c:invertIfNegative val="0"/>
          <c:val>
            <c:numRef>
              <c:f>'MSR composition'!$B$5</c:f>
              <c:numCache>
                <c:formatCode>General</c:formatCode>
                <c:ptCount val="1"/>
                <c:pt idx="0">
                  <c:v>441724736</c:v>
                </c:pt>
              </c:numCache>
            </c:numRef>
          </c:val>
          <c:extLst xmlns:c16r2="http://schemas.microsoft.com/office/drawing/2015/06/chart">
            <c:ext xmlns:c16="http://schemas.microsoft.com/office/drawing/2014/chart" uri="{C3380CC4-5D6E-409C-BE32-E72D297353CC}">
              <c16:uniqueId val="{00000006-9912-4BFD-8E82-9FBB85F3FD61}"/>
            </c:ext>
          </c:extLst>
        </c:ser>
        <c:ser>
          <c:idx val="4"/>
          <c:order val="7"/>
          <c:tx>
            <c:strRef>
              <c:f>'MSR composition'!$A$6</c:f>
              <c:strCache>
                <c:ptCount val="1"/>
                <c:pt idx="0">
                  <c:v>Auctioned allowances</c:v>
                </c:pt>
              </c:strCache>
            </c:strRef>
          </c:tx>
          <c:spPr>
            <a:solidFill>
              <a:schemeClr val="accent5"/>
            </a:solidFill>
            <a:ln>
              <a:noFill/>
            </a:ln>
            <a:effectLst/>
          </c:spPr>
          <c:invertIfNegative val="0"/>
          <c:val>
            <c:numRef>
              <c:f>'MSR composition'!$B$6</c:f>
              <c:numCache>
                <c:formatCode>#,##0</c:formatCode>
                <c:ptCount val="1"/>
                <c:pt idx="0">
                  <c:v>4551506500</c:v>
                </c:pt>
              </c:numCache>
            </c:numRef>
          </c:val>
          <c:extLst xmlns:c16r2="http://schemas.microsoft.com/office/drawing/2015/06/chart">
            <c:ext xmlns:c16="http://schemas.microsoft.com/office/drawing/2014/chart" uri="{C3380CC4-5D6E-409C-BE32-E72D297353CC}">
              <c16:uniqueId val="{00000007-9912-4BFD-8E82-9FBB85F3FD61}"/>
            </c:ext>
          </c:extLst>
        </c:ser>
        <c:dLbls>
          <c:showLegendKey val="0"/>
          <c:showVal val="0"/>
          <c:showCatName val="0"/>
          <c:showSerName val="0"/>
          <c:showPercent val="0"/>
          <c:showBubbleSize val="0"/>
        </c:dLbls>
        <c:gapWidth val="75"/>
        <c:overlap val="100"/>
        <c:axId val="99198080"/>
        <c:axId val="99199616"/>
      </c:barChart>
      <c:catAx>
        <c:axId val="99198080"/>
        <c:scaling>
          <c:orientation val="minMax"/>
        </c:scaling>
        <c:delete val="1"/>
        <c:axPos val="b"/>
        <c:numFmt formatCode="General" sourceLinked="1"/>
        <c:majorTickMark val="none"/>
        <c:minorTickMark val="none"/>
        <c:tickLblPos val="nextTo"/>
        <c:crossAx val="99199616"/>
        <c:crosses val="autoZero"/>
        <c:auto val="1"/>
        <c:lblAlgn val="ctr"/>
        <c:lblOffset val="100"/>
        <c:noMultiLvlLbl val="0"/>
      </c:catAx>
      <c:valAx>
        <c:axId val="99199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198080"/>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'MSR composition'!$A$14</c:f>
              <c:strCache>
                <c:ptCount val="1"/>
                <c:pt idx="0">
                  <c:v>Verified emissions</c:v>
                </c:pt>
              </c:strCache>
            </c:strRef>
          </c:tx>
          <c:spPr>
            <a:solidFill>
              <a:schemeClr val="accent1"/>
            </a:solidFill>
            <a:ln>
              <a:noFill/>
            </a:ln>
            <a:effectLst/>
          </c:spPr>
          <c:invertIfNegative val="0"/>
          <c:val>
            <c:numRef>
              <c:f>'MSR composition'!$B$14</c:f>
              <c:numCache>
                <c:formatCode>#,##0</c:formatCode>
                <c:ptCount val="1"/>
                <c:pt idx="0">
                  <c:v>10631597033</c:v>
                </c:pt>
              </c:numCache>
            </c:numRef>
          </c:val>
          <c:extLst xmlns:c16r2="http://schemas.microsoft.com/office/drawing/2015/06/chart">
            <c:ext xmlns:c16="http://schemas.microsoft.com/office/drawing/2014/chart" uri="{C3380CC4-5D6E-409C-BE32-E72D297353CC}">
              <c16:uniqueId val="{00000000-89A6-4A8F-A8DA-E72B095DDE62}"/>
            </c:ext>
          </c:extLst>
        </c:ser>
        <c:ser>
          <c:idx val="1"/>
          <c:order val="1"/>
          <c:tx>
            <c:strRef>
              <c:f>'MSR composition'!$A$15</c:f>
              <c:strCache>
                <c:ptCount val="1"/>
                <c:pt idx="0">
                  <c:v>Cancellations</c:v>
                </c:pt>
              </c:strCache>
            </c:strRef>
          </c:tx>
          <c:spPr>
            <a:solidFill>
              <a:schemeClr val="accent3"/>
            </a:solidFill>
            <a:ln>
              <a:noFill/>
            </a:ln>
            <a:effectLst/>
          </c:spPr>
          <c:invertIfNegative val="0"/>
          <c:val>
            <c:numRef>
              <c:f>'MSR composition'!$B$15</c:f>
              <c:numCache>
                <c:formatCode>#,##0</c:formatCode>
                <c:ptCount val="1"/>
                <c:pt idx="0">
                  <c:v>315083</c:v>
                </c:pt>
              </c:numCache>
            </c:numRef>
          </c:val>
          <c:extLst xmlns:c16r2="http://schemas.microsoft.com/office/drawing/2015/06/chart">
            <c:ext xmlns:c16="http://schemas.microsoft.com/office/drawing/2014/chart" uri="{C3380CC4-5D6E-409C-BE32-E72D297353CC}">
              <c16:uniqueId val="{00000001-89A6-4A8F-A8DA-E72B095DDE62}"/>
            </c:ext>
          </c:extLst>
        </c:ser>
        <c:dLbls>
          <c:showLegendKey val="0"/>
          <c:showVal val="0"/>
          <c:showCatName val="0"/>
          <c:showSerName val="0"/>
          <c:showPercent val="0"/>
          <c:showBubbleSize val="0"/>
        </c:dLbls>
        <c:gapWidth val="75"/>
        <c:overlap val="100"/>
        <c:axId val="99545088"/>
        <c:axId val="99546624"/>
      </c:barChart>
      <c:catAx>
        <c:axId val="99545088"/>
        <c:scaling>
          <c:orientation val="minMax"/>
        </c:scaling>
        <c:delete val="1"/>
        <c:axPos val="b"/>
        <c:numFmt formatCode="General" sourceLinked="1"/>
        <c:majorTickMark val="none"/>
        <c:minorTickMark val="none"/>
        <c:tickLblPos val="nextTo"/>
        <c:crossAx val="99546624"/>
        <c:crosses val="autoZero"/>
        <c:auto val="1"/>
        <c:lblAlgn val="ctr"/>
        <c:lblOffset val="100"/>
        <c:noMultiLvlLbl val="0"/>
      </c:catAx>
      <c:valAx>
        <c:axId val="99546624"/>
        <c:scaling>
          <c:orientation val="minMax"/>
          <c:max val="1400000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545088"/>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bg1">
            <a:lumMod val="85000"/>
          </a:schemeClr>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00CA8-E50C-4753-94AA-4BB4CF289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19</Pages>
  <Words>10611</Words>
  <Characters>62079</Characters>
  <Application>Microsoft Office Word</Application>
  <DocSecurity>0</DocSecurity>
  <Lines>2956</Lines>
  <Paragraphs>1964</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Manager/>
  <Company/>
  <LinksUpToDate>false</LinksUpToDate>
  <CharactersWithSpaces>70726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WES PDFC Administrator</cp:lastModifiedBy>
  <cp:revision>23</cp:revision>
  <cp:lastPrinted>2018-11-08T09:30:00Z</cp:lastPrinted>
  <dcterms:created xsi:type="dcterms:W3CDTF">2019-10-25T13:22:00Z</dcterms:created>
  <dcterms:modified xsi:type="dcterms:W3CDTF">2019-11-11T09:14:00Z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_DocHome">
    <vt:i4>-1319363200</vt:i4>
  </property>
  <property fmtid="{D5CDD505-2E9C-101B-9397-08002B2CF9AE}" pid="8" name="Created using">
    <vt:lpwstr>LW 6.0.1, Build 20180503</vt:lpwstr>
  </property>
  <property fmtid="{D5CDD505-2E9C-101B-9397-08002B2CF9AE}" pid="9" name="CPTemplateID">
    <vt:lpwstr>CP-006</vt:lpwstr>
  </property>
</Properties>
</file>