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9EF27DB-90A9-4429-B8C2-675B13DE346D" style="width:450.4pt;height:307.25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 xml:space="preserve">I. DAĦLA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Dan huwa l-għoxrin rapport dwar il-progress ulterjuri li sar lejn il-bini ta’ Unjoni tas-Sigurtà effettiva u ġenwina u li jkopri l-iżviluppi taħt żewġ pilastri ewlenin: l-indirizzar tat-terroriżmu u tal-kriminalità organizzata u l-mezzi li jappoġġawhom; u t-tisħiħ tad-difiżi tagħna u l-bini ta’ reżiljenza kontra dan it-theddid.</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Is-sigurtà kienet fost l-ogħla prijoritajiet tal-Kummissjoni Juncker sa mill-bidu nett. Filwaqt li tibni fuq l-Aġenda Ewropea dwar is-Sigurtà ta’ April 2015</w:t>
      </w:r>
      <w:r>
        <w:rPr>
          <w:rStyle w:val="FootnoteReference"/>
          <w:noProof/>
          <w:sz w:val="24"/>
          <w:szCs w:val="24"/>
        </w:rPr>
        <w:footnoteReference w:id="2"/>
      </w:r>
      <w:r>
        <w:rPr>
          <w:rFonts w:ascii="Times New Roman" w:hAnsi="Times New Roman"/>
          <w:noProof/>
          <w:sz w:val="24"/>
          <w:szCs w:val="24"/>
        </w:rPr>
        <w:t xml:space="preserve"> u l-Komunikazzjoni ta’ April 2016 li wittew it-triq lejn Unjoni tas-Sigurtà effettiva u ġenwina</w:t>
      </w:r>
      <w:r>
        <w:rPr>
          <w:rStyle w:val="FootnoteReference"/>
          <w:noProof/>
          <w:sz w:val="24"/>
          <w:szCs w:val="24"/>
        </w:rPr>
        <w:footnoteReference w:id="3"/>
      </w:r>
      <w:r>
        <w:rPr>
          <w:rFonts w:ascii="Times New Roman" w:hAnsi="Times New Roman"/>
          <w:noProof/>
          <w:sz w:val="24"/>
          <w:szCs w:val="24"/>
        </w:rPr>
        <w:t>, l-UE wieġbet b’approċċ ikkoordinat għal sensiela ta’ attakki terroristiċi u sfidi oħra għas-sigurtà li dejjem qed jiżdiedu, u għamlet progress sinifikanti fit-titjib tas-sigurtà kollettiva tagħna</w:t>
      </w:r>
      <w:r>
        <w:rPr>
          <w:rStyle w:val="FootnoteReference"/>
          <w:noProof/>
          <w:sz w:val="24"/>
          <w:szCs w:val="24"/>
        </w:rPr>
        <w:footnoteReference w:id="4"/>
      </w:r>
      <w:r>
        <w:rPr>
          <w:noProof/>
          <w:sz w:val="24"/>
          <w:szCs w:val="24"/>
        </w:rPr>
        <w:t>.</w:t>
      </w:r>
      <w:r>
        <w:rPr>
          <w:rFonts w:ascii="Times New Roman" w:hAnsi="Times New Roman"/>
          <w:noProof/>
          <w:sz w:val="24"/>
          <w:szCs w:val="24"/>
        </w:rPr>
        <w:t xml:space="preserve"> Sar dejjem aktar ċar li l-isfidi tas-sigurtà tal-lum — jekk ikunx it-terroriżmu, il-kriminalità organizzata, l-attakki ċibernetiċi, id-diżinformazzjoni jew theddidiet ċibernetiċi oħra — huma theddidiet komuni.</w:t>
      </w:r>
      <w:r>
        <w:rPr>
          <w:noProof/>
          <w:sz w:val="24"/>
          <w:szCs w:val="24"/>
        </w:rPr>
        <w:t xml:space="preserve"> </w:t>
      </w:r>
      <w:r>
        <w:rPr>
          <w:rFonts w:ascii="Times New Roman" w:hAnsi="Times New Roman"/>
          <w:noProof/>
          <w:sz w:val="24"/>
          <w:szCs w:val="24"/>
        </w:rPr>
        <w:t>Huwa biss billi naħdmu flimkien li nistgħu niksbu l-livell ta’ sigurtà kollettiva li ġustament iċ-ċittadini tagħna jitolbu u jistennew. Dan il-fehim kondiviż kien il-bażi għall-progress li sar lejn Unjoni tas-Sigurtà effettiva u ġenwina. Xprunat mill-ħtiġijiet tal-awtoritajiet nazzjonali li jaħdmu biex iżommu liċ-ċittadini sikuri, l-appoġġ fil-livell tal-UE ffoka fuq miżuri leġislattivi u operazzjonali fejn azzjoni konġunta jista’ jkollha impatt fuq is-sigurtà tal-Istati Membri. Din il-ħidma twettqet b’koordinazzjoni mill-qrib mal-Parlament Ewropew u l-Kunsill, u bi trasparenza sħiħa lejn il-pubbliku inġenerali. Ir-rispett sħiħ tad-drittijiet fundamentali kien fil-qalba ta’ din il-ħidma, peress li s-sigurtà tal-Unjoni tista' tiġi żgurata biss meta ċ-ċittadini jkollhom fiduċja li d-drittijiet fundamentali tagħhom jiġu rispettati bis-sħiħ.</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L-UE ħadmet biex </w:t>
      </w:r>
      <w:r>
        <w:rPr>
          <w:rFonts w:ascii="Times New Roman" w:hAnsi="Times New Roman"/>
          <w:b/>
          <w:noProof/>
          <w:sz w:val="24"/>
          <w:szCs w:val="24"/>
        </w:rPr>
        <w:t>tiġġieled it-terroriżmu</w:t>
      </w:r>
      <w:r>
        <w:rPr>
          <w:rFonts w:ascii="Times New Roman" w:hAnsi="Times New Roman"/>
          <w:noProof/>
          <w:sz w:val="24"/>
          <w:szCs w:val="24"/>
        </w:rPr>
        <w:t xml:space="preserve"> billi tagħlaq l-ispazju li fih joperaw it-terroristi, b’regoli ġodda li jagħmluha aktar diffiċli għalihom biex jaċċessaw splussivi, armi tan-nar u finanzjament, u li jirrestrinġu l-movimenti tagħhom. L-UE intensifikat </w:t>
      </w:r>
      <w:r>
        <w:rPr>
          <w:rFonts w:ascii="Times New Roman" w:hAnsi="Times New Roman"/>
          <w:b/>
          <w:noProof/>
          <w:sz w:val="24"/>
          <w:szCs w:val="24"/>
        </w:rPr>
        <w:t>l-iskambju ta’ informazzjoni</w:t>
      </w:r>
      <w:r>
        <w:rPr>
          <w:rFonts w:ascii="Times New Roman" w:hAnsi="Times New Roman"/>
          <w:noProof/>
          <w:sz w:val="24"/>
          <w:szCs w:val="24"/>
        </w:rPr>
        <w:t xml:space="preserve"> biex tipprovdi lil dawk l-aktar esposti, lill-uffiċjali tal-pulizija u lill-gwardji tal-fruntiera, b’aċċess effiċjenti għal </w:t>
      </w:r>
      <w:r>
        <w:rPr>
          <w:rFonts w:ascii="Times New Roman" w:hAnsi="Times New Roman"/>
          <w:i/>
          <w:iCs/>
          <w:noProof/>
          <w:sz w:val="24"/>
          <w:szCs w:val="24"/>
        </w:rPr>
        <w:t>data</w:t>
      </w:r>
      <w:r>
        <w:rPr>
          <w:rFonts w:ascii="Times New Roman" w:hAnsi="Times New Roman"/>
          <w:noProof/>
          <w:sz w:val="24"/>
          <w:szCs w:val="24"/>
        </w:rPr>
        <w:t xml:space="preserve"> preċiża u kompleta, bl-aħjar użu minn informazzjoni eżistenti u billi jingħalqu l-lakuni u punti mhux viżibbli. Il-protezzjoni b’saħħitha tal-fruntieri esterni hija prekundizzjoni għas-sigurtà fl-ispazju ta’ moviment liberu mingħajr kontrolli fil-fruntieri interni. F’Marzu 2019, il-Parlament Ewropew u l-Kunsill laħqu ftehim dwar </w:t>
      </w:r>
      <w:r>
        <w:rPr>
          <w:rFonts w:ascii="Times New Roman" w:hAnsi="Times New Roman"/>
          <w:b/>
          <w:noProof/>
          <w:sz w:val="24"/>
          <w:szCs w:val="24"/>
        </w:rPr>
        <w:t>Gwardja Ewropea tal-Fruntiera u tal-Kosta</w:t>
      </w:r>
      <w:r>
        <w:rPr>
          <w:rFonts w:ascii="Times New Roman" w:hAnsi="Times New Roman"/>
          <w:noProof/>
          <w:sz w:val="24"/>
          <w:szCs w:val="24"/>
        </w:rPr>
        <w:t xml:space="preserve"> msaħħa u mgħammra b’mod sħiħ u r-Regolament il-ġdid huwa mistenni li jidħol fis-seħħ kmieni f’Diċembru 2019. L-UE pprovdiet pjattaforma u finanzjament għal dawk li jaħdmu f’komunitajiet lokali biex jiskambjaw l-aħjar prattiki dwar </w:t>
      </w:r>
      <w:r>
        <w:rPr>
          <w:rFonts w:ascii="Times New Roman" w:hAnsi="Times New Roman"/>
          <w:b/>
          <w:noProof/>
          <w:sz w:val="24"/>
          <w:szCs w:val="24"/>
        </w:rPr>
        <w:t>il-ġlieda kontra r-radikalizzazzjoni u l-prevenzjoni tal-estremiżmu vjolenti</w:t>
      </w:r>
      <w:r>
        <w:rPr>
          <w:rFonts w:ascii="Times New Roman" w:hAnsi="Times New Roman"/>
          <w:noProof/>
          <w:sz w:val="24"/>
          <w:szCs w:val="24"/>
        </w:rPr>
        <w:t xml:space="preserve">, kif ukoll biex tipproponi regoli ġodda biex b’mod effettiv jitneħħa l-kontenut terroristiku online. L-appoġġ tal-UE għen biex </w:t>
      </w:r>
      <w:r>
        <w:rPr>
          <w:rFonts w:ascii="Times New Roman" w:hAnsi="Times New Roman"/>
          <w:b/>
          <w:noProof/>
          <w:sz w:val="24"/>
          <w:szCs w:val="24"/>
        </w:rPr>
        <w:t>il-bliet isiru aktar reżiljenti</w:t>
      </w:r>
      <w:r>
        <w:rPr>
          <w:rFonts w:ascii="Times New Roman" w:hAnsi="Times New Roman"/>
          <w:noProof/>
          <w:sz w:val="24"/>
          <w:szCs w:val="24"/>
        </w:rPr>
        <w:t xml:space="preserve"> kontra attakki, bi pjanijiet ta’ azzjoni li jappoġġaw il-protezzjoni ta’ spazji pubbliċi u li jtejbu l-istat ta’ tħejjija kontra riskji ta’ sigurtà kimiċi, bijoloġiċi, radjoloġiċi u nukleari. L-UE indirizzat iċ-</w:t>
      </w:r>
      <w:r>
        <w:rPr>
          <w:rFonts w:ascii="Times New Roman" w:hAnsi="Times New Roman"/>
          <w:b/>
          <w:noProof/>
          <w:sz w:val="24"/>
          <w:szCs w:val="24"/>
        </w:rPr>
        <w:t>ċibersigurtà u t-theddid bl-użu tal-internet</w:t>
      </w:r>
      <w:r>
        <w:rPr>
          <w:rFonts w:ascii="Times New Roman" w:hAnsi="Times New Roman"/>
          <w:noProof/>
          <w:sz w:val="24"/>
          <w:szCs w:val="24"/>
        </w:rPr>
        <w:t>, billi stabbiliet strateġija ġdida tal-UE dwar iċ-ċibersigurtà u adottat leġislazzjoni rilevanti, u indirizzat id-</w:t>
      </w:r>
      <w:r>
        <w:rPr>
          <w:rFonts w:ascii="Times New Roman" w:hAnsi="Times New Roman"/>
          <w:b/>
          <w:noProof/>
          <w:sz w:val="24"/>
          <w:szCs w:val="24"/>
        </w:rPr>
        <w:t>diżinformazzjoni</w:t>
      </w:r>
      <w:r>
        <w:rPr>
          <w:rFonts w:ascii="Times New Roman" w:hAnsi="Times New Roman"/>
          <w:noProof/>
          <w:sz w:val="24"/>
          <w:szCs w:val="24"/>
        </w:rPr>
        <w:t xml:space="preserve"> biex tipproteġi aħjar l-elezzjonijiet tagħna. Il-ħidma tkompli ssaħħaħ is-sigurtà </w:t>
      </w:r>
      <w:r>
        <w:rPr>
          <w:rFonts w:ascii="Times New Roman" w:hAnsi="Times New Roman"/>
          <w:b/>
          <w:noProof/>
          <w:sz w:val="24"/>
          <w:szCs w:val="24"/>
        </w:rPr>
        <w:t>tal-infrastruttura diġitali kritika</w:t>
      </w:r>
      <w:r>
        <w:rPr>
          <w:rFonts w:ascii="Times New Roman" w:hAnsi="Times New Roman"/>
          <w:noProof/>
          <w:sz w:val="24"/>
          <w:szCs w:val="24"/>
        </w:rPr>
        <w:t xml:space="preserve"> tagħna, inkluża l-kooperazzjoni msaħħa dwar iċ-</w:t>
      </w:r>
      <w:r>
        <w:rPr>
          <w:rFonts w:ascii="Times New Roman" w:hAnsi="Times New Roman"/>
          <w:b/>
          <w:noProof/>
          <w:sz w:val="24"/>
          <w:szCs w:val="24"/>
        </w:rPr>
        <w:t xml:space="preserve">ċibersigurtà tan-netwerks </w:t>
      </w:r>
      <w:r>
        <w:rPr>
          <w:rFonts w:ascii="Times New Roman" w:hAnsi="Times New Roman"/>
          <w:b/>
          <w:noProof/>
          <w:sz w:val="24"/>
          <w:szCs w:val="24"/>
        </w:rPr>
        <w:lastRenderedPageBreak/>
        <w:t>5G</w:t>
      </w:r>
      <w:r>
        <w:rPr>
          <w:rFonts w:ascii="Times New Roman" w:hAnsi="Times New Roman"/>
          <w:noProof/>
          <w:sz w:val="24"/>
          <w:szCs w:val="24"/>
        </w:rPr>
        <w:t xml:space="preserve"> fl-Ewropa kollha.</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Għad fadal aktar xi jsir. L-attakk imxandar live kontra sinagoga u l-qtil ta’ żewġ ċittadini f’Halle, fil-Ġermanja fid-9 ta’ Ottubru 2019 kien tfakkira xokkanti tat-theddida kkawżata mill-estremiżmu vjolenti tal-lemin u l-anti-Semitiżmu. Enfasizza wkoll għal darb’oħra l-abbuż li jsir mill-internet għall-propaganda terroristika u għalhekk </w:t>
      </w:r>
      <w:r>
        <w:rPr>
          <w:rFonts w:ascii="Times New Roman" w:hAnsi="Times New Roman"/>
          <w:b/>
          <w:noProof/>
          <w:sz w:val="24"/>
          <w:szCs w:val="24"/>
        </w:rPr>
        <w:t>il-ħtieġa għal regoli li japplikaw għall-UE kollha għat-tħassir tal-kontenut terroristiku online</w:t>
      </w:r>
      <w:r>
        <w:rPr>
          <w:rFonts w:ascii="Times New Roman" w:hAnsi="Times New Roman"/>
          <w:noProof/>
          <w:sz w:val="24"/>
          <w:szCs w:val="24"/>
        </w:rPr>
        <w:t>. Il-Kunsill Ġustizzja u Affarijiet Interni tas-7–8 ta’ Ottubru 2019 ddiskuta l-estremiżmu vjolenti u t-terroriżmu tal-lemin, u enfasizza l-ħtieġa ta’ aktar ħidma inkluż fejn tidħol il-ġlieda kontra t-tixrid ta’ kontenut estremist illegali tal-lemin online u offline. Fl-istess ħin, il-qtil ta’ tliet uffiċjali tal-pulizija u membru tal-persunal ieħor fil-kwartieri ġenerali tal-pulizija ta’ Pariġi fit-3 ta’ Ottubru 2019 juri li t-theddida mit-terroriżmu ġiħadista għadu reali, u li jeħtieġ li jitkomplew l-isforzi li għaddejjin biex l-Istati Membri jiġu appoġġati fl-indirizzar ta’ din it-theddida. Il-ħarba tal-priġunieri membri ta’ ISIS/Da’esh fil-kuntest ta’ avvenimenti reċenti fit-Tramuntana tas-Sirja jista’ jkollha impatt serju fuq is-sigurtà fl-Ewropa. Huwa importanti li l-Istati Membri jagħmlu użu sħiħ mis-sistemi ta’ informazzjoni eżistenti biex jidentifikaw ġellieda terroristi barranin meta jaqsmu l-fruntieri esterni. Għaddejja wkoll ħidma dwar l-użu ta’ informazzjoni mill-kamp tal-battalja għall-prosekuzzjoni ta’ ġellieda terroristi barranin.</w:t>
      </w:r>
    </w:p>
    <w:p>
      <w:pPr>
        <w:pStyle w:val="NormalWeb"/>
        <w:jc w:val="both"/>
        <w:rPr>
          <w:noProof/>
        </w:rPr>
      </w:pPr>
      <w:r>
        <w:rPr>
          <w:noProof/>
        </w:rPr>
        <w:t xml:space="preserve">Dan ir-rapport jippreżenta l-progress li sar dan l-aħħar fil-ħidma lejn Unjoni tas-Sigurtà effettiva u ġenwina, b’enfasi fuq l-oqsma fejn hija meħtieġa aktar azzjoni. Jipprovdi aġġornament dwar l-implimentazzjoni ta’ miżuri maqbula dwar </w:t>
      </w:r>
      <w:r>
        <w:rPr>
          <w:b/>
          <w:noProof/>
        </w:rPr>
        <w:t>iċ-ċibersigurtà tan-netwerks 5G</w:t>
      </w:r>
      <w:r>
        <w:rPr>
          <w:noProof/>
        </w:rPr>
        <w:t>, b’mod partikolari dwar ir-Rapport dwar il-</w:t>
      </w:r>
      <w:r>
        <w:rPr>
          <w:b/>
          <w:noProof/>
        </w:rPr>
        <w:t>Valutazzjoni tar-Riskju tal-UE</w:t>
      </w:r>
      <w:r>
        <w:rPr>
          <w:noProof/>
        </w:rPr>
        <w:t xml:space="preserve"> ppubblikat fid-9 ta’ Ottubru 2019, u dwar il-</w:t>
      </w:r>
      <w:r>
        <w:rPr>
          <w:b/>
          <w:noProof/>
        </w:rPr>
        <w:t>ġlieda kontra d-diżinformazzjoni</w:t>
      </w:r>
      <w:r>
        <w:rPr>
          <w:noProof/>
        </w:rPr>
        <w:t xml:space="preserv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Dan ir-rapport jiffoka b’mod partikolari fuq id-</w:t>
      </w:r>
      <w:r>
        <w:rPr>
          <w:rFonts w:ascii="Times New Roman" w:hAnsi="Times New Roman"/>
          <w:b/>
          <w:bCs/>
          <w:noProof/>
          <w:sz w:val="24"/>
          <w:szCs w:val="24"/>
        </w:rPr>
        <w:t>dimensjoni esterna</w:t>
      </w:r>
      <w:r>
        <w:rPr>
          <w:rFonts w:ascii="Times New Roman" w:hAnsi="Times New Roman"/>
          <w:noProof/>
          <w:sz w:val="24"/>
          <w:szCs w:val="24"/>
        </w:rPr>
        <w:t xml:space="preserve"> tal-kooperazzjoni fl-Unjoni tas-Sigurtà, bl-iffirmar ta’ </w:t>
      </w:r>
      <w:r>
        <w:rPr>
          <w:rFonts w:ascii="Times New Roman" w:hAnsi="Times New Roman"/>
          <w:b/>
          <w:bCs/>
          <w:noProof/>
          <w:sz w:val="24"/>
          <w:szCs w:val="24"/>
        </w:rPr>
        <w:t>żewġ arranġamenti bilaterali kontra t-terroriżmu</w:t>
      </w:r>
      <w:r>
        <w:rPr>
          <w:rFonts w:ascii="Times New Roman" w:hAnsi="Times New Roman"/>
          <w:noProof/>
          <w:sz w:val="24"/>
          <w:szCs w:val="24"/>
        </w:rPr>
        <w:t xml:space="preserve"> mal-Albanija u r-Repubblika tal-Maċedonja ta’ Fuq u l-progress li sar fil-kooperazzjoni ma’ pajjiżi terzi sħab dwar l-iskambju tad-</w:t>
      </w:r>
      <w:r>
        <w:rPr>
          <w:rFonts w:ascii="Times New Roman" w:hAnsi="Times New Roman"/>
          <w:b/>
          <w:bCs/>
          <w:i/>
          <w:iCs/>
          <w:noProof/>
          <w:sz w:val="24"/>
          <w:szCs w:val="24"/>
        </w:rPr>
        <w:t>data</w:t>
      </w:r>
      <w:r>
        <w:rPr>
          <w:rFonts w:ascii="Times New Roman" w:hAnsi="Times New Roman"/>
          <w:b/>
          <w:bCs/>
          <w:noProof/>
          <w:sz w:val="24"/>
          <w:szCs w:val="24"/>
        </w:rPr>
        <w:t xml:space="preserve"> tar-reġistru tal-ismijiet tal-passiġġieri</w:t>
      </w:r>
      <w:r>
        <w:rPr>
          <w:rFonts w:ascii="Times New Roman" w:hAnsi="Times New Roman"/>
          <w:noProof/>
          <w:sz w:val="24"/>
          <w:szCs w:val="24"/>
        </w:rPr>
        <w:t xml:space="preserve">. Barra minn hekk, flimkien ma’ dan ir-rapport, il-Kummissjoni adottat talba għal awtorizzazzjoni għat-tnedija ta’ negozjati għal ftehim bejn l-UE u </w:t>
      </w:r>
      <w:r>
        <w:rPr>
          <w:rFonts w:ascii="Times New Roman" w:hAnsi="Times New Roman"/>
          <w:b/>
          <w:noProof/>
          <w:sz w:val="24"/>
          <w:szCs w:val="24"/>
        </w:rPr>
        <w:t>New Zealand</w:t>
      </w:r>
      <w:r>
        <w:rPr>
          <w:rFonts w:ascii="Times New Roman" w:hAnsi="Times New Roman"/>
          <w:noProof/>
          <w:sz w:val="24"/>
          <w:szCs w:val="24"/>
        </w:rPr>
        <w:t xml:space="preserve"> dwar l-iskambju ta’ </w:t>
      </w:r>
      <w:r>
        <w:rPr>
          <w:rFonts w:ascii="Times New Roman" w:hAnsi="Times New Roman"/>
          <w:i/>
          <w:iCs/>
          <w:noProof/>
          <w:sz w:val="24"/>
          <w:szCs w:val="24"/>
        </w:rPr>
        <w:t>data</w:t>
      </w:r>
      <w:r>
        <w:rPr>
          <w:rFonts w:ascii="Times New Roman" w:hAnsi="Times New Roman"/>
          <w:noProof/>
          <w:sz w:val="24"/>
          <w:szCs w:val="24"/>
        </w:rPr>
        <w:t xml:space="preserve"> personali fil-ġlieda kontra l-kriminalità serja u t-terroriżmu.</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II. IT-TWETTIQ TAL-PRIJORITAJIET LEĠISLATTIVI </w:t>
      </w:r>
    </w:p>
    <w:p>
      <w:pPr>
        <w:pStyle w:val="ListParagraph"/>
        <w:numPr>
          <w:ilvl w:val="0"/>
          <w:numId w:val="37"/>
        </w:numPr>
        <w:spacing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Il-prevenzjoni tar-radikalizzazzjoni online u fil-komunitajiet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Il-</w:t>
      </w:r>
      <w:r>
        <w:rPr>
          <w:rFonts w:ascii="Times New Roman" w:hAnsi="Times New Roman"/>
          <w:b/>
          <w:noProof/>
          <w:sz w:val="24"/>
          <w:szCs w:val="24"/>
        </w:rPr>
        <w:t>prevenzjoni tar-radikalizzazzjoni</w:t>
      </w:r>
      <w:r>
        <w:rPr>
          <w:rFonts w:ascii="Times New Roman" w:hAnsi="Times New Roman"/>
          <w:noProof/>
          <w:sz w:val="24"/>
          <w:szCs w:val="24"/>
        </w:rPr>
        <w:t xml:space="preserve"> tirfed ir-reazzjoni tal-Unjoni għat-theddid tat-terroriżmu. F’dak ir-rigward, l-internet kien l-aktar kamp ta’ battalja sinifikanti għall-azzjoni tat-terroristi fis-seklu 21. L-ispazji fejn l-individwi radikalizzati jkunu jistgħu jikkomunikaw u jaqsmu l-kontenut jippermettu l-iżvilupp ta’ netwerks globali dejjem jespandu ta’ estremisti vjolenti kemm ġiħadisti kif ukoll tal-lemin. Din hija r-raġuni għaliex il-Kummissjoni qed tkompli bl-approċċ doppju tagħha kontra r-radikalizzazzjoni online fejn ir-regoli proposti dwar it-tneħħija ta’ kontenut terroristiku illegali online għandhom isaħħu s-sħubija volontarja ma’ pjattaformi online.</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Essenzjali għal dan hija l-</w:t>
      </w:r>
      <w:r>
        <w:rPr>
          <w:rFonts w:ascii="Times New Roman" w:hAnsi="Times New Roman"/>
          <w:b/>
          <w:noProof/>
          <w:sz w:val="24"/>
          <w:szCs w:val="24"/>
        </w:rPr>
        <w:t>proposta leġislattiva biex jiġi evitat it-tixrid ta’ kontenut terroristiku online</w:t>
      </w:r>
      <w:r>
        <w:rPr>
          <w:rFonts w:ascii="Times New Roman" w:hAnsi="Times New Roman"/>
          <w:noProof/>
          <w:sz w:val="24"/>
          <w:szCs w:val="24"/>
        </w:rPr>
        <w:t>, b’regoli u salvagwardji ċari li jagħmluha obbligatorja li l-pjattaformi tal-internet ineħħu kontenut terroristiku fi żmien siegħa minn meta tasal talba motivata mill-awtoritajiet kompetenti, u li jieħdu miżuri proattivi proporzjonati mal-livell ta’ espożizzjoni għal kontenut terroristiku</w:t>
      </w:r>
      <w:r>
        <w:rPr>
          <w:rStyle w:val="FootnoteReference"/>
          <w:noProof/>
          <w:sz w:val="24"/>
          <w:szCs w:val="24"/>
        </w:rPr>
        <w:footnoteReference w:id="5"/>
      </w:r>
      <w:r>
        <w:rPr>
          <w:noProof/>
          <w:sz w:val="24"/>
          <w:szCs w:val="24"/>
        </w:rPr>
        <w:t>.</w:t>
      </w:r>
      <w:r>
        <w:rPr>
          <w:rFonts w:ascii="Times New Roman" w:hAnsi="Times New Roman"/>
          <w:noProof/>
          <w:sz w:val="24"/>
          <w:szCs w:val="24"/>
        </w:rPr>
        <w:t xml:space="preserve"> Għadhom għaddejjin negozjati interistituzzjonali bejn il-Parlament Ewropew u l-Kunsill, u l-ewwel laqgħa ta’ trilogu saret fit-17 ta’ Ottubru 2019. Minħabba t-theddida ppreżentata minn kontenut terroristiku online, il-Kummissjoni tappella lill-koleġislaturi biex jilħqu ftehim dwar il-leġislazzjoni proposta sa tmiem l-2019.</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Il-leġislazzjoni proposta tikkumplimenta s-sħubija volontarja mal-industrija tal-internet u partijiet interessati oħra li qed tifforma fil-</w:t>
      </w:r>
      <w:r>
        <w:rPr>
          <w:rFonts w:ascii="Times New Roman" w:hAnsi="Times New Roman"/>
          <w:b/>
          <w:noProof/>
          <w:sz w:val="24"/>
          <w:szCs w:val="24"/>
        </w:rPr>
        <w:t>Forum tal-UE dwar l-Internet</w:t>
      </w:r>
      <w:r>
        <w:rPr>
          <w:rFonts w:ascii="Times New Roman" w:hAnsi="Times New Roman"/>
          <w:noProof/>
          <w:sz w:val="24"/>
          <w:szCs w:val="24"/>
        </w:rPr>
        <w:t xml:space="preserve">. Sa mill-ħolqien tiegħu fl-2015, kien katalist biex il-kumpaniji tal-internet jaġixxu b’mod proattiv biex jidentifikaw u jneħħu kontenut terroristiku online, u witta t-triq għall-inizjattiva mmexxija mill-industrija ta’ “bażi ta’ </w:t>
      </w:r>
      <w:r>
        <w:rPr>
          <w:rFonts w:ascii="Times New Roman" w:hAnsi="Times New Roman"/>
          <w:i/>
          <w:iCs/>
          <w:noProof/>
          <w:sz w:val="24"/>
          <w:szCs w:val="24"/>
        </w:rPr>
        <w:t>data</w:t>
      </w:r>
      <w:r>
        <w:rPr>
          <w:rFonts w:ascii="Times New Roman" w:hAnsi="Times New Roman"/>
          <w:noProof/>
          <w:sz w:val="24"/>
          <w:szCs w:val="24"/>
        </w:rPr>
        <w:t xml:space="preserve"> kondiviża ta’ hashes” </w:t>
      </w:r>
      <w:r>
        <w:rPr>
          <w:rStyle w:val="FootnoteReference"/>
          <w:noProof/>
          <w:sz w:val="24"/>
          <w:szCs w:val="24"/>
        </w:rPr>
        <w:footnoteReference w:id="6"/>
      </w:r>
      <w:r>
        <w:rPr>
          <w:rFonts w:ascii="Times New Roman" w:hAnsi="Times New Roman"/>
          <w:noProof/>
          <w:sz w:val="24"/>
          <w:szCs w:val="24"/>
        </w:rPr>
        <w:t xml:space="preserve">u l-ħolqien tal-Forum Globali tal-Internet għall-Ġlieda kontra t-Terroriżmu. L-Unità ta’ Indikazzjoni ta’ Kontenut fuq l-Internet, parti mill-aġenzija tal-infurzar tal-liġi tal-UE, il-Europol, kienet strumentali fit-tisħiħ tal-kooperazzjoni ma’ kumpaniji tal-internet u tikkontribwixxi għall-għanijiet ġenerali tal-Forum tal-UE dwar l-Internet. Fl-aħħar laqgħa Ministerjali tal-Forum tal-UE dwar l-Internet fis-7 ta’ Ottubru 2019, l-Istati Membri tal-UE u r-rappreżentanti għolja tal-kumpaniji tal-internet impenjaw ruħhom biex jikkollaboraw taħt l-hekk imsejjaħ </w:t>
      </w:r>
      <w:r>
        <w:rPr>
          <w:rFonts w:ascii="Times New Roman" w:hAnsi="Times New Roman"/>
          <w:b/>
          <w:noProof/>
          <w:sz w:val="24"/>
          <w:szCs w:val="24"/>
        </w:rPr>
        <w:t>Protokoll ta’ Kriżi  tal-UE</w:t>
      </w:r>
      <w:r>
        <w:rPr>
          <w:rFonts w:ascii="Times New Roman" w:hAnsi="Times New Roman"/>
          <w:noProof/>
          <w:sz w:val="24"/>
          <w:szCs w:val="24"/>
        </w:rPr>
        <w:t>. Il-Protokoll ta’ Kriżi tal-UE jidentifika l-limiti għal kooperazzjoni msaħħa u jistabbilixxi modi ġodda biex titjieb ir-reazzjoni għal kriżi. Dan huwa parti mill-isforzi fil-livell internazzjonali biex tiġi implimentata s-“</w:t>
      </w:r>
      <w:r>
        <w:rPr>
          <w:rFonts w:ascii="Times New Roman" w:hAnsi="Times New Roman"/>
          <w:bCs/>
          <w:noProof/>
          <w:sz w:val="24"/>
          <w:szCs w:val="24"/>
        </w:rPr>
        <w:t>Sejħa għal Azzjoni ta’ Christchurch</w:t>
      </w:r>
      <w:r>
        <w:rPr>
          <w:rFonts w:ascii="Times New Roman" w:hAnsi="Times New Roman"/>
          <w:noProof/>
          <w:sz w:val="24"/>
          <w:szCs w:val="24"/>
        </w:rPr>
        <w:t>”</w:t>
      </w:r>
      <w:r>
        <w:rPr>
          <w:rStyle w:val="FootnoteReference"/>
          <w:noProof/>
          <w:sz w:val="24"/>
          <w:szCs w:val="24"/>
        </w:rPr>
        <w:footnoteReference w:id="7"/>
      </w:r>
      <w:r>
        <w:rPr>
          <w:rFonts w:ascii="Times New Roman" w:hAnsi="Times New Roman"/>
          <w:noProof/>
          <w:sz w:val="24"/>
          <w:szCs w:val="24"/>
        </w:rPr>
        <w:t xml:space="preserve">, li tfittex li tiżgura reazzjoni kkoordinata u rapida biex jitrażżan it-tixrid ta’ kontenut terroristiku virali jew estremist vjolenti online. </w:t>
      </w:r>
    </w:p>
    <w:p>
      <w:pPr>
        <w:spacing w:after="240" w:line="240" w:lineRule="auto"/>
        <w:jc w:val="both"/>
        <w:rPr>
          <w:noProof/>
          <w:sz w:val="24"/>
          <w:szCs w:val="24"/>
        </w:rPr>
      </w:pPr>
      <w:r>
        <w:rPr>
          <w:rFonts w:ascii="Times New Roman" w:hAnsi="Times New Roman"/>
          <w:noProof/>
          <w:sz w:val="24"/>
          <w:szCs w:val="24"/>
        </w:rPr>
        <w:t>Lil hinn minn dawn il-miżuri kontra r-radikalizzazzjoni online, il-Kummissjoni tkompli tappoġġa l-isforzi fil-livell nazzjonali u lokali għall-</w:t>
      </w:r>
      <w:r>
        <w:rPr>
          <w:rFonts w:ascii="Times New Roman" w:hAnsi="Times New Roman"/>
          <w:b/>
          <w:noProof/>
          <w:sz w:val="24"/>
          <w:szCs w:val="24"/>
        </w:rPr>
        <w:t>prevenzjoni u l-ġlieda kontra r-radikalizzazzjoni fuq il-post</w:t>
      </w:r>
      <w:r>
        <w:rPr>
          <w:rFonts w:ascii="Times New Roman" w:hAnsi="Times New Roman"/>
          <w:noProof/>
          <w:sz w:val="24"/>
          <w:szCs w:val="24"/>
        </w:rPr>
        <w:t>. Filwaqt li tibni fuq l-abbundanza ta’ esperjenza u kompetenza miġbura fin-Netwerk ta’ Sensibilizzazzjoni dwar ir-Radikalizzazzjoni, l-UE toffri appoġġ immirat għal atturi lokali inklużi bliet</w:t>
      </w:r>
      <w:r>
        <w:rPr>
          <w:rStyle w:val="FootnoteReference"/>
          <w:noProof/>
          <w:sz w:val="24"/>
          <w:szCs w:val="24"/>
        </w:rPr>
        <w:footnoteReference w:id="8"/>
      </w:r>
      <w:r>
        <w:rPr>
          <w:rFonts w:ascii="Times New Roman" w:hAnsi="Times New Roman"/>
          <w:noProof/>
          <w:sz w:val="24"/>
          <w:szCs w:val="24"/>
        </w:rPr>
        <w:t>, u tipprovdi opportunitajiet għal skambju bejn prattikanti, riċerkaturi u dawk li jfasslu l-politika. Pereżempju, in-netwerk ħareġ gwida speċifika u organizza sessjonijiet ta’ ħidma biex jappoġġja lill-awtoritajiet kompetenti biex jittrattaw ma’ tfal li ġew minn żoni ta’ kunflitt</w:t>
      </w:r>
      <w:r>
        <w:rPr>
          <w:rStyle w:val="FootnoteReference"/>
          <w:noProof/>
          <w:sz w:val="24"/>
          <w:szCs w:val="24"/>
        </w:rPr>
        <w:footnoteReference w:id="9"/>
      </w:r>
      <w:r>
        <w:rPr>
          <w:noProof/>
          <w:sz w:val="24"/>
          <w:szCs w:val="24"/>
        </w:rPr>
        <w:t>.</w:t>
      </w:r>
      <w:r>
        <w:rPr>
          <w:rFonts w:ascii="Times New Roman" w:hAnsi="Times New Roman"/>
          <w:noProof/>
          <w:sz w:val="24"/>
          <w:szCs w:val="24"/>
        </w:rPr>
        <w:t xml:space="preserve"> Biex tiżgura l-kontinwità tal-attivitajiet imwettqa fin-Netwerk ta’ Sensibilizzazzjoni dwar ir-Radikalizzazzjoni, il-Kummissjoni nediet il-proċedura għal kuntratt qafas ġdid għal valur stmat ta’ EUR 61 miljun fuq perjodu ta’ erba’ snin, li jibda fl-2020</w:t>
      </w:r>
      <w:r>
        <w:rPr>
          <w:rStyle w:val="FootnoteReference"/>
          <w:noProof/>
          <w:sz w:val="24"/>
          <w:szCs w:val="24"/>
        </w:rPr>
        <w:footnoteReference w:id="10"/>
      </w:r>
      <w:r>
        <w:rPr>
          <w:noProof/>
          <w:sz w:val="24"/>
          <w:szCs w:val="24"/>
        </w:rPr>
        <w:t>.</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Sabiex tiġi miġġielda t-theddida ppreżentata minn kontenut terroristiku online, il-Kummissjoni tappella lill-Parlament Ewropew u lill-Kunsill: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Heading1"/>
              <w:numPr>
                <w:ilvl w:val="0"/>
                <w:numId w:val="45"/>
              </w:numPr>
              <w:spacing w:before="0"/>
              <w:outlineLvl w:val="0"/>
              <w:rPr>
                <w:rFonts w:ascii="Times New Roman" w:hAnsi="Times New Roman" w:cs="Times New Roman"/>
                <w:noProof/>
                <w:color w:val="auto"/>
                <w:sz w:val="24"/>
                <w:szCs w:val="24"/>
              </w:rPr>
            </w:pPr>
            <w:r>
              <w:rPr>
                <w:rFonts w:ascii="Times New Roman" w:hAnsi="Times New Roman"/>
                <w:noProof/>
                <w:sz w:val="24"/>
                <w:szCs w:val="24"/>
              </w:rPr>
              <w:t xml:space="preserve">biex jikkonkludu n-negozjati dwar il-proposta leġislattiva biex jevitaw it-tixrid ta’ </w:t>
            </w:r>
            <w:r>
              <w:rPr>
                <w:rFonts w:ascii="Times New Roman" w:hAnsi="Times New Roman"/>
                <w:b/>
                <w:noProof/>
                <w:sz w:val="24"/>
                <w:szCs w:val="24"/>
              </w:rPr>
              <w:t>kontenut terroristiku online</w:t>
            </w:r>
            <w:r>
              <w:rPr>
                <w:rFonts w:ascii="Times New Roman" w:hAnsi="Times New Roman"/>
                <w:noProof/>
                <w:sz w:val="24"/>
                <w:szCs w:val="24"/>
              </w:rPr>
              <w:t xml:space="preserve"> qabel tmiem is-sena.</w:t>
            </w:r>
          </w:p>
        </w:tc>
      </w:tr>
    </w:tbl>
    <w:p>
      <w:pPr>
        <w:spacing w:before="240" w:after="240" w:line="240" w:lineRule="auto"/>
        <w:ind w:left="720" w:hanging="720"/>
        <w:jc w:val="both"/>
        <w:rPr>
          <w:rFonts w:ascii="Times New Roman" w:eastAsia="Calibri" w:hAnsi="Times New Roman" w:cs="Times New Roman"/>
          <w:i/>
          <w:iCs/>
          <w:noProof/>
          <w:sz w:val="24"/>
          <w:szCs w:val="24"/>
        </w:rPr>
      </w:pPr>
    </w:p>
    <w:p>
      <w:pPr>
        <w:spacing w:before="240" w:after="240" w:line="240" w:lineRule="auto"/>
        <w:ind w:left="720" w:hanging="720"/>
        <w:jc w:val="both"/>
        <w:rPr>
          <w:rFonts w:ascii="Times New Roman" w:eastAsia="Calibri" w:hAnsi="Times New Roman" w:cs="Times New Roman"/>
          <w:i/>
          <w:iCs/>
          <w:noProof/>
          <w:sz w:val="24"/>
          <w:szCs w:val="24"/>
        </w:rPr>
      </w:pPr>
      <w:r>
        <w:rPr>
          <w:rFonts w:ascii="Times New Roman" w:hAnsi="Times New Roman"/>
          <w:i/>
          <w:iCs/>
          <w:noProof/>
          <w:sz w:val="24"/>
          <w:szCs w:val="24"/>
        </w:rPr>
        <w:t>2.</w:t>
      </w:r>
      <w:r>
        <w:rPr>
          <w:rFonts w:ascii="Times New Roman" w:hAnsi="Times New Roman"/>
          <w:i/>
          <w:iCs/>
          <w:noProof/>
          <w:sz w:val="24"/>
          <w:szCs w:val="24"/>
        </w:rPr>
        <w:tab/>
        <w:t xml:space="preserve"> Sistemi ta’ informazzjoni aktar b’saħħithom u aktar intelliġenti għall-ġestjoni tas-sigurtà, tal-fruntieri u tal-migrazzjoni</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L-UE intensifikat l-iskambju ta’ informazzjoni, biex l-indirizzar tal-frodi tal-identità jsir iktar faċli</w:t>
      </w:r>
      <w:r>
        <w:rPr>
          <w:rStyle w:val="FootnoteReference"/>
          <w:noProof/>
          <w:sz w:val="24"/>
          <w:szCs w:val="24"/>
        </w:rPr>
        <w:footnoteReference w:id="11"/>
      </w:r>
      <w:r>
        <w:rPr>
          <w:rFonts w:ascii="Times New Roman" w:hAnsi="Times New Roman"/>
          <w:noProof/>
          <w:sz w:val="24"/>
          <w:szCs w:val="24"/>
        </w:rPr>
        <w:t>, jissaħħu l-verifiki fil-fruntiera</w:t>
      </w:r>
      <w:r>
        <w:rPr>
          <w:rStyle w:val="FootnoteReference"/>
          <w:noProof/>
          <w:sz w:val="24"/>
          <w:szCs w:val="24"/>
        </w:rPr>
        <w:footnoteReference w:id="12"/>
      </w:r>
      <w:r>
        <w:rPr>
          <w:rFonts w:ascii="Times New Roman" w:hAnsi="Times New Roman"/>
          <w:noProof/>
          <w:sz w:val="24"/>
          <w:szCs w:val="24"/>
        </w:rPr>
        <w:t xml:space="preserve">, jiġu mmodernizzati l-bażijiet ta’ </w:t>
      </w:r>
      <w:r>
        <w:rPr>
          <w:rFonts w:ascii="Times New Roman" w:hAnsi="Times New Roman"/>
          <w:i/>
          <w:iCs/>
          <w:noProof/>
          <w:sz w:val="24"/>
          <w:szCs w:val="24"/>
        </w:rPr>
        <w:t>data</w:t>
      </w:r>
      <w:r>
        <w:rPr>
          <w:rFonts w:ascii="Times New Roman" w:hAnsi="Times New Roman"/>
          <w:noProof/>
          <w:sz w:val="24"/>
          <w:szCs w:val="24"/>
        </w:rPr>
        <w:t xml:space="preserve"> tal-infurzar tal-liġi fl-Ewropa</w:t>
      </w:r>
      <w:r>
        <w:rPr>
          <w:rStyle w:val="FootnoteReference"/>
          <w:noProof/>
          <w:sz w:val="24"/>
          <w:szCs w:val="24"/>
        </w:rPr>
        <w:footnoteReference w:id="13"/>
      </w:r>
      <w:r>
        <w:rPr>
          <w:rFonts w:ascii="Times New Roman" w:hAnsi="Times New Roman"/>
          <w:noProof/>
          <w:sz w:val="24"/>
          <w:szCs w:val="24"/>
        </w:rPr>
        <w:t>, jingħalqu l-lakuni fl-informazzjoni</w:t>
      </w:r>
      <w:r>
        <w:rPr>
          <w:rStyle w:val="FootnoteReference"/>
          <w:noProof/>
          <w:sz w:val="24"/>
          <w:szCs w:val="24"/>
        </w:rPr>
        <w:footnoteReference w:id="14"/>
      </w:r>
      <w:r>
        <w:rPr>
          <w:rFonts w:ascii="Times New Roman" w:hAnsi="Times New Roman"/>
          <w:noProof/>
          <w:sz w:val="24"/>
          <w:szCs w:val="24"/>
        </w:rPr>
        <w:t xml:space="preserve"> u tiġi rrinfurzata l-aġenzija tal-infurzar tal-liġi tal-UE, il-Europol</w:t>
      </w:r>
      <w:r>
        <w:rPr>
          <w:rStyle w:val="FootnoteReference"/>
          <w:noProof/>
          <w:sz w:val="24"/>
          <w:szCs w:val="24"/>
        </w:rPr>
        <w:footnoteReference w:id="15"/>
      </w:r>
      <w:r>
        <w:rPr>
          <w:rFonts w:ascii="Times New Roman" w:hAnsi="Times New Roman"/>
          <w:noProof/>
          <w:sz w:val="24"/>
          <w:szCs w:val="24"/>
        </w:rPr>
        <w:t xml:space="preserve">. Ċentrali għal dan hija </w:t>
      </w:r>
      <w:r>
        <w:rPr>
          <w:rFonts w:ascii="Times New Roman" w:hAnsi="Times New Roman"/>
          <w:b/>
          <w:noProof/>
          <w:sz w:val="24"/>
          <w:szCs w:val="24"/>
        </w:rPr>
        <w:t>l-interoperabbiltà tas-sistemi ta’ informazzjoni tal-UE</w:t>
      </w:r>
      <w:r>
        <w:rPr>
          <w:rStyle w:val="FootnoteReference"/>
          <w:noProof/>
          <w:sz w:val="24"/>
          <w:szCs w:val="24"/>
        </w:rPr>
        <w:footnoteReference w:id="16"/>
      </w:r>
      <w:r>
        <w:rPr>
          <w:rFonts w:ascii="Times New Roman" w:hAnsi="Times New Roman"/>
          <w:noProof/>
          <w:sz w:val="24"/>
          <w:szCs w:val="24"/>
        </w:rPr>
        <w:t>, li tirriżulta fl-aħjar użu mill-informazzjoni eżistenti u jingħalqu l-lakuni. B’reazzjoni għall-ħtiġijiet ta’ dawk li jaħdmu fuq quddiem nett, l-interoperabbiltà se twassal għal aċċess aktar rapidu u aktar sistematiku għall-informazzjoni għall-uffiċjali tal-infurzar tal-liġi, għall-gwardji tal-fruntieri u għall-uffiċjali tal-migrazzjoni, biex b’hekk tikkontribwixxi għat-titjib tas-sigurtà interna u l-ġestjoni tal-fruntieri.</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Madankollu, l-interoperabbiltà u l-innovazzjoni kollha li tinvolvi se jagħmlu differenza biss għall-ġestjoni tas-sigurtà, tal-fruntieri u tal-migrazzjoni fuq il-post jekk kull Stat Membru jimplimenta bis-sħiħ il-leġislazzjoni relatata. Dan huwa għala l-</w:t>
      </w:r>
      <w:r>
        <w:rPr>
          <w:rFonts w:ascii="Times New Roman" w:hAnsi="Times New Roman"/>
          <w:b/>
          <w:noProof/>
          <w:sz w:val="24"/>
          <w:szCs w:val="24"/>
        </w:rPr>
        <w:t>implimentazzjoni</w:t>
      </w:r>
      <w:r>
        <w:rPr>
          <w:rFonts w:ascii="Times New Roman" w:hAnsi="Times New Roman"/>
          <w:noProof/>
          <w:sz w:val="24"/>
          <w:szCs w:val="24"/>
        </w:rPr>
        <w:t xml:space="preserve"> tal-interoperabilità hija prijorità ewlenija fl-Unjoni tas-Sigurtà, kemm fil-livell politiku kif ukoll f’dak tekniku. Il-Kummissjoni u l-Aġenzija tal-UE għat-Tmexxija Operattiva tas-Sistemi tal-IT Fuq Skala Kbira fl-Ispazju tal-Libertà, is-Sigurtà u l-Ġustizzja (eu-LISA) jappoġġaw lill-Istati Membri b’għarfien espert u l-iskambju tal-aħjar prattiki, bl-użu ta’ netwerk ta’ koordinaturi nazzjonali u bl-iżvilupp ta’ scorecard biex ikunu jistgħu jsiru arranġamenti effettivi ta’ monitoraġġ u koordinazzjoni. Il-kooperazzjoni mill-qrib bejn l-aġenziji tal-UE, l-Istati Membri kollha u l-pajjiżi assoċjati ma’ Schengen se tkun ta’ importanza kbira sabiex jintlaħaq l-objettiv ambizzjuż li tinkiseb l-interoperabbiltà sħiħa tas-sistemi ta’ informazzjoni tal-UE għall-ġestjoni tas-sigurtà, tal-fruntieri u tal-migrazzjoni sal-2020</w:t>
      </w:r>
      <w:r>
        <w:rPr>
          <w:rFonts w:ascii="Times New Roman" w:hAnsi="Times New Roman"/>
          <w:iCs/>
          <w:noProof/>
          <w:sz w:val="24"/>
          <w:szCs w:val="24"/>
        </w:rPr>
        <w:t>.</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Sadanittant, il-Parlament Ewropew u l-Kunsill għadhom iridu </w:t>
      </w:r>
      <w:r>
        <w:rPr>
          <w:rFonts w:ascii="Times New Roman" w:hAnsi="Times New Roman"/>
          <w:b/>
          <w:noProof/>
          <w:sz w:val="24"/>
          <w:szCs w:val="24"/>
        </w:rPr>
        <w:t>jlestu l-ħidma leġislattiva</w:t>
      </w:r>
      <w:r>
        <w:rPr>
          <w:rFonts w:ascii="Times New Roman" w:hAnsi="Times New Roman"/>
          <w:noProof/>
          <w:sz w:val="24"/>
          <w:szCs w:val="24"/>
        </w:rPr>
        <w:t xml:space="preserve"> f’dan ir-rigward. Ftehim rapidu dwar il-proposti leġislattivi pendenti kollha huwa essenzjali biex tiġi żgurata l-implimentazzjoni sħiħa u f’waqtha tal-interoperabbiltà. L-ewwel nett, bħala parti mill-implimentazzjoni teknika tas-</w:t>
      </w:r>
      <w:r>
        <w:rPr>
          <w:rFonts w:ascii="Times New Roman" w:hAnsi="Times New Roman"/>
          <w:b/>
          <w:noProof/>
          <w:sz w:val="24"/>
          <w:szCs w:val="24"/>
        </w:rPr>
        <w:t>Sistema Ewropea ta’ Informazzjoni u ta’ Awtorizzazzjoni għall-Ivvjaġġar</w:t>
      </w:r>
      <w:r>
        <w:rPr>
          <w:rFonts w:ascii="Times New Roman" w:hAnsi="Times New Roman"/>
          <w:noProof/>
          <w:sz w:val="24"/>
          <w:szCs w:val="24"/>
        </w:rPr>
        <w:t>, hemm bżonn ta’ emendi tekniċi għar-Regolamenti relatati</w:t>
      </w:r>
      <w:r>
        <w:rPr>
          <w:rStyle w:val="FootnoteReference"/>
          <w:noProof/>
          <w:sz w:val="24"/>
          <w:szCs w:val="24"/>
        </w:rPr>
        <w:footnoteReference w:id="17"/>
      </w:r>
      <w:r>
        <w:rPr>
          <w:rFonts w:ascii="Times New Roman" w:hAnsi="Times New Roman"/>
          <w:noProof/>
          <w:sz w:val="24"/>
          <w:szCs w:val="24"/>
        </w:rPr>
        <w:t xml:space="preserve"> biex is-sistema tiġi stabbilita b’mod sħiħ. Il-Kummissjoni tistieden lill-Parlament Ewropew biex iħaffef il-ħidma tiegħu fuq dawn l-emendi tekniċi sabiex jinbdew in-negozjati interistituzzjonali malajr kemm jista’ jkun. It-tieni, negozjati interistituzzjonali għadhom għaddejjin dwar il-proposta ta’ Mejju 2018 biex tissaħħaħ u tiġi aġġornata s-</w:t>
      </w:r>
      <w:r>
        <w:rPr>
          <w:rFonts w:ascii="Times New Roman" w:hAnsi="Times New Roman"/>
          <w:b/>
          <w:noProof/>
          <w:sz w:val="24"/>
          <w:szCs w:val="24"/>
        </w:rPr>
        <w:t>Sistema ta’ Informazzjoni dwar il-Viża</w:t>
      </w:r>
      <w:r>
        <w:rPr>
          <w:rFonts w:ascii="Times New Roman" w:hAnsi="Times New Roman"/>
          <w:noProof/>
          <w:sz w:val="24"/>
          <w:szCs w:val="24"/>
        </w:rPr>
        <w:t xml:space="preserve"> eżistenti</w:t>
      </w:r>
      <w:r>
        <w:rPr>
          <w:rStyle w:val="FootnoteReference"/>
          <w:noProof/>
          <w:sz w:val="24"/>
          <w:szCs w:val="24"/>
        </w:rPr>
        <w:footnoteReference w:id="18"/>
      </w:r>
      <w:r>
        <w:rPr>
          <w:noProof/>
          <w:sz w:val="24"/>
          <w:szCs w:val="24"/>
        </w:rPr>
        <w:t>.</w:t>
      </w:r>
      <w:r>
        <w:rPr>
          <w:rFonts w:ascii="Times New Roman" w:hAnsi="Times New Roman"/>
          <w:noProof/>
          <w:sz w:val="24"/>
          <w:szCs w:val="24"/>
        </w:rPr>
        <w:t xml:space="preserve"> Filwaqt li tibni fuq l-ewwel laqgħa ta’ trilogu li saret fit-22 ta’ Ottubru 2019, il-Kummissjoni tappella liż-żewġ koleġislaturi biex jikkonkludu n-negozjati malajr kemm jista’ jkun. It-tielet, għadu pendenti l-ftehim fuq il-proposta tal-Kummissjoni ta’ Mejju 2016 biex jiġi estiż il-kamp ta’ applikazzjoni tal-</w:t>
      </w:r>
      <w:r>
        <w:rPr>
          <w:rFonts w:ascii="Times New Roman" w:hAnsi="Times New Roman"/>
          <w:b/>
          <w:noProof/>
          <w:sz w:val="24"/>
          <w:szCs w:val="24"/>
        </w:rPr>
        <w:t>Eurodac</w:t>
      </w:r>
      <w:r>
        <w:rPr>
          <w:rStyle w:val="FootnoteReference"/>
          <w:noProof/>
          <w:sz w:val="24"/>
          <w:szCs w:val="24"/>
        </w:rPr>
        <w:footnoteReference w:id="19"/>
      </w:r>
      <w:r>
        <w:rPr>
          <w:rFonts w:ascii="Times New Roman" w:hAnsi="Times New Roman"/>
          <w:noProof/>
          <w:sz w:val="24"/>
          <w:szCs w:val="24"/>
        </w:rPr>
        <w:t xml:space="preserve"> billi jinżammu mhux biss il-marki tas-swaba’ u d-</w:t>
      </w:r>
      <w:r>
        <w:rPr>
          <w:rFonts w:ascii="Times New Roman" w:hAnsi="Times New Roman"/>
          <w:i/>
          <w:iCs/>
          <w:noProof/>
          <w:sz w:val="24"/>
          <w:szCs w:val="24"/>
        </w:rPr>
        <w:t>data</w:t>
      </w:r>
      <w:r>
        <w:rPr>
          <w:rFonts w:ascii="Times New Roman" w:hAnsi="Times New Roman"/>
          <w:noProof/>
          <w:sz w:val="24"/>
          <w:szCs w:val="24"/>
        </w:rPr>
        <w:t xml:space="preserve"> rilevanti tal-applikanti għall-asil u ta’ persuni maqbuda b’rabta ma’ qsim irregolari tal-fruntiera esterna, iżda wkoll dawk ta’ ċittadini ta’ pajjiżi terzi b’residenza illegali. It-tibdiliet proposti jestendu wkoll il-perjodu ta’ ħażna tal-marki tas-swaba’ u d-</w:t>
      </w:r>
      <w:r>
        <w:rPr>
          <w:rFonts w:ascii="Times New Roman" w:hAnsi="Times New Roman"/>
          <w:i/>
          <w:iCs/>
          <w:noProof/>
          <w:sz w:val="24"/>
          <w:szCs w:val="24"/>
        </w:rPr>
        <w:t>data</w:t>
      </w:r>
      <w:r>
        <w:rPr>
          <w:rFonts w:ascii="Times New Roman" w:hAnsi="Times New Roman"/>
          <w:noProof/>
          <w:sz w:val="24"/>
          <w:szCs w:val="24"/>
        </w:rPr>
        <w:t xml:space="preserve"> rilevanti ta’ dawk li jidħlu fl-UE b’mod irregolari. Il-Kummissjoni tappella lill-koleġislaturi biex jipproċedu għall-adozzjoni tal-proposta.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szCs w:val="24"/>
        </w:rPr>
        <w:t>Sabiex jissaħħu s-sistemi ta’ informazzjoni tal-UE għall-ġestjoni tas-sigurtà, tal-fruntieri u tal-migrazzjoni, il-Kummissjoni tappella lill-Parlament Ewropew u lill-Kunsill:</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jc w:val="both"/>
              <w:rPr>
                <w:rFonts w:ascii="Times New Roman" w:hAnsi="Times New Roman"/>
                <w:noProof/>
                <w:sz w:val="24"/>
                <w:szCs w:val="24"/>
              </w:rPr>
            </w:pPr>
            <w:r>
              <w:rPr>
                <w:rFonts w:ascii="Times New Roman" w:hAnsi="Times New Roman"/>
                <w:noProof/>
                <w:sz w:val="24"/>
                <w:szCs w:val="24"/>
              </w:rPr>
              <w:t>biex javvanzaw il-ħidma bil-ħsieb li jintlaħaq ftehim rapidu dwar l-emendi tekniċi proposti li huma meħtieġa biex tiġi stabbilita s-</w:t>
            </w:r>
            <w:r>
              <w:rPr>
                <w:rFonts w:ascii="Times New Roman" w:hAnsi="Times New Roman"/>
                <w:b/>
                <w:noProof/>
                <w:sz w:val="24"/>
                <w:szCs w:val="24"/>
              </w:rPr>
              <w:t>Sistema Ewropea ta’ Informazzjoni u ta’ Awtorizzazzjoni għall-Ivvjaġġar</w:t>
            </w:r>
            <w:r>
              <w:rPr>
                <w:rFonts w:ascii="Times New Roman" w:hAnsi="Times New Roman"/>
                <w:noProof/>
                <w:sz w:val="24"/>
                <w:szCs w:val="24"/>
              </w:rPr>
              <w:t>.</w:t>
            </w:r>
          </w:p>
          <w:p>
            <w:pPr>
              <w:pStyle w:val="ListParagraph"/>
              <w:numPr>
                <w:ilvl w:val="0"/>
                <w:numId w:val="20"/>
              </w:numPr>
              <w:jc w:val="both"/>
              <w:rPr>
                <w:rFonts w:ascii="Times New Roman" w:hAnsi="Times New Roman"/>
                <w:noProof/>
                <w:sz w:val="24"/>
                <w:szCs w:val="24"/>
              </w:rPr>
            </w:pPr>
            <w:r>
              <w:rPr>
                <w:rFonts w:ascii="Times New Roman" w:hAnsi="Times New Roman"/>
                <w:noProof/>
                <w:sz w:val="24"/>
                <w:szCs w:val="24"/>
              </w:rPr>
              <w:t>biex isiru n-negozjati dwar il-proposta biex tissaħħaħ is-</w:t>
            </w:r>
            <w:r>
              <w:rPr>
                <w:rFonts w:ascii="Times New Roman" w:hAnsi="Times New Roman"/>
                <w:b/>
                <w:noProof/>
                <w:sz w:val="24"/>
                <w:szCs w:val="24"/>
              </w:rPr>
              <w:t>Sistema ta’ Informazzjoni dwar il-Viża</w:t>
            </w:r>
            <w:r>
              <w:rPr>
                <w:rFonts w:ascii="Times New Roman" w:hAnsi="Times New Roman"/>
                <w:noProof/>
                <w:sz w:val="24"/>
                <w:szCs w:val="24"/>
              </w:rPr>
              <w:t xml:space="preserve"> eżistenti u biex dawn jiġu konklużi malajr.</w:t>
            </w:r>
          </w:p>
          <w:p>
            <w:pPr>
              <w:pStyle w:val="ListParagraph"/>
              <w:numPr>
                <w:ilvl w:val="0"/>
                <w:numId w:val="20"/>
              </w:numPr>
              <w:rPr>
                <w:rFonts w:ascii="Times New Roman" w:hAnsi="Times New Roman"/>
                <w:noProof/>
                <w:sz w:val="24"/>
                <w:szCs w:val="24"/>
              </w:rPr>
            </w:pPr>
            <w:r>
              <w:rPr>
                <w:rFonts w:ascii="Times New Roman" w:hAnsi="Times New Roman"/>
                <w:noProof/>
                <w:sz w:val="24"/>
                <w:szCs w:val="24"/>
              </w:rPr>
              <w:t>biex jadottaw il-proposta leġislattiva dwar il-</w:t>
            </w:r>
            <w:r>
              <w:rPr>
                <w:rFonts w:ascii="Times New Roman" w:hAnsi="Times New Roman"/>
                <w:b/>
                <w:noProof/>
                <w:sz w:val="24"/>
                <w:szCs w:val="24"/>
              </w:rPr>
              <w:t>Eurodac</w:t>
            </w:r>
            <w:r>
              <w:rPr>
                <w:rFonts w:ascii="Times New Roman" w:hAnsi="Times New Roman"/>
                <w:i/>
                <w:noProof/>
                <w:sz w:val="24"/>
                <w:szCs w:val="24"/>
              </w:rPr>
              <w:t xml:space="preserve"> (Prijorità ta’ Dikjarazzjoni Konġunta)</w:t>
            </w:r>
            <w:r>
              <w:rPr>
                <w:rFonts w:ascii="Times New Roman" w:hAnsi="Times New Roman"/>
                <w:noProof/>
                <w:sz w:val="24"/>
                <w:szCs w:val="24"/>
              </w:rPr>
              <w:t>;</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3.</w:t>
      </w:r>
      <w:r>
        <w:rPr>
          <w:noProof/>
          <w:sz w:val="24"/>
          <w:szCs w:val="24"/>
        </w:rPr>
        <w:t xml:space="preserve"> </w:t>
      </w:r>
      <w:r>
        <w:rPr>
          <w:noProof/>
          <w:sz w:val="24"/>
          <w:szCs w:val="24"/>
        </w:rPr>
        <w:tab/>
      </w:r>
      <w:r>
        <w:rPr>
          <w:rFonts w:ascii="Times New Roman" w:hAnsi="Times New Roman"/>
          <w:i/>
          <w:iCs/>
          <w:noProof/>
          <w:sz w:val="24"/>
          <w:szCs w:val="24"/>
        </w:rPr>
        <w:t>Għeluq tal-ispazji li fihom joperaw it-terroristi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L-UE ħadet azzjoni soda biex tagħlaq l-ispazju li fih joperaw it-terroristi, b’regoli ġodda li jagħmluha aktar diffiċli għal terroristi u kriminali oħra biex jaċċessaw splussivi</w:t>
      </w:r>
      <w:r>
        <w:rPr>
          <w:rStyle w:val="FootnoteReference"/>
          <w:noProof/>
          <w:sz w:val="24"/>
          <w:szCs w:val="24"/>
        </w:rPr>
        <w:footnoteReference w:id="20"/>
      </w:r>
      <w:r>
        <w:rPr>
          <w:rFonts w:ascii="Times New Roman" w:hAnsi="Times New Roman"/>
          <w:noProof/>
          <w:sz w:val="24"/>
          <w:szCs w:val="24"/>
        </w:rPr>
        <w:t>, armi tan-nar u finanzjament</w:t>
      </w:r>
      <w:r>
        <w:rPr>
          <w:rStyle w:val="FootnoteReference"/>
          <w:noProof/>
          <w:sz w:val="24"/>
          <w:szCs w:val="24"/>
        </w:rPr>
        <w:footnoteReference w:id="21"/>
      </w:r>
      <w:r>
        <w:rPr>
          <w:rFonts w:ascii="Times New Roman" w:hAnsi="Times New Roman"/>
          <w:noProof/>
          <w:sz w:val="24"/>
          <w:szCs w:val="24"/>
        </w:rPr>
        <w:t>, u li jirrestrinġu l-movimenti tagħhom</w:t>
      </w:r>
      <w:r>
        <w:rPr>
          <w:rStyle w:val="FootnoteReference"/>
          <w:noProof/>
          <w:sz w:val="24"/>
          <w:szCs w:val="24"/>
        </w:rPr>
        <w:footnoteReference w:id="22"/>
      </w:r>
      <w:r>
        <w:rPr>
          <w:noProof/>
          <w:sz w:val="24"/>
          <w:szCs w:val="24"/>
        </w:rPr>
        <w:t>.</w:t>
      </w:r>
    </w:p>
    <w:p>
      <w:pPr>
        <w:spacing w:before="240"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Biex issaħħaħ ir-rispons ġudizzjarju għat-terroriżmu, fl-1 ta’ Settembru 2019 l-Aġenzija tal-UE għall-Kooperazzjoni fil-Ġustizzja Kriminali (Eurojust) waqqfet </w:t>
      </w:r>
      <w:r>
        <w:rPr>
          <w:rFonts w:ascii="Times New Roman" w:hAnsi="Times New Roman"/>
          <w:b/>
          <w:iCs/>
          <w:noProof/>
          <w:sz w:val="24"/>
          <w:szCs w:val="24"/>
        </w:rPr>
        <w:t>Reġistru Ewropew Kontra t-Terroriżmu</w:t>
      </w:r>
      <w:r>
        <w:rPr>
          <w:rFonts w:ascii="Times New Roman" w:hAnsi="Times New Roman"/>
          <w:iCs/>
          <w:noProof/>
          <w:sz w:val="24"/>
          <w:szCs w:val="24"/>
        </w:rPr>
        <w:t>. Ir-reġistru se jiġbor informazzjoni ġudizzjarja biex jiġu stabbiliti rabtiet fi proċedimenti kontra persuni suspettati b’reati terroristiċi, u b’hekk isaħħaħ il-koordinazzjoni fost il-prosekuturi f’investigazzjonijiet kontra t-terroriżmu b’implikazzjonijiet transfruntiera potenzjali.</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Madankollu, huma meħtieġa aktar sforzi biex jiġu appoġġati u ffaċilitati investigazzjonijiet f’każijiet transfruntiera, b’mod partikolari fir-rigward tal-</w:t>
      </w:r>
      <w:r>
        <w:rPr>
          <w:rFonts w:ascii="Times New Roman" w:hAnsi="Times New Roman"/>
          <w:b/>
          <w:noProof/>
          <w:sz w:val="24"/>
          <w:szCs w:val="24"/>
        </w:rPr>
        <w:t>aċċess għall-infurzar tal-liġi għall-evidenza elettronika</w:t>
      </w:r>
      <w:r>
        <w:rPr>
          <w:rFonts w:ascii="Times New Roman" w:hAnsi="Times New Roman"/>
          <w:noProof/>
          <w:sz w:val="24"/>
          <w:szCs w:val="24"/>
        </w:rPr>
        <w:t>. Fir-rigward tal-proposti leġislattivi ta’ April 2018 biex jittejjeb l-aċċess transfruntier għall-evidenza elettronika fl-investigazzjonijiet kriminali</w:t>
      </w:r>
      <w:r>
        <w:rPr>
          <w:rFonts w:ascii="Times New Roman" w:hAnsi="Times New Roman" w:cs="Times New Roman"/>
          <w:noProof/>
          <w:sz w:val="24"/>
          <w:szCs w:val="24"/>
          <w:vertAlign w:val="superscript"/>
        </w:rPr>
        <w:footnoteReference w:id="23"/>
      </w:r>
      <w:r>
        <w:rPr>
          <w:rFonts w:ascii="Times New Roman" w:hAnsi="Times New Roman"/>
          <w:noProof/>
          <w:sz w:val="24"/>
          <w:szCs w:val="24"/>
        </w:rPr>
        <w:t>, il-Parlament Ewropew għad irid jadotta l-pożizzjoni ta’ negozjar tiegħu qabel ma l-koleġislaturi jkunu jistgħu jidħlu f’negozjati. Il-Kummissjoni tħeġġeġ lill-Parlament Ewropew biex javvanza din il-proposta leġislattiva sabiex il-koleġislaturi jkunu jistgħu jaħdmu lejn adozzjoni rapida. Abbażi tal-proposta tagħha għar-regoli interni tal-UE, il-Kummissjoni qed tinvolvi ruħha wkoll f’</w:t>
      </w:r>
      <w:r>
        <w:rPr>
          <w:rFonts w:ascii="Times New Roman" w:hAnsi="Times New Roman"/>
          <w:b/>
          <w:noProof/>
          <w:sz w:val="24"/>
          <w:szCs w:val="24"/>
        </w:rPr>
        <w:t>negozjati internazzjonali</w:t>
      </w:r>
      <w:r>
        <w:rPr>
          <w:rFonts w:ascii="Times New Roman" w:hAnsi="Times New Roman"/>
          <w:noProof/>
          <w:sz w:val="24"/>
          <w:szCs w:val="24"/>
        </w:rPr>
        <w:t xml:space="preserve"> biex ittejjeb l-aċċess transfruntier għall-evidenza elettronika. Fil-25 ta’ Settembru 2019, il-Kummissjoni u l-awtoritajiet tal-Istati Uniti kellhom l-ewwel ċiklu formali ta’ negozjati dwar </w:t>
      </w:r>
      <w:r>
        <w:rPr>
          <w:rFonts w:ascii="Times New Roman" w:hAnsi="Times New Roman"/>
          <w:b/>
          <w:noProof/>
          <w:sz w:val="24"/>
          <w:szCs w:val="24"/>
        </w:rPr>
        <w:t>Ftehim bejn l-UE u l-Istati Uniti dwar l-aċċess transfruntier għall-evidenza elettronika</w:t>
      </w:r>
      <w:r>
        <w:rPr>
          <w:rFonts w:ascii="Times New Roman" w:hAnsi="Times New Roman"/>
          <w:noProof/>
          <w:sz w:val="24"/>
          <w:szCs w:val="24"/>
        </w:rPr>
        <w:t xml:space="preserve">. Ċiklu ieħor huwa skedat għas-6 ta’ Novembru 2019. Fil-kuntest tan-negozjati li għaddejjin dwar </w:t>
      </w:r>
      <w:r>
        <w:rPr>
          <w:rFonts w:ascii="Times New Roman" w:hAnsi="Times New Roman"/>
          <w:b/>
          <w:noProof/>
          <w:sz w:val="24"/>
          <w:szCs w:val="24"/>
        </w:rPr>
        <w:t>it-Tieni Protokoll Addizzjonali għall-Konvenzjoni ta’ Budapest tal-Kunsill tal-Ewropa dwar iċ-Ċiberkriminalità</w:t>
      </w:r>
      <w:r>
        <w:rPr>
          <w:rFonts w:ascii="Times New Roman" w:hAnsi="Times New Roman"/>
          <w:noProof/>
          <w:sz w:val="24"/>
          <w:szCs w:val="24"/>
        </w:rPr>
        <w:t>, il-Kummissjoni ħadet sehem f’isem l-Unjoni fi tliet sessjonijiet ta’ negozjar f’Lulju, f’Settembru u f’Ottubru 2019. Filwaqt li sar progress tajjeb f’dawn in-negozjati, għadd ta’ suġġetti ewlenin ta’ interess sinifikanti għall-Unjoni għad iridu jiġu indirizzati, bħal salvagwardji għall-protezzjoni tad-</w:t>
      </w:r>
      <w:r>
        <w:rPr>
          <w:rFonts w:ascii="Times New Roman" w:hAnsi="Times New Roman"/>
          <w:i/>
          <w:iCs/>
          <w:noProof/>
          <w:sz w:val="24"/>
          <w:szCs w:val="24"/>
        </w:rPr>
        <w:t>data</w:t>
      </w:r>
      <w:r>
        <w:rPr>
          <w:rFonts w:ascii="Times New Roman" w:hAnsi="Times New Roman"/>
          <w:noProof/>
          <w:sz w:val="24"/>
          <w:szCs w:val="24"/>
        </w:rPr>
        <w:t>. In-negozjati tat-Tieni Protokoll Addizzjonali se jkomplu f’Novembru 2019 u matul l-2020. Huwa importanti li ż-żewġ negozjati jsiru malajr sabiex ikun hemm avvanz fil-kooperazzjoni internazzjonali dwar il-kondiviżjoni tal-evidenza elettronika, filwaqt li tiġi żgurata l-kompatibbiltà mad-dritt tal-UE u mal-obbligi tal-Istati Membri, u jitqiesu wkoll l-iżviluppi futuri fil-liġi tal-UE.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F’riflessjoni tat-tħassib kontinwu dwar il-ħasil tal-flus, fid-19 ta’ Settembru 2019 il-Parlament Ewropew adotta </w:t>
      </w:r>
      <w:r>
        <w:rPr>
          <w:rFonts w:ascii="Times New Roman" w:hAnsi="Times New Roman"/>
          <w:b/>
          <w:iCs/>
          <w:noProof/>
          <w:sz w:val="24"/>
          <w:szCs w:val="24"/>
        </w:rPr>
        <w:t>Riżoluzzjoni dwar l-istat ta’ implimentazzjoni tal-leġislazzjoni tal-Unjoni kontra l-ħasil tal-flus</w:t>
      </w:r>
      <w:r>
        <w:rPr>
          <w:rFonts w:ascii="Times New Roman" w:eastAsia="Calibri" w:hAnsi="Times New Roman" w:cs="Times New Roman"/>
          <w:iCs/>
          <w:noProof/>
          <w:sz w:val="24"/>
          <w:szCs w:val="24"/>
          <w:vertAlign w:val="superscript"/>
        </w:rPr>
        <w:footnoteReference w:id="24"/>
      </w:r>
      <w:r>
        <w:rPr>
          <w:rFonts w:ascii="Times New Roman" w:hAnsi="Times New Roman"/>
          <w:iCs/>
          <w:noProof/>
          <w:sz w:val="24"/>
          <w:szCs w:val="24"/>
        </w:rPr>
        <w:t>, li jirrispondi għall-pakkett ta’ erba’ rapporti dwar il-ġlieda kontra l-ħasil tal-flus li l-Kummissjoni adottat fit-24 ta’ Lulju 2019</w:t>
      </w:r>
      <w:r>
        <w:rPr>
          <w:rFonts w:ascii="Times New Roman" w:eastAsia="Calibri" w:hAnsi="Times New Roman" w:cs="Times New Roman"/>
          <w:iCs/>
          <w:noProof/>
          <w:sz w:val="24"/>
          <w:szCs w:val="24"/>
          <w:vertAlign w:val="superscript"/>
        </w:rPr>
        <w:footnoteReference w:id="25"/>
      </w:r>
      <w:r>
        <w:rPr>
          <w:rFonts w:ascii="Times New Roman" w:hAnsi="Times New Roman"/>
          <w:iCs/>
          <w:noProof/>
          <w:sz w:val="24"/>
          <w:szCs w:val="24"/>
        </w:rPr>
        <w:t>. Il-Parlament Ewropew appella lill-Istati Membri biex jiżguraw l-implimentazzjoni korretta u rapida tad-direttivi kontra l-ħasil tal-flus. Il-Parlament Ewropew talab ukoll lill-Kummissjoni biex tivvaluta jekk ikunx aktar xieraq li jsir regolament kontra l-ħasil tal-flus  minflok Direttiva u biex tivvaluta l-ħtieġa għal mekkaniżmu ta’ koordinazzjoni u appoġġ għal unitajiet tal-intelligence finanzjarja.</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Sabiex jitjieb l-aċċess għall-infurzar tal-liġi għall-evidenza elettronika, il-Kummissjoni tappella lill-Parlament Ewropew u lill-Kunsill:</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keepNext/>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biex jilħqu ftehim malajr dwar il-proposti leġislattivi dwar l-</w:t>
            </w:r>
            <w:r>
              <w:rPr>
                <w:rFonts w:ascii="Times New Roman" w:hAnsi="Times New Roman"/>
                <w:b/>
                <w:noProof/>
                <w:sz w:val="24"/>
                <w:szCs w:val="24"/>
              </w:rPr>
              <w:t>evidenza elettronika</w:t>
            </w:r>
            <w:r>
              <w:rPr>
                <w:rFonts w:ascii="Times New Roman" w:hAnsi="Times New Roman"/>
                <w:noProof/>
                <w:sz w:val="24"/>
                <w:szCs w:val="24"/>
              </w:rPr>
              <w:t xml:space="preserve"> </w:t>
            </w:r>
            <w:r>
              <w:rPr>
                <w:rFonts w:ascii="Times New Roman" w:hAnsi="Times New Roman"/>
                <w:i/>
                <w:noProof/>
                <w:sz w:val="24"/>
                <w:szCs w:val="24"/>
              </w:rPr>
              <w:t>(Prijorità ta’ Dikjarazzjoni Konġunta)</w:t>
            </w:r>
            <w:r>
              <w:rPr>
                <w:rFonts w:ascii="Times New Roman" w:hAnsi="Times New Roman"/>
                <w:noProof/>
                <w:sz w:val="24"/>
                <w:szCs w:val="24"/>
              </w:rPr>
              <w:t>.</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 xml:space="preserve">4.      It-tisħiħ taċ-ċibersigurtà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It-tisħiħ taċ-ċibersigurtà jibqa’ aspett ewlieni tal-ħidma lejn Unjoni tas-Sigurtà ġenwina u effettiva. Fl-implimentazzjoni tal-Istrateġija taċ-Ċibersigurtà tal-UE tal-2017</w:t>
      </w:r>
      <w:r>
        <w:rPr>
          <w:rStyle w:val="FootnoteReference"/>
          <w:noProof/>
          <w:sz w:val="24"/>
          <w:szCs w:val="24"/>
        </w:rPr>
        <w:footnoteReference w:id="26"/>
      </w:r>
      <w:r>
        <w:rPr>
          <w:rFonts w:ascii="Times New Roman" w:hAnsi="Times New Roman"/>
          <w:noProof/>
          <w:sz w:val="24"/>
          <w:szCs w:val="24"/>
        </w:rPr>
        <w:t>, l-Unjoni saħħet kemm ir-reżiljenza tagħha billi għamlet lilha nnifisha iktar diffiċli li tiġi attakkata u iktar faċli biex tirkupra, kif ukoll id-deterrenza tagħha billi żiedet iċ-ċans li dawk li jwettqu l-attakki jinqabdu u jiġu kkastigati, inkluż permezz ta’ qafas għal rispons diplomatiku konġunt tal-UE għal attivitajiet ċibernetiċi malizzjużi. L-Unjoni tappoġġa wkoll lill-Istati Membri fiċ-ċiberdifiża, u timplimenta l-Qafas ta’ Politika tal-UE dwar iċ-Ċiberdifiża.</w:t>
      </w:r>
      <w:r>
        <w:rPr>
          <w:rFonts w:ascii="Times New Roman" w:hAnsi="Times New Roman" w:cs="Times New Roman"/>
          <w:noProof/>
          <w:sz w:val="24"/>
          <w:szCs w:val="24"/>
          <w:vertAlign w:val="superscript"/>
        </w:rPr>
        <w:footnoteReference w:id="27"/>
      </w:r>
    </w:p>
    <w:p>
      <w:pPr>
        <w:spacing w:line="240" w:lineRule="auto"/>
        <w:jc w:val="both"/>
        <w:rPr>
          <w:rFonts w:ascii="Times New Roman" w:hAnsi="Times New Roman" w:cs="Times New Roman"/>
          <w:noProof/>
          <w:sz w:val="24"/>
          <w:szCs w:val="24"/>
        </w:rPr>
      </w:pPr>
      <w:r>
        <w:rPr>
          <w:rFonts w:ascii="Times New Roman" w:hAnsi="Times New Roman"/>
          <w:noProof/>
          <w:sz w:val="24"/>
          <w:szCs w:val="24"/>
        </w:rPr>
        <w:t>Bid-dħul fis-seħħ tal-Att dwar iċ-Ċibersigurtà</w:t>
      </w:r>
      <w:r>
        <w:rPr>
          <w:rStyle w:val="FootnoteReference"/>
          <w:noProof/>
          <w:sz w:val="24"/>
          <w:szCs w:val="24"/>
        </w:rPr>
        <w:footnoteReference w:id="28"/>
      </w:r>
      <w:r>
        <w:rPr>
          <w:rFonts w:ascii="Times New Roman" w:hAnsi="Times New Roman"/>
          <w:noProof/>
          <w:sz w:val="24"/>
          <w:szCs w:val="24"/>
        </w:rPr>
        <w:t xml:space="preserve"> f’Ġunju 2019, qed jissawwar il-</w:t>
      </w:r>
      <w:r>
        <w:rPr>
          <w:rFonts w:ascii="Times New Roman" w:hAnsi="Times New Roman"/>
          <w:b/>
          <w:noProof/>
          <w:sz w:val="24"/>
          <w:szCs w:val="24"/>
        </w:rPr>
        <w:t>qafas taċ-ċertifikazzjoni taċ-ċibersigurtà tal-UE</w:t>
      </w:r>
      <w:r>
        <w:rPr>
          <w:rFonts w:ascii="Times New Roman" w:hAnsi="Times New Roman"/>
          <w:noProof/>
          <w:sz w:val="24"/>
          <w:szCs w:val="24"/>
        </w:rPr>
        <w:t>. Iċ-ċertifikazzjoni għandha rwol kritiku fiż-żieda tal-fiduċja u tas-sigurtà fil-prodotti u s-servizzi li huma kruċjali għas-Suq Uniku Diġitali. Il-qafas ta’ ċertifikazzjoni se jipprovdi skemi ta’ ċertifikazzjoni fl-UE kollha bħala sett komprensiv ta’ regoli, rekwiżiti tekniċi, standards u proċeduri. Dan jinvolvi żewġ gruppi ta’ esperti, jiġifieri l-Grupp Ewropew taċ-Ċertifikazzjoni taċ-Ċibersigurtà li jirrappreżenta l-awtoritajiet tal-Istati Membri u l-Grupp tal-Partijiet Interessati taċ-Ċertifikazzjoni taċ-Ċibersigurtà li jirrappreżenta l-industrija. Dan tal-aħħar jgħaqqad flimkien kemm in-naħa tad-domanda kif ukoll dik tal-provvista ta’ prodotti u servizzi tat-teknoloġija tal-komunikazzjoni, inklużi intrapriżi żgħar u ta’ daqs medju, fornituri ta’ servizzi diġitali, korpi Ewropej u internazzjonali ta’ standardizzazzjoni, korpi nazzjonali ta’ akkreditazzjoni, awtoritajiet superviżorji tal-protezzjoni tad-</w:t>
      </w:r>
      <w:r>
        <w:rPr>
          <w:rFonts w:ascii="Times New Roman" w:hAnsi="Times New Roman"/>
          <w:i/>
          <w:iCs/>
          <w:noProof/>
          <w:sz w:val="24"/>
          <w:szCs w:val="24"/>
        </w:rPr>
        <w:t>data</w:t>
      </w:r>
      <w:r>
        <w:rPr>
          <w:rFonts w:ascii="Times New Roman" w:hAnsi="Times New Roman"/>
          <w:noProof/>
          <w:sz w:val="24"/>
          <w:szCs w:val="24"/>
        </w:rPr>
        <w:t xml:space="preserve"> u korpi ta’ valutazzjoni tal-konformità.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Sadanittant, il-Parlament Ewropew u l-Kunsill għad iridu jilħqu qbil dwar l-inizjattiva leġislattiva</w:t>
      </w:r>
      <w:r>
        <w:rPr>
          <w:rStyle w:val="FootnoteReference"/>
          <w:bCs/>
          <w:noProof/>
          <w:sz w:val="24"/>
          <w:szCs w:val="24"/>
        </w:rPr>
        <w:footnoteReference w:id="29"/>
      </w:r>
      <w:r>
        <w:rPr>
          <w:rFonts w:ascii="Times New Roman" w:hAnsi="Times New Roman"/>
          <w:noProof/>
          <w:sz w:val="24"/>
          <w:szCs w:val="24"/>
        </w:rPr>
        <w:t xml:space="preserve"> għal </w:t>
      </w:r>
      <w:r>
        <w:rPr>
          <w:rFonts w:ascii="Times New Roman" w:hAnsi="Times New Roman"/>
          <w:b/>
          <w:noProof/>
          <w:sz w:val="24"/>
          <w:szCs w:val="24"/>
        </w:rPr>
        <w:t>Ċentru Ewropew tal-Kompetenza Industrijali, tat-Teknoloġika u tar-Riċerka fil-qasam taċ-Ċibersigurtà u n-Network ta’ Ċentri Nazzjonali ta’ Koordinazzjoni</w:t>
      </w:r>
      <w:r>
        <w:rPr>
          <w:rFonts w:ascii="Times New Roman" w:hAnsi="Times New Roman"/>
          <w:noProof/>
          <w:sz w:val="24"/>
          <w:szCs w:val="24"/>
        </w:rPr>
        <w:t>.</w:t>
      </w:r>
      <w:r>
        <w:rPr>
          <w:rFonts w:ascii="Times New Roman" w:hAnsi="Times New Roman"/>
          <w:bCs/>
          <w:noProof/>
          <w:sz w:val="24"/>
          <w:szCs w:val="24"/>
        </w:rPr>
        <w:t xml:space="preserve"> </w:t>
      </w:r>
      <w:r>
        <w:rPr>
          <w:rFonts w:ascii="Times New Roman" w:hAnsi="Times New Roman"/>
          <w:noProof/>
          <w:sz w:val="24"/>
          <w:szCs w:val="24"/>
        </w:rPr>
        <w:t>Il-proposta għandha l-għan li ssaħħaħ il-kapaċità taċ-ċibersigurtà tal-Unjoni billi tistimula l-ekosistema taċ-ċibersigurtà industrijali u teknoloġika Ewropea kif ukoll tikkoordina u tiġbor ir-riżorsi relatati. Il-Kummissjoni tappella liż-żewġ koleġislaturi biex ikomplu u jikkonkludu malajr in-negozjati interistituzzjonali dwar din l-inizjattiva ta’ prijorità biex tissaħħaħ iċ-ċibersigurtà.</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Il-ħidma biex tissaħħaħ iċ-ċibersigurtà tinkludi appoġġ kemm għal-livelli nazzjonali kif ukoll reġjonali</w:t>
      </w:r>
      <w:r>
        <w:rPr>
          <w:rStyle w:val="FootnoteReference"/>
          <w:noProof/>
          <w:sz w:val="24"/>
          <w:szCs w:val="24"/>
        </w:rPr>
        <w:footnoteReference w:id="30"/>
      </w:r>
      <w:r>
        <w:rPr>
          <w:noProof/>
          <w:sz w:val="24"/>
          <w:szCs w:val="24"/>
        </w:rPr>
        <w:t>.</w:t>
      </w:r>
    </w:p>
    <w:p>
      <w:pPr>
        <w:widowControl w:val="0"/>
        <w:spacing w:after="240" w:line="240" w:lineRule="auto"/>
        <w:jc w:val="both"/>
        <w:rPr>
          <w:rFonts w:ascii="Times New Roman" w:eastAsia="Calibri" w:hAnsi="Times New Roman" w:cs="Times New Roman"/>
          <w:noProof/>
          <w:sz w:val="24"/>
          <w:szCs w:val="24"/>
          <w:highlight w:val="yellow"/>
        </w:rPr>
      </w:pPr>
      <w:r>
        <w:rPr>
          <w:rFonts w:ascii="Times New Roman" w:hAnsi="Times New Roman"/>
          <w:noProof/>
          <w:sz w:val="24"/>
          <w:szCs w:val="24"/>
        </w:rPr>
        <w:t>Lil hinn mit-theddid ċibernetiku li għandu fil-mira s-sistemi u d-</w:t>
      </w:r>
      <w:r>
        <w:rPr>
          <w:rFonts w:ascii="Times New Roman" w:hAnsi="Times New Roman"/>
          <w:i/>
          <w:iCs/>
          <w:noProof/>
          <w:sz w:val="24"/>
          <w:szCs w:val="24"/>
        </w:rPr>
        <w:t>data</w:t>
      </w:r>
      <w:r>
        <w:rPr>
          <w:rFonts w:ascii="Times New Roman" w:hAnsi="Times New Roman"/>
          <w:noProof/>
          <w:sz w:val="24"/>
          <w:szCs w:val="24"/>
        </w:rPr>
        <w:t xml:space="preserve">, l-UE tkompli tindirizza l-isfidi kumplessi u multidimensjonali kkawżati minn </w:t>
      </w:r>
      <w:r>
        <w:rPr>
          <w:rFonts w:ascii="Times New Roman" w:hAnsi="Times New Roman"/>
          <w:b/>
          <w:noProof/>
          <w:sz w:val="24"/>
          <w:szCs w:val="24"/>
        </w:rPr>
        <w:t>theddid ibridu</w:t>
      </w:r>
      <w:r>
        <w:rPr>
          <w:rFonts w:ascii="Times New Roman" w:hAnsi="Times New Roman"/>
          <w:noProof/>
          <w:sz w:val="24"/>
          <w:szCs w:val="24"/>
        </w:rPr>
        <w:t>. Fil-Kunsill, ġie stabbilit grupp ta’ ħidma orizzontali dwar il-ġlied kontra t-theddid ibridu biex itejjeb ir-reżiljenza tal-UE u tal-Istati Membri tagħha kontra t-theddid ibridu u biex jappoġġa l-azzjoni biex tissaħħaħ ir-reżiljenza tal-kriżijiet tas-soċjetajiet. Il-Kummissjoni u s-Servizz Ewropew għall-Azzjoni Esterna jappoġġaw dawn l-isforzi taħt il-Qafas Konġunt tal-2016 dwar il-Ġlieda kontra t-Theddid Ibridu</w:t>
      </w:r>
      <w:r>
        <w:rPr>
          <w:rStyle w:val="FootnoteReference"/>
          <w:noProof/>
          <w:sz w:val="24"/>
          <w:szCs w:val="24"/>
        </w:rPr>
        <w:footnoteReference w:id="31"/>
      </w:r>
      <w:r>
        <w:rPr>
          <w:rFonts w:ascii="Times New Roman" w:hAnsi="Times New Roman"/>
          <w:noProof/>
          <w:sz w:val="24"/>
          <w:szCs w:val="24"/>
        </w:rPr>
        <w:t xml:space="preserve"> u l-Komunikazzjoni Konġunta tal-2018</w:t>
      </w:r>
      <w:r>
        <w:rPr>
          <w:rStyle w:val="FootnoteReference"/>
          <w:noProof/>
          <w:sz w:val="24"/>
          <w:szCs w:val="24"/>
        </w:rPr>
        <w:footnoteReference w:id="32"/>
      </w:r>
      <w:r>
        <w:rPr>
          <w:rFonts w:ascii="Times New Roman" w:hAnsi="Times New Roman"/>
          <w:noProof/>
          <w:sz w:val="24"/>
          <w:szCs w:val="24"/>
        </w:rPr>
        <w:t xml:space="preserve"> dwar iż-żieda tar-reżiljenza u t-tisħiħ tal-kapaċitajiet biex jiġi indirizzat it-theddid ibridu. Barra minn hekk, iċ-Ċentru Konġunt tar-Riċerka qed jelabora qafas ta’ “mudell kunċettwali” biex jikkaratterizza t-theddid ibridu, bil-għan li jgħin lill-Istati Membri u lill-awtoritajiet kompetenti tagħhom jidentifikaw it-tip ta’ attakk ibridu li jistgħu jiffaċċjaw. Il-mudell iħares lejn il-mod li bih attur (statali jew le) juża serje ta’ għodod (minn diżinformazzjoni għal spjunaġġ jew operazzjonijiet fiżiċi) f’diversi oqsma (ekonomiċi, militari, soċjali, politiċi) biex jaffettwaw mira sabiex jiksbu sensiela ta’ objettivi.</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Sabiex tissaħħaħ iċ-ċibersigurtà, il-Kummissjoni tistieden lill-Parlament Ewropew u lill-Kunsill:</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 xml:space="preserve">biex jilħqu ftehim rapidu dwar il-proposta leġislattiva </w:t>
            </w:r>
            <w:r>
              <w:rPr>
                <w:rFonts w:ascii="Times New Roman" w:hAnsi="Times New Roman"/>
                <w:bCs/>
                <w:noProof/>
                <w:sz w:val="24"/>
                <w:szCs w:val="24"/>
              </w:rPr>
              <w:t xml:space="preserve">għal </w:t>
            </w:r>
            <w:r>
              <w:rPr>
                <w:rFonts w:ascii="Times New Roman" w:hAnsi="Times New Roman"/>
                <w:b/>
                <w:bCs/>
                <w:noProof/>
                <w:sz w:val="24"/>
                <w:szCs w:val="24"/>
              </w:rPr>
              <w:t>Ċentru Ewropew ta’ Kompetenza Industrijali, Teknoloġika u tar-Riċerka fil-qasam taċ-Ċibersigurtà u n-Network ta’ Ċentri Nazzjonali ta’ Koordinazzjoni</w:t>
            </w:r>
            <w:r>
              <w:rPr>
                <w:rFonts w:ascii="Times New Roman" w:hAnsi="Times New Roman"/>
                <w:noProof/>
                <w:sz w:val="24"/>
                <w:szCs w:val="24"/>
              </w:rPr>
              <w:t>.</w:t>
            </w:r>
          </w:p>
        </w:tc>
      </w:tr>
    </w:tbl>
    <w:p>
      <w:pPr>
        <w:widowControl w:val="0"/>
        <w:spacing w:before="240" w:after="240" w:line="240"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III. </w:t>
      </w:r>
      <w:r>
        <w:rPr>
          <w:rFonts w:ascii="Times New Roman" w:hAnsi="Times New Roman"/>
          <w:b/>
          <w:bCs/>
          <w:noProof/>
          <w:sz w:val="24"/>
          <w:szCs w:val="24"/>
        </w:rPr>
        <w:tab/>
        <w:t>IT-TISĦIĦ TAS-SIGURTÀ TAL-INFRASTRUTTURI DIĠITALI</w:t>
      </w:r>
    </w:p>
    <w:p>
      <w:pPr>
        <w:spacing w:after="240" w:line="240" w:lineRule="auto"/>
        <w:jc w:val="both"/>
        <w:rPr>
          <w:rFonts w:ascii="Times New Roman" w:hAnsi="Times New Roman"/>
          <w:iCs/>
          <w:noProof/>
          <w:sz w:val="24"/>
          <w:szCs w:val="24"/>
        </w:rPr>
      </w:pPr>
      <w:r>
        <w:rPr>
          <w:rFonts w:ascii="Times New Roman" w:hAnsi="Times New Roman"/>
          <w:iCs/>
          <w:noProof/>
          <w:sz w:val="24"/>
          <w:szCs w:val="24"/>
        </w:rPr>
        <w:t>In-netwerks tal-ħames ġenerazzjoni (5G) se jkunu s-sinsla futura ta’ ekonomiji u soċjetajiet dejjem aktar diġitalizzati. Biljuni ta’ oġġetti u sistemi konnessi huma kkonċernati, inkluż f’setturi kritiċi bħall-enerġija, it-trasport, il-banek, u s-saħħa, kif ukoll sistemi ta’ kontroll industrijali li jkollhom informazzjoni sensittiva u sistemi ta’ sostenn għas-sikurezza. Għalhekk, l-iżgurar taċ-ċibersigurtà u r-reżiljenza tan-netwerks 5G huwa essenzjali.</w:t>
      </w:r>
    </w:p>
    <w:p>
      <w:pPr>
        <w:spacing w:after="240" w:line="240" w:lineRule="auto"/>
        <w:jc w:val="both"/>
        <w:rPr>
          <w:rFonts w:ascii="Times New Roman" w:hAnsi="Times New Roman"/>
          <w:iCs/>
          <w:noProof/>
          <w:sz w:val="24"/>
          <w:szCs w:val="24"/>
        </w:rPr>
      </w:pPr>
      <w:r>
        <w:rPr>
          <w:rFonts w:ascii="Times New Roman" w:hAnsi="Times New Roman"/>
          <w:noProof/>
          <w:sz w:val="24"/>
          <w:szCs w:val="24"/>
        </w:rPr>
        <w:t>Bħala parti minn approċċ koordinat, fid-9 ta’ Ottubru 2019 l-Istati Membri ppubblikaw rapport dwar il-</w:t>
      </w:r>
      <w:r>
        <w:rPr>
          <w:rFonts w:ascii="Times New Roman" w:hAnsi="Times New Roman"/>
          <w:b/>
          <w:noProof/>
          <w:sz w:val="24"/>
          <w:szCs w:val="24"/>
        </w:rPr>
        <w:t>valutazzjoni koordinata tar-riskju tal-UE dwar iċ-ċibersigurtà f’netwerks 5G</w:t>
      </w:r>
      <w:r>
        <w:rPr>
          <w:rFonts w:ascii="Times New Roman" w:hAnsi="Times New Roman"/>
          <w:noProof/>
          <w:sz w:val="24"/>
          <w:szCs w:val="24"/>
        </w:rPr>
        <w:t xml:space="preserve"> bl-appoġġ tal-Kummissjoni u tal-Aġenzija Ewropea għaċ-Ċibersigurtà</w:t>
      </w:r>
      <w:r>
        <w:rPr>
          <w:rStyle w:val="FootnoteReference"/>
          <w:iCs/>
          <w:noProof/>
          <w:sz w:val="24"/>
          <w:szCs w:val="24"/>
        </w:rPr>
        <w:footnoteReference w:id="33"/>
      </w:r>
      <w:r>
        <w:rPr>
          <w:noProof/>
          <w:sz w:val="24"/>
          <w:szCs w:val="24"/>
        </w:rPr>
        <w:t>.</w:t>
      </w:r>
      <w:r>
        <w:rPr>
          <w:rFonts w:ascii="Times New Roman" w:hAnsi="Times New Roman"/>
          <w:iCs/>
          <w:noProof/>
          <w:sz w:val="24"/>
          <w:szCs w:val="24"/>
        </w:rPr>
        <w:t xml:space="preserve"> Dan il-pass kbir huwa parti mill-implimentazzjoni tar-Rakkomandazzjoni tal-Kummissjoni ta’ Marzu 2019 biex jiġi żgurat livell għoli ta’ ċibersigurtà tan-netwerks 5G fl-UE kollha.</w:t>
      </w:r>
      <w:r>
        <w:rPr>
          <w:rStyle w:val="FootnoteReference"/>
          <w:iCs/>
          <w:noProof/>
          <w:sz w:val="24"/>
          <w:szCs w:val="24"/>
        </w:rPr>
        <w:footnoteReference w:id="34"/>
      </w:r>
      <w:r>
        <w:rPr>
          <w:rFonts w:ascii="Times New Roman" w:hAnsi="Times New Roman"/>
          <w:iCs/>
          <w:noProof/>
          <w:sz w:val="24"/>
          <w:szCs w:val="24"/>
        </w:rPr>
        <w:t xml:space="preserve"> Ir-rapport huwa bbażat fuq ir-riżultati tal-valutazzjonijiet tar-riskju taċ-ċibersigurtà nazzjonali mill-Istati Membri kollha. Dan jidentifika t-theddidiet u l-atturi ewlenin tat-theddid, l-aktar assi sensittivi, il-vulnerabbiltajiet ewlenin (inklużi dawk tekniċi u tipi oħra ta’ vulnerabbiltajiet) u għadd ta’ riskji strateġiċi. Din il-valutazzjoni tipprovdi l-bażi biex jiġu identifikati miżuri ta’ mitigazzjoni li jistgħu jiġu applikati fuq livell nazzjonali u Ewropew</w:t>
      </w:r>
      <w:r>
        <w:rPr>
          <w:rFonts w:ascii="Times New Roman" w:hAnsi="Times New Roman"/>
          <w:i/>
          <w:iCs/>
          <w:noProof/>
          <w:sz w:val="24"/>
          <w:szCs w:val="24"/>
        </w:rPr>
        <w:t>.</w:t>
      </w:r>
    </w:p>
    <w:p>
      <w:pPr>
        <w:spacing w:after="240" w:line="240" w:lineRule="auto"/>
        <w:jc w:val="both"/>
        <w:rPr>
          <w:rFonts w:ascii="Times New Roman" w:hAnsi="Times New Roman"/>
          <w:iCs/>
          <w:noProof/>
          <w:sz w:val="24"/>
          <w:szCs w:val="24"/>
        </w:rPr>
      </w:pPr>
      <w:r>
        <w:rPr>
          <w:rFonts w:ascii="Times New Roman" w:hAnsi="Times New Roman"/>
          <w:iCs/>
          <w:noProof/>
          <w:sz w:val="24"/>
          <w:szCs w:val="24"/>
        </w:rPr>
        <w:t xml:space="preserve">Ir-rapport jidentifika għadd ta’ </w:t>
      </w:r>
      <w:r>
        <w:rPr>
          <w:rFonts w:ascii="Times New Roman" w:hAnsi="Times New Roman"/>
          <w:b/>
          <w:bCs/>
          <w:iCs/>
          <w:noProof/>
          <w:sz w:val="24"/>
          <w:szCs w:val="24"/>
        </w:rPr>
        <w:t>sfidi importanti fil-qasam taċ-ċibersigurtà</w:t>
      </w:r>
      <w:r>
        <w:rPr>
          <w:rFonts w:ascii="Times New Roman" w:hAnsi="Times New Roman"/>
          <w:iCs/>
          <w:noProof/>
          <w:sz w:val="24"/>
          <w:szCs w:val="24"/>
        </w:rPr>
        <w:t xml:space="preserve"> li x’aktarx jidhru jew isiru aktar prominenti fin-netwerks 5G. Dawn l-isfidi ta’ sigurtà huma prinċipalment marbuta ma’ </w:t>
      </w:r>
      <w:r>
        <w:rPr>
          <w:rFonts w:ascii="Times New Roman" w:hAnsi="Times New Roman"/>
          <w:i/>
          <w:iCs/>
          <w:noProof/>
          <w:sz w:val="24"/>
          <w:szCs w:val="24"/>
        </w:rPr>
        <w:t>innovazzjonijiet</w:t>
      </w:r>
      <w:r>
        <w:rPr>
          <w:rFonts w:ascii="Times New Roman" w:hAnsi="Times New Roman"/>
          <w:iCs/>
          <w:noProof/>
          <w:sz w:val="24"/>
          <w:szCs w:val="24"/>
        </w:rPr>
        <w:t xml:space="preserve"> ewlenin fit-teknoloġija 5G, b’mod partikolari l-importanza ta’ softwer u l-firxa wiesgħa ta’ servizzi u applikazzjonijiet li jistgħu jsiru permezz tal-5G, kif ukoll ir-rwol ta’ </w:t>
      </w:r>
      <w:r>
        <w:rPr>
          <w:rFonts w:ascii="Times New Roman" w:hAnsi="Times New Roman"/>
          <w:i/>
          <w:iCs/>
          <w:noProof/>
          <w:sz w:val="24"/>
          <w:szCs w:val="24"/>
        </w:rPr>
        <w:t>fornituri</w:t>
      </w:r>
      <w:r>
        <w:rPr>
          <w:rFonts w:ascii="Times New Roman" w:hAnsi="Times New Roman"/>
          <w:iCs/>
          <w:noProof/>
          <w:sz w:val="24"/>
          <w:szCs w:val="24"/>
        </w:rPr>
        <w:t xml:space="preserve"> fil-bini u t-tħaddim ta’ netwerks 5G u l-grad ta’ dipendenza fuq fornituri individwali. Dan ifisser li l-prodotti, is-servizzi u l-operazzjonijiet tal-fornituri jsiru dejjem aktar parti mis-“superfiċje tal-attakk” tan-netwerks 5G. Barra minn hekk, il-profil tar-riskju ta’ fornituri individwali se jsir partikolarment importanti, inkluża l-probabbiltà li l-fornitur ikun soġġett għal interferenza minn pajjiż mhux tal-UE.</w:t>
      </w:r>
    </w:p>
    <w:p>
      <w:pPr>
        <w:spacing w:after="240" w:line="240" w:lineRule="auto"/>
        <w:jc w:val="both"/>
        <w:rPr>
          <w:rFonts w:ascii="Times New Roman" w:hAnsi="Times New Roman"/>
          <w:iCs/>
          <w:noProof/>
          <w:sz w:val="24"/>
          <w:szCs w:val="24"/>
        </w:rPr>
      </w:pPr>
      <w:r>
        <w:rPr>
          <w:rFonts w:ascii="Times New Roman" w:hAnsi="Times New Roman"/>
          <w:iCs/>
          <w:noProof/>
          <w:sz w:val="24"/>
          <w:szCs w:val="24"/>
        </w:rPr>
        <w:t xml:space="preserve">F’konformità mal-proċess stabbilit fir-Rakkomandazzjoni tal-Kummissjoni ta’ Marzu 2019, jenħtieġ li l-Istati Membri jaqblu sal-31 ta’ Diċembru 2019 dwar </w:t>
      </w:r>
      <w:r>
        <w:rPr>
          <w:rFonts w:ascii="Times New Roman" w:hAnsi="Times New Roman"/>
          <w:b/>
          <w:iCs/>
          <w:noProof/>
          <w:sz w:val="24"/>
          <w:szCs w:val="24"/>
        </w:rPr>
        <w:t>sett ta’ għodod ta’ miżuri ta’ mitigazzjoni</w:t>
      </w:r>
      <w:r>
        <w:rPr>
          <w:rFonts w:ascii="Times New Roman" w:hAnsi="Times New Roman"/>
          <w:iCs/>
          <w:noProof/>
          <w:sz w:val="24"/>
          <w:szCs w:val="24"/>
        </w:rPr>
        <w:t xml:space="preserve"> biex jindirizzaw ir-riskji taċ-ċibersigurtà identifikati fil-livell nazzjonali u tal-Unjoni. Il-Kummissjoni u s-Servizz Ewropew għall-Azzjoni Esterna se jkomplu wkoll jiskambjaw ma’ sħab tal-istess fehma dwar iċ-ċibersigurtà u r-reżiljenza tan-netwerks 5G.</w:t>
      </w:r>
      <w:r>
        <w:rPr>
          <w:noProof/>
          <w:sz w:val="24"/>
          <w:szCs w:val="24"/>
        </w:rPr>
        <w:t xml:space="preserve"> </w:t>
      </w:r>
      <w:r>
        <w:rPr>
          <w:rFonts w:ascii="Times New Roman" w:hAnsi="Times New Roman"/>
          <w:iCs/>
          <w:noProof/>
          <w:sz w:val="24"/>
          <w:szCs w:val="24"/>
        </w:rPr>
        <w:t>F’dak ir-rigward, il-Kummissjoni tinsab f’kuntatt man-NATO dwar il-valutazzjoni koordinata tal-UE tar-riskju taċ-ċibersigurtà tan-netwerks 5G.</w:t>
      </w:r>
    </w:p>
    <w:p>
      <w:pPr>
        <w:rPr>
          <w:rFonts w:ascii="Times New Roman" w:hAnsi="Times New Roman"/>
          <w:iCs/>
          <w:noProof/>
          <w:sz w:val="24"/>
          <w:szCs w:val="24"/>
        </w:rPr>
      </w:pPr>
      <w:r>
        <w:rPr>
          <w:noProof/>
          <w:sz w:val="24"/>
          <w:szCs w:val="24"/>
        </w:rPr>
        <w:br w:type="page"/>
      </w:r>
    </w:p>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b/>
          <w:bCs/>
          <w:noProof/>
          <w:sz w:val="24"/>
          <w:szCs w:val="24"/>
        </w:rPr>
        <w:t xml:space="preserve">IV. </w:t>
      </w:r>
      <w:r>
        <w:rPr>
          <w:rFonts w:ascii="Times New Roman" w:hAnsi="Times New Roman"/>
          <w:b/>
          <w:bCs/>
          <w:noProof/>
          <w:sz w:val="24"/>
          <w:szCs w:val="24"/>
        </w:rPr>
        <w:tab/>
        <w:t>IL-ĠLIEDA KONTRA D-DIŻINFORMAZZJONI U L-PROTEZZJONI TAL-ELEZZJONIJIET KONTRA THEDDID IEĦOR MARBUT MAĊ-ĊIBERNETIKA</w:t>
      </w:r>
      <w:r>
        <w:rPr>
          <w:rFonts w:ascii="Times New Roman" w:hAnsi="Times New Roman"/>
          <w:b/>
          <w:bCs/>
          <w:noProof/>
          <w:sz w:val="24"/>
          <w:szCs w:val="24"/>
        </w:rPr>
        <w:tab/>
      </w:r>
      <w:r>
        <w:rPr>
          <w:rFonts w:ascii="Times New Roman" w:hAnsi="Times New Roman"/>
          <w:i/>
          <w:iCs/>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L-UE stabbilixxiet </w:t>
      </w:r>
      <w:r>
        <w:rPr>
          <w:rFonts w:ascii="Times New Roman" w:hAnsi="Times New Roman"/>
          <w:b/>
          <w:noProof/>
          <w:sz w:val="24"/>
          <w:szCs w:val="24"/>
        </w:rPr>
        <w:t>qafas għal azzjoni koordinata kontra d-diżinformazzjoni</w:t>
      </w:r>
      <w:r>
        <w:rPr>
          <w:rFonts w:ascii="Times New Roman" w:hAnsi="Times New Roman"/>
          <w:noProof/>
          <w:sz w:val="24"/>
          <w:szCs w:val="24"/>
        </w:rPr>
        <w:t>, b’rispett sħiħ għall-valuri Ewropej u d-drittijiet fundamentali</w:t>
      </w:r>
      <w:r>
        <w:rPr>
          <w:rStyle w:val="FootnoteReference"/>
          <w:noProof/>
          <w:sz w:val="24"/>
          <w:szCs w:val="24"/>
        </w:rPr>
        <w:footnoteReference w:id="35"/>
      </w:r>
      <w:r>
        <w:rPr>
          <w:noProof/>
          <w:sz w:val="24"/>
          <w:szCs w:val="24"/>
        </w:rPr>
        <w:t>.</w:t>
      </w:r>
      <w:r>
        <w:rPr>
          <w:rFonts w:ascii="Times New Roman" w:hAnsi="Times New Roman"/>
          <w:noProof/>
          <w:sz w:val="24"/>
          <w:szCs w:val="24"/>
        </w:rPr>
        <w:t xml:space="preserve"> Skont il-Pjan ta’ Azzjoni kontra d-Diżinformazzjoni</w:t>
      </w:r>
      <w:r>
        <w:rPr>
          <w:rStyle w:val="FootnoteReference"/>
          <w:noProof/>
          <w:sz w:val="24"/>
          <w:szCs w:val="24"/>
        </w:rPr>
        <w:footnoteReference w:id="36"/>
      </w:r>
      <w:r>
        <w:rPr>
          <w:rFonts w:ascii="Times New Roman" w:hAnsi="Times New Roman"/>
          <w:noProof/>
          <w:sz w:val="24"/>
          <w:szCs w:val="24"/>
        </w:rPr>
        <w:t xml:space="preserve">, tkompli l-ħidma biex jingħalaq l-ispazju għad-diżinformazzjoni, inkluż bil-ħsieb li tiġi protetta l-integrità tal-elezzjonijiet.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Ċentrali għal dan hija l-ħidma mal-industrija permezz tal-</w:t>
      </w:r>
      <w:r>
        <w:rPr>
          <w:rFonts w:ascii="Times New Roman" w:hAnsi="Times New Roman"/>
          <w:b/>
          <w:noProof/>
          <w:sz w:val="24"/>
          <w:szCs w:val="24"/>
        </w:rPr>
        <w:t>Kodiċi ta’ Prattika awtoregolatorja dwar id-Diżinformazzjoni</w:t>
      </w:r>
      <w:r>
        <w:rPr>
          <w:rFonts w:ascii="Times New Roman" w:hAnsi="Times New Roman"/>
          <w:noProof/>
          <w:sz w:val="24"/>
          <w:szCs w:val="24"/>
        </w:rPr>
        <w:t xml:space="preserve"> għal pjattaformi online u s-settur tar-reklamar li saru applikabbli f’Ottubru 2018</w:t>
      </w:r>
      <w:r>
        <w:rPr>
          <w:rStyle w:val="FootnoteReference"/>
          <w:noProof/>
          <w:sz w:val="24"/>
          <w:szCs w:val="24"/>
        </w:rPr>
        <w:footnoteReference w:id="37"/>
      </w:r>
      <w:r>
        <w:rPr>
          <w:noProof/>
          <w:sz w:val="24"/>
          <w:szCs w:val="24"/>
        </w:rPr>
        <w:t>.</w:t>
      </w:r>
      <w:r>
        <w:rPr>
          <w:rFonts w:ascii="Times New Roman" w:hAnsi="Times New Roman"/>
          <w:noProof/>
          <w:sz w:val="24"/>
          <w:szCs w:val="24"/>
        </w:rPr>
        <w:t> Il-Kummissjoni vvalutat l-effettività tal-Kodiċi wara l-ewwel sena ta’ operazzjonijiet tiegħu, abbażi ta’ rapporti ta’ awtovalutazzjoni annwali ppreżentati mill-pjattaformi online u l-firmatarji tal-Kodiċi l-oħrajn u ppubblikati fid-29 ta’ Ottubru 2019 flimkien ma’ Dikjarazzjoni tal-Kummissjoni.</w:t>
      </w:r>
      <w:r>
        <w:rPr>
          <w:rFonts w:ascii="Times New Roman" w:eastAsia="Calibri" w:hAnsi="Times New Roman" w:cs="Times New Roman"/>
          <w:noProof/>
          <w:sz w:val="24"/>
          <w:szCs w:val="24"/>
          <w:vertAlign w:val="superscript"/>
        </w:rPr>
        <w:footnoteReference w:id="38"/>
      </w:r>
      <w:r>
        <w:rPr>
          <w:rFonts w:ascii="Times New Roman" w:hAnsi="Times New Roman"/>
          <w:noProof/>
          <w:sz w:val="24"/>
          <w:szCs w:val="24"/>
        </w:rPr>
        <w:t xml:space="preserve"> B’mod ġenerali, ir-rapporti juru sforzi serji mill-firmatarji biex jimplimentaw l-impenji tagħhom.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Azzjonijiet meħuda mill-firmatarji tal-pjattaformi jvarjaw f’termini ta’ veloċità u kamp ta’ applikazzjoni fil-ħames pilastri tal-impenji tal-Kodiċi. B’mod ġenerali, il-progress huwa aktar avvanzat fir-rigward tal-impenji relatati mal-elezzjoni Ewropea tal-2019, jiġifieri dwar it-tfixkil tar-reklamar u l-inċentivi ta’ monetizzazzjoni għad-diżinformazzjoni (pilastru 1), li jiżguraw it-trasparenza tar-reklamar politiku u bbażat fuq kwistjonijiet (pilastru 2), u li jiżguraw l-integrità tas-servizzi kontra kontijiet u mġiba mhux awtentiċi (pilastru 3). Għall-kuntrarju, il-progress huwa inqas avvanzat jew nieqes fir-rigward tal-impenji li jagħtu s-setgħa lill-konsumaturi (pilastru 4) u l-impenji biex jagħtu s-setgħa lill-komunità ta’ riċerka, inkluż permezz tal-forniment ta’ pjattaformi ta’ aċċess rilevanti u li jirrispetta l-privatezza għal settijiet ta’ </w:t>
      </w:r>
      <w:r>
        <w:rPr>
          <w:rFonts w:ascii="Times New Roman" w:hAnsi="Times New Roman"/>
          <w:i/>
          <w:iCs/>
          <w:noProof/>
          <w:sz w:val="24"/>
          <w:szCs w:val="24"/>
        </w:rPr>
        <w:t>data</w:t>
      </w:r>
      <w:r>
        <w:rPr>
          <w:rFonts w:ascii="Times New Roman" w:hAnsi="Times New Roman"/>
          <w:noProof/>
          <w:sz w:val="24"/>
          <w:szCs w:val="24"/>
        </w:rPr>
        <w:t xml:space="preserve"> għal skopijiet ta’ riċerka (pilastru 5). Hemm ukoll differenzi fil-kamp ta’ applikazzjoni tal-azzjonijiet imwettqa minn kull pjattaforma biex tiġi żgurata l-implimentazzjoni tal-impenji tagħhom kif ukoll differenzi bejn l-Istati Membri fir-rigward tal-iskjerament tal-politiki individwali. Il-Kummissjoni tkompli taħdem mal-firmatarji tal-Kodiċi u ma’ partijiet interessati oħra biex tintensifika l-azzjoni meħuda kontra d-diżinformazzjoni.</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Skont il-Pjan ta’ Azzjoni kontra d-Diżinformazzjoni, il-Kummissjoni u r-Rappreżentant Għoli, f’kooperazzjoni mal-Istati Membri, stabbilew </w:t>
      </w:r>
      <w:r>
        <w:rPr>
          <w:rFonts w:ascii="Times New Roman" w:hAnsi="Times New Roman"/>
          <w:b/>
          <w:iCs/>
          <w:noProof/>
          <w:sz w:val="24"/>
          <w:szCs w:val="24"/>
        </w:rPr>
        <w:t>Sistema ta’ Twissija Bikrija</w:t>
      </w:r>
      <w:r>
        <w:rPr>
          <w:rFonts w:ascii="Times New Roman" w:hAnsi="Times New Roman"/>
          <w:iCs/>
          <w:noProof/>
          <w:sz w:val="24"/>
          <w:szCs w:val="24"/>
        </w:rPr>
        <w:t xml:space="preserve"> biex tindirizza l-kampanji ta’ diżinformazzjoni. Is-Sistema ta’ Twissija Rapida ppermettiet lill-Istituzzjonijiet tal-UE u lill-Istati Membri li jaqsmu l-informazzjoni u l-analiżi qabel l-elezzjonijiet tal-2019 għall-Parlament Ewropew, u li jikkoordinaw ir-risponsi. Din il-ħidma intensifikat aktar wara l-elezzjonijiet, bi skambji fil-livell ta’ ħidma għaddejjin fuq bażi ta’ kuljum u tliet laqgħat tal-Punti ta’ Kuntatt ta’ Sistemi ta’ Twissija Rapida organizzati minn Stati Membri differenti. </w:t>
      </w:r>
    </w:p>
    <w:p>
      <w:pPr>
        <w:spacing w:after="240" w:line="240" w:lineRule="auto"/>
        <w:jc w:val="both"/>
        <w:rPr>
          <w:rFonts w:ascii="Times New Roman" w:eastAsia="Calibri" w:hAnsi="Times New Roman" w:cs="Times New Roman"/>
          <w:iCs/>
          <w:noProof/>
          <w:sz w:val="24"/>
          <w:szCs w:val="24"/>
        </w:rPr>
      </w:pPr>
      <w:r>
        <w:rPr>
          <w:rFonts w:ascii="Times New Roman" w:hAnsi="Times New Roman"/>
          <w:noProof/>
          <w:sz w:val="24"/>
          <w:szCs w:val="24"/>
        </w:rPr>
        <w:t>Pass prattiku ieħor biex tiġi identifikata d-diżinformazzjoni sar bil-ħidma tal-</w:t>
      </w:r>
      <w:r>
        <w:rPr>
          <w:rFonts w:ascii="Times New Roman" w:hAnsi="Times New Roman"/>
          <w:b/>
          <w:noProof/>
          <w:sz w:val="24"/>
          <w:szCs w:val="24"/>
        </w:rPr>
        <w:t>Grupp għall-Komunikazzjoni Strateġika</w:t>
      </w:r>
      <w:r>
        <w:rPr>
          <w:rFonts w:ascii="Times New Roman" w:hAnsi="Times New Roman"/>
          <w:noProof/>
          <w:sz w:val="24"/>
          <w:szCs w:val="24"/>
        </w:rPr>
        <w:t xml:space="preserve"> (“StratComms”), u b’mod partikolari t-Taskforce Stratcom tal-Lvant, li kienet qed tmexxi l-proġett “EUvsDisinfo” li jissorvelja, janalizza u jirrispondi għal diżinformazzjoni favur il-Kremlin</w:t>
      </w:r>
      <w:r>
        <w:rPr>
          <w:rStyle w:val="FootnoteReference"/>
          <w:iCs/>
          <w:noProof/>
          <w:sz w:val="24"/>
          <w:szCs w:val="24"/>
        </w:rPr>
        <w:footnoteReference w:id="39"/>
      </w:r>
      <w:r>
        <w:rPr>
          <w:noProof/>
          <w:sz w:val="24"/>
          <w:szCs w:val="24"/>
        </w:rPr>
        <w:t>.</w:t>
      </w:r>
      <w:r>
        <w:rPr>
          <w:rFonts w:ascii="Times New Roman" w:hAnsi="Times New Roman"/>
          <w:iCs/>
          <w:noProof/>
          <w:sz w:val="24"/>
          <w:szCs w:val="24"/>
        </w:rPr>
        <w:t xml:space="preserve"> Sa mill-bidu tal-2019, l-ewwel baġit iddedikat ta’ EUR 3 miljun għamilha possibbli li tiżdied u tiġi estiża din il-ħidma biex tinkludi l-monitoraġġ u l-analiżi tad-diżinformazzjoni favur il-Kremlin f’midja soċjali, xandir u fuq l-internet fi 19-il lingwa mill-Ingliż sas-Serb u l-Għarbi. L-għadd ta’ attivitajiet ta’ diżinformazzjoni esposti żdied b’aktar mid-doppju minħabba titjib fil-kapaċità ta’ monitoraġġ, b’madwar 2000 każ ta’ diżinformazzjoni sa issa fl-2019 meta mqabbla ma’ 765 każ matul l-istess perjodu fl-2018. It-Taskforce Stratcom tal-Lvant kellha rwol vitali fil-monitoraġġ u fl-esponiment tad-diżinformazzjoni favur il-Kremlin li kienet immirata lejn l-elezzjonijiet tal-Parlament Ewropew tal-2019. Ir-riċerka kienet akkumpanjata minn kampanja ta’ sensibilizzazzjoni dwar it-tentattiv ta’ interferenza fil-proċessi elettorali madwar id-dinja. Is-sensibilizzazzjoni tagħha, imwettqa f’kooperazzjoni mill-qrib mal-Parlament Ewropew u l-Kummissjoni, irriżultat f’aktar minn 20 intervista fuq il-midja, filwaqt li l-kampanja kienet tinvolvi aktar minn 300 ġurnalist.</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Il-Kummissjoni ħadet ukoll azzjoni biex </w:t>
      </w:r>
      <w:r>
        <w:rPr>
          <w:rFonts w:ascii="Times New Roman" w:hAnsi="Times New Roman"/>
          <w:b/>
          <w:iCs/>
          <w:noProof/>
          <w:sz w:val="24"/>
          <w:szCs w:val="24"/>
        </w:rPr>
        <w:t>tnaqqas it-tixrid tad-diżinformazzjoni u l-miti dwar l-istituzzjonijiet u l-politiki tal-UE</w:t>
      </w:r>
      <w:r>
        <w:rPr>
          <w:rFonts w:ascii="Times New Roman" w:hAnsi="Times New Roman"/>
          <w:iCs/>
          <w:noProof/>
          <w:sz w:val="24"/>
          <w:szCs w:val="24"/>
        </w:rPr>
        <w:t>. Stabbiliet netwerk ta’ esperti fil-komunikazzjoni b’portal online li jipprovdi materjal ta’ informazzjoni interattiv dwar il-politiki tal-UE u l-isfida tad-diżinformazzjoni u l-impatt tagħha fuq is-soċjetà. Nediet ukoll serje ta’ kampanji tal-midja soċjali li jiffokaw fuq l-indirizzar tad-diżinformazzjoni</w:t>
      </w:r>
      <w:r>
        <w:rPr>
          <w:rStyle w:val="FootnoteReference"/>
          <w:iCs/>
          <w:noProof/>
          <w:sz w:val="24"/>
          <w:szCs w:val="24"/>
        </w:rPr>
        <w:footnoteReference w:id="40"/>
      </w:r>
      <w:r>
        <w:rPr>
          <w:rFonts w:ascii="Times New Roman" w:hAnsi="Times New Roman"/>
          <w:iCs/>
          <w:noProof/>
          <w:sz w:val="24"/>
          <w:szCs w:val="24"/>
        </w:rPr>
        <w:t xml:space="preserve">, f’kollaborazzjoni mal-Parlament Ewropew u s-Servizz Ewropew għall-Azzjoni Esterna. </w:t>
      </w:r>
    </w:p>
    <w:p>
      <w:pPr>
        <w:spacing w:after="240" w:line="240" w:lineRule="auto"/>
        <w:rPr>
          <w:rFonts w:ascii="Times New Roman" w:hAnsi="Times New Roman" w:cs="Times New Roman"/>
          <w:noProof/>
          <w:sz w:val="24"/>
          <w:szCs w:val="24"/>
        </w:rPr>
      </w:pPr>
      <w:r>
        <w:rPr>
          <w:rFonts w:ascii="Times New Roman" w:hAnsi="Times New Roman"/>
          <w:b/>
          <w:bCs/>
          <w:noProof/>
          <w:sz w:val="24"/>
          <w:szCs w:val="24"/>
        </w:rPr>
        <w:t xml:space="preserve">V. </w:t>
      </w:r>
      <w:r>
        <w:rPr>
          <w:rFonts w:ascii="Times New Roman" w:hAnsi="Times New Roman"/>
          <w:b/>
          <w:bCs/>
          <w:noProof/>
          <w:sz w:val="24"/>
          <w:szCs w:val="24"/>
        </w:rPr>
        <w:tab/>
        <w:t>IMPLIMENTAZZJONI TA’ FAJLS PRIJORITARJI OĦRAJN DWAR IS-SIGURTÀ</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1.      Implimentazzjoni ta’ miżuri leġislattivi fl-Unjoni tas-Sigurtà</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Miżuri miftiehma fl-Unjoni tas-Sigurtà se jġibu magħhom benefiċċji għas-sigurtà sħaħ biss jekk l-Istati Membri kollha jiżguraw l-implimentazzjoni rapida u sħiħa tagħhom. Għal dan l-għan, il-Kummissjoni qiegħda attivament tappoġġa lill-Istati Membri fl-implimentazzjoni tal-leġislazzjoni tal-UE, anki permezz ta’ finanzjament u permezz tal-iffaċilitar tal-iskambju tal-aħjar prattiki. Il-Kummissjoni tagħmel użu sħiħ mis-setgħat tagħha skont it-Trattati għall-eżekuzzjoni tal-liġi tal-UE, inkluż l-azzjoni għal ksur kif xieraq.</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L-iskadenza għat-traspożizzjoni tad-</w:t>
      </w:r>
      <w:r>
        <w:rPr>
          <w:rFonts w:ascii="Times New Roman" w:hAnsi="Times New Roman"/>
          <w:b/>
          <w:iCs/>
          <w:noProof/>
          <w:sz w:val="24"/>
          <w:szCs w:val="24"/>
        </w:rPr>
        <w:t>Direttiva tal-UE dwar ir-Reġistru tal-Ismijiet tal-Passiġġieri</w:t>
      </w:r>
      <w:r>
        <w:rPr>
          <w:rStyle w:val="FootnoteReference"/>
          <w:iCs/>
          <w:noProof/>
          <w:sz w:val="24"/>
          <w:szCs w:val="24"/>
        </w:rPr>
        <w:footnoteReference w:id="41"/>
      </w:r>
      <w:r>
        <w:rPr>
          <w:rFonts w:ascii="Times New Roman" w:hAnsi="Times New Roman"/>
          <w:iCs/>
          <w:noProof/>
          <w:sz w:val="24"/>
          <w:szCs w:val="24"/>
        </w:rPr>
        <w:t xml:space="preserve"> għaddiet fil-25 ta’ Mejju 2018. </w:t>
      </w:r>
      <w:r>
        <w:rPr>
          <w:rFonts w:ascii="Times New Roman" w:hAnsi="Times New Roman"/>
          <w:noProof/>
          <w:sz w:val="24"/>
          <w:szCs w:val="24"/>
        </w:rPr>
        <w:t>Sa llum, 25-il Stat Membru nnotifikaw it-traspożizzjoni sħiħa</w:t>
      </w:r>
      <w:r>
        <w:rPr>
          <w:rStyle w:val="FootnoteReference"/>
          <w:noProof/>
          <w:sz w:val="24"/>
          <w:szCs w:val="24"/>
        </w:rPr>
        <w:footnoteReference w:id="42"/>
      </w:r>
      <w:r>
        <w:rPr>
          <w:rFonts w:ascii="Times New Roman" w:hAnsi="Times New Roman"/>
          <w:noProof/>
          <w:sz w:val="24"/>
          <w:szCs w:val="24"/>
        </w:rPr>
        <w:t>, u dan jirrappreżenta progress sinjifikanti minn Lulju 2018 meta l-Kummissjoni nediet proċeduri ta’ ksur kontra 14-il Stat Membru</w:t>
      </w:r>
      <w:r>
        <w:rPr>
          <w:rStyle w:val="FootnoteReference"/>
          <w:noProof/>
          <w:sz w:val="24"/>
          <w:szCs w:val="24"/>
        </w:rPr>
        <w:footnoteReference w:id="43"/>
      </w:r>
      <w:r>
        <w:rPr>
          <w:rFonts w:ascii="Times New Roman" w:hAnsi="Times New Roman"/>
          <w:noProof/>
          <w:sz w:val="24"/>
          <w:szCs w:val="24"/>
        </w:rPr>
        <w:t>.</w:t>
      </w:r>
      <w:r>
        <w:rPr>
          <w:rFonts w:ascii="Times New Roman" w:hAnsi="Times New Roman"/>
          <w:iCs/>
          <w:noProof/>
          <w:sz w:val="24"/>
          <w:szCs w:val="24"/>
        </w:rPr>
        <w:t xml:space="preserve"> </w:t>
      </w:r>
      <w:r>
        <w:rPr>
          <w:rFonts w:ascii="Times New Roman" w:hAnsi="Times New Roman"/>
          <w:noProof/>
          <w:sz w:val="24"/>
          <w:szCs w:val="24"/>
        </w:rPr>
        <w:t>Żewġ Stati Membri għad iridu jinnotifikaw it-traspożizzjoni sħiħa, minkejja l-proċeduri ta’ ksur li għaddejjin li tnedew fid-19 ta’ Lulju 2018</w:t>
      </w:r>
      <w:r>
        <w:rPr>
          <w:rStyle w:val="FootnoteReference"/>
          <w:iCs/>
          <w:noProof/>
          <w:sz w:val="24"/>
          <w:szCs w:val="24"/>
        </w:rPr>
        <w:footnoteReference w:id="44"/>
      </w:r>
      <w:r>
        <w:rPr>
          <w:noProof/>
          <w:sz w:val="24"/>
          <w:szCs w:val="24"/>
        </w:rPr>
        <w:t>.</w:t>
      </w:r>
      <w:r>
        <w:rPr>
          <w:rFonts w:ascii="Times New Roman" w:hAnsi="Times New Roman"/>
          <w:iCs/>
          <w:noProof/>
          <w:sz w:val="24"/>
          <w:szCs w:val="24"/>
        </w:rPr>
        <w:t xml:space="preserve"> B’mod parallel, il-Kummissjoni tkompli tappoġġa lill-Istati Membri kollha fl-isforzi tagħhom biex ilestu l-iżvilupp tas-sistemi tar-reġistru tal-ismijiet tal-passiġġieri tagħhom, inkluż billi tiffaċilita l-iskambju ta’ informazzjoni u l-aħjar prattiki.</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L-iskadenza għat-traspożizzjoni tad-</w:t>
      </w:r>
      <w:r>
        <w:rPr>
          <w:rFonts w:ascii="Times New Roman" w:hAnsi="Times New Roman"/>
          <w:b/>
          <w:bCs/>
          <w:iCs/>
          <w:noProof/>
          <w:sz w:val="24"/>
          <w:szCs w:val="24"/>
        </w:rPr>
        <w:t>Direttiva dwar il-ġlieda kontra t-terroriżmu</w:t>
      </w:r>
      <w:r>
        <w:rPr>
          <w:rFonts w:ascii="Times New Roman" w:eastAsia="Calibri" w:hAnsi="Times New Roman" w:cs="Times New Roman"/>
          <w:iCs/>
          <w:noProof/>
          <w:sz w:val="24"/>
          <w:szCs w:val="24"/>
          <w:vertAlign w:val="superscript"/>
        </w:rPr>
        <w:footnoteReference w:id="45"/>
      </w:r>
      <w:r>
        <w:rPr>
          <w:rFonts w:ascii="Times New Roman" w:hAnsi="Times New Roman"/>
          <w:bCs/>
          <w:iCs/>
          <w:noProof/>
          <w:sz w:val="24"/>
          <w:szCs w:val="24"/>
        </w:rPr>
        <w:t xml:space="preserve"> għalqet fit-8 ta’ Settembru 2018. </w:t>
      </w:r>
      <w:r>
        <w:rPr>
          <w:rFonts w:ascii="Times New Roman" w:hAnsi="Times New Roman"/>
          <w:noProof/>
          <w:sz w:val="24"/>
          <w:szCs w:val="24"/>
        </w:rPr>
        <w:t>Sa llum, 22-il Stat Membru nnotifikaw it-traspożizzjoni sħiħa, u dan jirrappreżenta progress sinjifikanti minn Novembru 2018 meta l-Kummissjoni nediet proċeduri ta’ ksur kontra 16-il Stat Membru</w:t>
      </w:r>
      <w:r>
        <w:rPr>
          <w:rStyle w:val="FootnoteReference"/>
          <w:noProof/>
          <w:sz w:val="24"/>
          <w:szCs w:val="24"/>
        </w:rPr>
        <w:footnoteReference w:id="46"/>
      </w:r>
      <w:r>
        <w:rPr>
          <w:rFonts w:ascii="Times New Roman" w:hAnsi="Times New Roman"/>
          <w:noProof/>
          <w:sz w:val="24"/>
          <w:szCs w:val="24"/>
        </w:rPr>
        <w:t>. Tliet Stati Membri għad iridu jinnotifikaw it-traspożizzjoni sħiħa, minkejja l-proċeduri ta’ ksur li għaddejjin</w:t>
      </w:r>
      <w:r>
        <w:rPr>
          <w:rStyle w:val="FootnoteReference"/>
          <w:iCs/>
          <w:noProof/>
          <w:sz w:val="24"/>
          <w:szCs w:val="24"/>
        </w:rPr>
        <w:footnoteReference w:id="47"/>
      </w:r>
      <w:r>
        <w:rPr>
          <w:noProof/>
          <w:sz w:val="24"/>
          <w:szCs w:val="24"/>
        </w:rPr>
        <w:t>.</w:t>
      </w:r>
      <w:r>
        <w:rPr>
          <w:rFonts w:ascii="Times New Roman" w:hAnsi="Times New Roman"/>
          <w:iCs/>
          <w:noProof/>
          <w:sz w:val="24"/>
          <w:szCs w:val="24"/>
        </w:rPr>
        <w:t xml:space="preserve"> </w:t>
      </w:r>
      <w:r>
        <w:rPr>
          <w:rFonts w:ascii="Times New Roman" w:hAnsi="Times New Roman"/>
          <w:noProof/>
          <w:sz w:val="24"/>
          <w:szCs w:val="24"/>
        </w:rPr>
        <w:t>Fil-25 ta’ Lulju 2019, il-Kummissjoni bagħtet opinjonijiet motivati lil żewġ Stati Membri talli naqsu milli jinnotifikaw it-traspożizzjoni sħiħa tad-Direttiva</w:t>
      </w:r>
      <w:r>
        <w:rPr>
          <w:rStyle w:val="FootnoteReference"/>
          <w:iCs/>
          <w:noProof/>
          <w:sz w:val="24"/>
          <w:szCs w:val="24"/>
        </w:rPr>
        <w:footnoteReference w:id="48"/>
      </w:r>
      <w:r>
        <w:rPr>
          <w:rFonts w:ascii="Times New Roman" w:hAnsi="Times New Roman"/>
          <w:noProof/>
          <w:sz w:val="24"/>
          <w:szCs w:val="24"/>
        </w:rPr>
        <w:t>.</w:t>
      </w:r>
      <w:r>
        <w:rPr>
          <w:rFonts w:ascii="Times New Roman" w:hAnsi="Times New Roman"/>
          <w:iCs/>
          <w:noProof/>
          <w:sz w:val="24"/>
          <w:szCs w:val="24"/>
        </w:rPr>
        <w:t xml:space="preserve"> </w:t>
      </w:r>
      <w:r>
        <w:rPr>
          <w:rFonts w:ascii="Times New Roman" w:hAnsi="Times New Roman"/>
          <w:noProof/>
          <w:sz w:val="24"/>
          <w:szCs w:val="24"/>
        </w:rPr>
        <w:t>Bi tweġiba, iż-żewġ Stati Membri ħabbru li l-ħidma leġislattiva se titlesta qabel tmiem din is-sena.</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L-iskadenza għat-traspożizzjoni tad-</w:t>
      </w:r>
      <w:r>
        <w:rPr>
          <w:rFonts w:ascii="Times New Roman" w:hAnsi="Times New Roman"/>
          <w:b/>
          <w:iCs/>
          <w:noProof/>
          <w:sz w:val="24"/>
          <w:szCs w:val="24"/>
        </w:rPr>
        <w:t>Direttiva dwar il-kontroll tal-akkwist u l-pussess ta’ armi</w:t>
      </w:r>
      <w:r>
        <w:rPr>
          <w:rStyle w:val="FootnoteReference"/>
          <w:iCs/>
          <w:noProof/>
          <w:sz w:val="24"/>
          <w:szCs w:val="24"/>
        </w:rPr>
        <w:footnoteReference w:id="49"/>
      </w:r>
      <w:r>
        <w:rPr>
          <w:rFonts w:ascii="Times New Roman" w:hAnsi="Times New Roman"/>
          <w:iCs/>
          <w:noProof/>
          <w:sz w:val="24"/>
          <w:szCs w:val="24"/>
        </w:rPr>
        <w:t xml:space="preserve"> għalqet fl-14 ta’ Settembru 2018. </w:t>
      </w:r>
      <w:r>
        <w:rPr>
          <w:rFonts w:ascii="Times New Roman" w:hAnsi="Times New Roman"/>
          <w:noProof/>
          <w:sz w:val="24"/>
          <w:szCs w:val="24"/>
        </w:rPr>
        <w:t>Sa llum, 13-il Stat Membru nnotifikaw it-traspożizzjoni kollha. Ħmistax-il Stati Membri għad iridu jinnotifikaw it-traspożizzjoni sħiħa, minkejja l-proċeduri ta’ ksur li għaddejjin li tnedew fit-22 ta’ Novembru 2018</w:t>
      </w:r>
      <w:r>
        <w:rPr>
          <w:rStyle w:val="FootnoteReference"/>
          <w:noProof/>
          <w:sz w:val="24"/>
          <w:szCs w:val="24"/>
        </w:rPr>
        <w:footnoteReference w:id="50"/>
      </w:r>
      <w:r>
        <w:rPr>
          <w:rFonts w:ascii="Times New Roman" w:hAnsi="Times New Roman"/>
          <w:noProof/>
          <w:sz w:val="24"/>
          <w:szCs w:val="24"/>
        </w:rPr>
        <w:t>.</w:t>
      </w:r>
      <w:r>
        <w:rPr>
          <w:rFonts w:ascii="Times New Roman" w:hAnsi="Times New Roman"/>
          <w:iCs/>
          <w:noProof/>
          <w:sz w:val="24"/>
          <w:szCs w:val="24"/>
        </w:rPr>
        <w:t xml:space="preserve"> Fil-25 ta’ Lulju 2019, il-Kummissjoni bagħtet opinjonijiet motivati lil 20-il Stat Membru talli naqsu milli jinnotifikaw it-traspożizzjoni sħiħa tad-Direttiva. </w:t>
      </w:r>
      <w:r>
        <w:rPr>
          <w:rFonts w:ascii="Times New Roman" w:hAnsi="Times New Roman"/>
          <w:noProof/>
          <w:sz w:val="24"/>
          <w:szCs w:val="24"/>
        </w:rPr>
        <w:t>Bi tweġiba, ħames Stati Membri nnotifikaw it-traspożizzjoni sħiħa tad-Direttiva</w:t>
      </w:r>
      <w:r>
        <w:rPr>
          <w:rStyle w:val="FootnoteReference"/>
          <w:iCs/>
          <w:noProof/>
          <w:sz w:val="24"/>
          <w:szCs w:val="24"/>
        </w:rPr>
        <w:footnoteReference w:id="51"/>
      </w:r>
      <w:r>
        <w:rPr>
          <w:rFonts w:ascii="Times New Roman" w:hAnsi="Times New Roman"/>
          <w:noProof/>
          <w:sz w:val="24"/>
          <w:szCs w:val="24"/>
        </w:rPr>
        <w:t>.</w:t>
      </w:r>
      <w:r>
        <w:rPr>
          <w:rFonts w:ascii="Times New Roman" w:hAnsi="Times New Roman"/>
          <w:iCs/>
          <w:noProof/>
          <w:sz w:val="24"/>
          <w:szCs w:val="24"/>
        </w:rPr>
        <w:t xml:space="preserve">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L-iskadenza għat-traspożizzjoni tad-</w:t>
      </w:r>
      <w:r>
        <w:rPr>
          <w:rFonts w:ascii="Times New Roman" w:hAnsi="Times New Roman"/>
          <w:b/>
          <w:bCs/>
          <w:iCs/>
          <w:noProof/>
          <w:sz w:val="24"/>
          <w:szCs w:val="24"/>
        </w:rPr>
        <w:t>Direttiva dwar l-Infurzar tal-Liġi fir-rigward tal-Protezzjoni tad-</w:t>
      </w:r>
      <w:r>
        <w:rPr>
          <w:rFonts w:ascii="Times New Roman" w:hAnsi="Times New Roman"/>
          <w:b/>
          <w:bCs/>
          <w:i/>
          <w:iCs/>
          <w:noProof/>
          <w:sz w:val="24"/>
          <w:szCs w:val="24"/>
        </w:rPr>
        <w:t>Data</w:t>
      </w:r>
      <w:r>
        <w:rPr>
          <w:rStyle w:val="FootnoteReference"/>
          <w:bCs/>
          <w:iCs/>
          <w:noProof/>
          <w:sz w:val="24"/>
          <w:szCs w:val="24"/>
        </w:rPr>
        <w:footnoteReference w:id="52"/>
      </w:r>
      <w:r>
        <w:rPr>
          <w:rFonts w:ascii="Times New Roman" w:hAnsi="Times New Roman"/>
          <w:iCs/>
          <w:noProof/>
          <w:sz w:val="24"/>
          <w:szCs w:val="24"/>
        </w:rPr>
        <w:t xml:space="preserve"> għaddiet fis-6 ta’ Mejju 2018. </w:t>
      </w:r>
      <w:r>
        <w:rPr>
          <w:rFonts w:ascii="Times New Roman" w:hAnsi="Times New Roman"/>
          <w:noProof/>
          <w:sz w:val="24"/>
          <w:szCs w:val="24"/>
        </w:rPr>
        <w:t>Sa llum, 25-il Stat Membru nnotifikaw it-traspożizzjoni sħiħa, u dan jirrappreżenta progress sinjifikanti minn Lulju 2018 meta l-Kummissjoni nediet proċeduri ta’ ksur kontra 19-il Stat Membru</w:t>
      </w:r>
      <w:r>
        <w:rPr>
          <w:rStyle w:val="FootnoteReference"/>
          <w:noProof/>
          <w:sz w:val="24"/>
          <w:szCs w:val="24"/>
        </w:rPr>
        <w:footnoteReference w:id="53"/>
      </w:r>
      <w:r>
        <w:rPr>
          <w:rFonts w:ascii="Times New Roman" w:hAnsi="Times New Roman"/>
          <w:noProof/>
          <w:sz w:val="24"/>
          <w:szCs w:val="24"/>
        </w:rPr>
        <w:t>.</w:t>
      </w:r>
      <w:r>
        <w:rPr>
          <w:rFonts w:ascii="Times New Roman" w:hAnsi="Times New Roman"/>
          <w:iCs/>
          <w:noProof/>
          <w:sz w:val="24"/>
          <w:szCs w:val="24"/>
        </w:rPr>
        <w:t xml:space="preserve"> </w:t>
      </w:r>
      <w:r>
        <w:rPr>
          <w:rFonts w:ascii="Times New Roman" w:hAnsi="Times New Roman"/>
          <w:noProof/>
          <w:sz w:val="24"/>
          <w:szCs w:val="24"/>
        </w:rPr>
        <w:t>Tliet Stati Membri għad iridu jinnotifikaw it-traspożizzjoni sħiħa, minkejja l-proċeduri ta’ ksur li għaddejjin</w:t>
      </w:r>
      <w:r>
        <w:rPr>
          <w:rStyle w:val="FootnoteReference"/>
          <w:iCs/>
          <w:noProof/>
          <w:sz w:val="24"/>
          <w:szCs w:val="24"/>
        </w:rPr>
        <w:footnoteReference w:id="54"/>
      </w:r>
      <w:r>
        <w:rPr>
          <w:rFonts w:ascii="Times New Roman" w:hAnsi="Times New Roman"/>
          <w:noProof/>
          <w:sz w:val="24"/>
          <w:szCs w:val="24"/>
        </w:rPr>
        <w:t>.</w:t>
      </w:r>
      <w:r>
        <w:rPr>
          <w:rFonts w:ascii="Times New Roman" w:hAnsi="Times New Roman"/>
          <w:iCs/>
          <w:noProof/>
          <w:sz w:val="24"/>
          <w:szCs w:val="24"/>
        </w:rPr>
        <w:t xml:space="preserve"> </w:t>
      </w:r>
      <w:r>
        <w:rPr>
          <w:rFonts w:ascii="Times New Roman" w:hAnsi="Times New Roman"/>
          <w:noProof/>
          <w:sz w:val="24"/>
          <w:szCs w:val="24"/>
        </w:rPr>
        <w:t>Fil-25 ta’ Lulju 2019, il-Kummissjoni ddeċidiet li tirreferi żewġ Stati Membri</w:t>
      </w:r>
      <w:r>
        <w:rPr>
          <w:rStyle w:val="FootnoteReference"/>
          <w:iCs/>
          <w:noProof/>
          <w:sz w:val="24"/>
          <w:szCs w:val="24"/>
        </w:rPr>
        <w:footnoteReference w:id="55"/>
      </w:r>
      <w:r>
        <w:rPr>
          <w:rFonts w:ascii="Times New Roman" w:hAnsi="Times New Roman"/>
          <w:noProof/>
          <w:sz w:val="24"/>
          <w:szCs w:val="24"/>
        </w:rPr>
        <w:t xml:space="preserve"> lill-Qorti tal-Ġustizzja tal-Unjoni Ewropea minħabba n-nuqqas ta’ traspożizzjoni tad-Direttiva u bagħtet ittra ta' intimazzjoni lil Stat Membru wieħed</w:t>
      </w:r>
      <w:r>
        <w:rPr>
          <w:rStyle w:val="FootnoteReference"/>
          <w:iCs/>
          <w:noProof/>
          <w:sz w:val="24"/>
          <w:szCs w:val="24"/>
        </w:rPr>
        <w:footnoteReference w:id="56"/>
      </w:r>
      <w:r>
        <w:rPr>
          <w:rFonts w:ascii="Times New Roman" w:hAnsi="Times New Roman"/>
          <w:noProof/>
          <w:sz w:val="24"/>
          <w:szCs w:val="24"/>
        </w:rPr>
        <w:t xml:space="preserve"> peress li naqas milli jittrasponi b’mod sħiħ id-Direttiva</w:t>
      </w:r>
      <w:r>
        <w:rPr>
          <w:rStyle w:val="FootnoteReference"/>
          <w:iCs/>
          <w:noProof/>
          <w:sz w:val="24"/>
          <w:szCs w:val="24"/>
        </w:rPr>
        <w:footnoteReference w:id="57"/>
      </w:r>
      <w:r>
        <w:rPr>
          <w:noProof/>
          <w:sz w:val="24"/>
          <w:szCs w:val="24"/>
        </w:rPr>
        <w:t>.</w:t>
      </w:r>
      <w:r>
        <w:rPr>
          <w:rFonts w:ascii="Times New Roman" w:hAnsi="Times New Roman"/>
          <w:iCs/>
          <w:noProof/>
          <w:sz w:val="24"/>
          <w:szCs w:val="24"/>
        </w:rPr>
        <w:t xml:space="preserve">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Il-Kummissjoni qed tivvaluta t-traspożizzjoni tar-</w:t>
      </w:r>
      <w:r>
        <w:rPr>
          <w:rFonts w:ascii="Times New Roman" w:hAnsi="Times New Roman"/>
          <w:b/>
          <w:bCs/>
          <w:iCs/>
          <w:noProof/>
          <w:sz w:val="24"/>
          <w:szCs w:val="24"/>
        </w:rPr>
        <w:t>Raba' Direttiva Kontra l-Ħasil tal-Flus</w:t>
      </w:r>
      <w:r>
        <w:rPr>
          <w:rStyle w:val="FootnoteReference"/>
          <w:iCs/>
          <w:noProof/>
          <w:sz w:val="24"/>
          <w:szCs w:val="24"/>
        </w:rPr>
        <w:footnoteReference w:id="58"/>
      </w:r>
      <w:r>
        <w:rPr>
          <w:rFonts w:ascii="Times New Roman" w:hAnsi="Times New Roman"/>
          <w:iCs/>
          <w:noProof/>
          <w:sz w:val="24"/>
          <w:szCs w:val="24"/>
        </w:rPr>
        <w:t>, filwaqt li qed taħdem ukoll biex tivverifika li r-regoli jiġu implimentati mill-Istati Membri. Kellhom jittrasponu d-Direttiva fil-liġi nazzjonali sas-26 ta’ Ġunju 2018. Il-Kummissjoni għadha għaddejja bi proċeduri ta’ ksur kontra 21 Stat Membru billi vvalutat li l-komunikazzjoni li rċeviet mingħand l-Istati Membri ma tirrappreżentax traspożizzjoni sħiħa ta’ din id-Direttiva.</w:t>
      </w:r>
      <w:r>
        <w:rPr>
          <w:rStyle w:val="FootnoteReference"/>
          <w:iCs/>
          <w:noProof/>
          <w:sz w:val="24"/>
          <w:szCs w:val="24"/>
        </w:rPr>
        <w:footnoteReference w:id="59"/>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Il-Kummissjoni vvalutat il-konformità tat-traspożizzjoni tad-</w:t>
      </w:r>
      <w:r>
        <w:rPr>
          <w:rFonts w:ascii="Times New Roman" w:hAnsi="Times New Roman"/>
          <w:b/>
          <w:iCs/>
          <w:noProof/>
          <w:sz w:val="24"/>
          <w:szCs w:val="24"/>
        </w:rPr>
        <w:t>direttivi relatati maċ-ċiberkriminalità</w:t>
      </w:r>
      <w:r>
        <w:rPr>
          <w:rFonts w:ascii="Times New Roman" w:hAnsi="Times New Roman"/>
          <w:iCs/>
          <w:noProof/>
          <w:sz w:val="24"/>
          <w:szCs w:val="24"/>
        </w:rPr>
        <w:t>. F’Lulju u f’Ottubru 2019 nediet proċeduri ta’ ksur kontra 23 Stat Membru</w:t>
      </w:r>
      <w:r>
        <w:rPr>
          <w:rStyle w:val="FootnoteReference"/>
          <w:iCs/>
          <w:noProof/>
          <w:sz w:val="24"/>
          <w:szCs w:val="24"/>
        </w:rPr>
        <w:footnoteReference w:id="60"/>
      </w:r>
      <w:r>
        <w:rPr>
          <w:rFonts w:ascii="Times New Roman" w:hAnsi="Times New Roman"/>
          <w:iCs/>
          <w:noProof/>
          <w:sz w:val="24"/>
          <w:szCs w:val="24"/>
        </w:rPr>
        <w:t xml:space="preserve"> peress li qieset li l-leġislazzjoni ta’ implimentazzjoni nazzjonali nnotifikata minn dawk l-Istati Membri ma kinitx tirrappreżenta traspożizzjoni korretta tad-</w:t>
      </w:r>
      <w:r>
        <w:rPr>
          <w:rFonts w:ascii="Times New Roman" w:hAnsi="Times New Roman"/>
          <w:b/>
          <w:iCs/>
          <w:noProof/>
          <w:sz w:val="24"/>
          <w:szCs w:val="24"/>
        </w:rPr>
        <w:t>Direttiva dwar il-ġlieda kontra l-abbuż sesswali tat-tfal</w:t>
      </w:r>
      <w:r>
        <w:rPr>
          <w:rFonts w:ascii="Times New Roman" w:eastAsia="Calibri" w:hAnsi="Times New Roman" w:cs="Times New Roman"/>
          <w:iCs/>
          <w:noProof/>
          <w:sz w:val="24"/>
          <w:szCs w:val="24"/>
          <w:vertAlign w:val="superscript"/>
        </w:rPr>
        <w:footnoteReference w:id="61"/>
      </w:r>
      <w:r>
        <w:rPr>
          <w:rFonts w:ascii="Times New Roman" w:hAnsi="Times New Roman"/>
          <w:iCs/>
          <w:noProof/>
          <w:sz w:val="24"/>
          <w:szCs w:val="24"/>
        </w:rPr>
        <w:t>. F’Lulju u f’Ottubru 2019 il-Kummissjoni nediet bl-istess mod proċeduri ta’ ksur kontra erba’ Stati Membri</w:t>
      </w:r>
      <w:r>
        <w:rPr>
          <w:rStyle w:val="FootnoteReference"/>
          <w:iCs/>
          <w:noProof/>
          <w:sz w:val="24"/>
          <w:szCs w:val="24"/>
        </w:rPr>
        <w:footnoteReference w:id="62"/>
      </w:r>
      <w:r>
        <w:rPr>
          <w:rFonts w:ascii="Times New Roman" w:hAnsi="Times New Roman"/>
          <w:iCs/>
          <w:noProof/>
          <w:sz w:val="24"/>
          <w:szCs w:val="24"/>
        </w:rPr>
        <w:t xml:space="preserve"> peress li qieset li l-leġislazzjoni ta’ implimentazzjoni nazzjonali nnotifikata minn dawk l-Istati Membri ma kinitx tirrappreżenta traspożizzjoni korretta tad-</w:t>
      </w:r>
      <w:r>
        <w:rPr>
          <w:rFonts w:ascii="Times New Roman" w:hAnsi="Times New Roman"/>
          <w:b/>
          <w:iCs/>
          <w:noProof/>
          <w:sz w:val="24"/>
          <w:szCs w:val="24"/>
        </w:rPr>
        <w:t>Direttiva dwar l-attakki kontra s-sistemi tal-informazzjoni</w:t>
      </w:r>
      <w:r>
        <w:rPr>
          <w:rFonts w:ascii="Times New Roman" w:eastAsia="Calibri" w:hAnsi="Times New Roman" w:cs="Times New Roman"/>
          <w:iCs/>
          <w:noProof/>
          <w:sz w:val="24"/>
          <w:szCs w:val="24"/>
          <w:vertAlign w:val="superscript"/>
        </w:rPr>
        <w:footnoteReference w:id="63"/>
      </w:r>
      <w:r>
        <w:rPr>
          <w:rFonts w:ascii="Times New Roman" w:hAnsi="Times New Roman"/>
          <w:iCs/>
          <w:noProof/>
          <w:sz w:val="24"/>
          <w:szCs w:val="24"/>
        </w:rPr>
        <w:t>.</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Il-Kummissjoni tappella lill-Istati Membri, b’mod urġenti, biex jieħdu l-miżuri meħtieġa biex jittrasponu b’mod intier id-Direttivi li ġejjin fil-liġi nazzjonali u jikkomunikawhom lill-Kummissjoni:</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szCs w:val="24"/>
              </w:rPr>
              <w:t>id-</w:t>
            </w:r>
            <w:r>
              <w:rPr>
                <w:rFonts w:ascii="Times New Roman" w:hAnsi="Times New Roman"/>
                <w:b/>
                <w:noProof/>
                <w:sz w:val="24"/>
                <w:szCs w:val="24"/>
              </w:rPr>
              <w:t>Direttiva tal-UE dwar ir-Reġistru tal-Ismijiet tal-Passiġġieri</w:t>
            </w:r>
            <w:r>
              <w:rPr>
                <w:rFonts w:ascii="Times New Roman" w:hAnsi="Times New Roman"/>
                <w:noProof/>
                <w:sz w:val="24"/>
                <w:szCs w:val="24"/>
              </w:rPr>
              <w:t>, fejn Stat Membru wieħed għad irid jinnotifika t-traspożizzjoni fil-liġi nazzjonali u Stat Membru ieħor għad jeħtieġ ilesti n-notifika tat-traspożizzjoni</w:t>
            </w:r>
            <w:r>
              <w:rPr>
                <w:rStyle w:val="FootnoteReference"/>
                <w:noProof/>
                <w:sz w:val="24"/>
                <w:szCs w:val="24"/>
              </w:rPr>
              <w:footnoteReference w:id="64"/>
            </w:r>
            <w:r>
              <w:rPr>
                <w:noProof/>
                <w:sz w:val="24"/>
                <w:szCs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szCs w:val="24"/>
              </w:rPr>
              <w:t>id-</w:t>
            </w:r>
            <w:r>
              <w:rPr>
                <w:rFonts w:ascii="Times New Roman" w:hAnsi="Times New Roman"/>
                <w:b/>
                <w:noProof/>
                <w:sz w:val="24"/>
                <w:szCs w:val="24"/>
              </w:rPr>
              <w:t>Direttiva dwar il-ġlieda kontra t-terroriżmu</w:t>
            </w:r>
            <w:r>
              <w:rPr>
                <w:rFonts w:ascii="Times New Roman" w:hAnsi="Times New Roman"/>
                <w:noProof/>
                <w:sz w:val="24"/>
                <w:szCs w:val="24"/>
              </w:rPr>
              <w:t>, żewġ Stati Membri għad iridu jinnotifikaw it-traspożizzjoni fil-liġi nazzjonali u Stat Membru wieħed għad irid ilesti n-notifika tat-traspożizzjoni</w:t>
            </w:r>
            <w:r>
              <w:rPr>
                <w:rStyle w:val="FootnoteReference"/>
                <w:noProof/>
                <w:sz w:val="24"/>
                <w:szCs w:val="24"/>
              </w:rPr>
              <w:footnoteReference w:id="65"/>
            </w:r>
            <w:r>
              <w:rPr>
                <w:noProof/>
                <w:sz w:val="24"/>
                <w:szCs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szCs w:val="24"/>
              </w:rPr>
              <w:t>id-</w:t>
            </w:r>
            <w:r>
              <w:rPr>
                <w:rFonts w:ascii="Times New Roman" w:hAnsi="Times New Roman"/>
                <w:b/>
                <w:noProof/>
                <w:sz w:val="24"/>
                <w:szCs w:val="24"/>
              </w:rPr>
              <w:t>Direttiva dwar il-kontroll tal-akkwist u l-pussess tal-armi</w:t>
            </w:r>
            <w:r>
              <w:rPr>
                <w:rFonts w:ascii="Times New Roman" w:hAnsi="Times New Roman"/>
                <w:noProof/>
                <w:sz w:val="24"/>
                <w:szCs w:val="24"/>
              </w:rPr>
              <w:t>, fejn tmien Stati Membri għad iridu jinnotifikaw it-traspożizzjoni fil-liġi nazzjonali u seba’ Stati Membri għad iridu jlestu n-notifika tat-traspożizzjoni</w:t>
            </w:r>
            <w:r>
              <w:rPr>
                <w:rStyle w:val="FootnoteReference"/>
                <w:noProof/>
                <w:sz w:val="24"/>
                <w:szCs w:val="24"/>
              </w:rPr>
              <w:footnoteReference w:id="66"/>
            </w:r>
            <w:r>
              <w:rPr>
                <w:noProof/>
                <w:sz w:val="24"/>
                <w:szCs w:val="24"/>
              </w:rPr>
              <w:t>;</w:t>
            </w:r>
            <w:r>
              <w:rPr>
                <w:rFonts w:ascii="Times New Roman" w:hAnsi="Times New Roman"/>
                <w:noProof/>
                <w:sz w:val="24"/>
                <w:szCs w:val="24"/>
              </w:rPr>
              <w:t xml:space="preserve"> </w:t>
            </w:r>
          </w:p>
          <w:p>
            <w:pPr>
              <w:pStyle w:val="ListParagraph"/>
              <w:numPr>
                <w:ilvl w:val="0"/>
                <w:numId w:val="20"/>
              </w:numPr>
              <w:ind w:left="357" w:hanging="357"/>
              <w:contextualSpacing w:val="0"/>
              <w:jc w:val="both"/>
              <w:rPr>
                <w:rFonts w:ascii="Times New Roman" w:hAnsi="Times New Roman"/>
                <w:noProof/>
                <w:sz w:val="24"/>
                <w:szCs w:val="24"/>
              </w:rPr>
            </w:pPr>
            <w:r>
              <w:rPr>
                <w:rFonts w:ascii="Times New Roman" w:hAnsi="Times New Roman"/>
                <w:noProof/>
                <w:sz w:val="24"/>
                <w:szCs w:val="24"/>
              </w:rPr>
              <w:t>id-</w:t>
            </w:r>
            <w:r>
              <w:rPr>
                <w:rFonts w:ascii="Times New Roman" w:hAnsi="Times New Roman"/>
                <w:b/>
                <w:noProof/>
                <w:sz w:val="24"/>
                <w:szCs w:val="24"/>
              </w:rPr>
              <w:t>Direttiva dwar l-Infurzar tal-Liġi tal-Protezzjoni tad-</w:t>
            </w:r>
            <w:r>
              <w:rPr>
                <w:rFonts w:ascii="Times New Roman" w:hAnsi="Times New Roman"/>
                <w:b/>
                <w:i/>
                <w:iCs/>
                <w:noProof/>
                <w:sz w:val="24"/>
                <w:szCs w:val="24"/>
              </w:rPr>
              <w:t>Data</w:t>
            </w:r>
            <w:r>
              <w:rPr>
                <w:rFonts w:ascii="Times New Roman" w:hAnsi="Times New Roman"/>
                <w:noProof/>
                <w:sz w:val="24"/>
                <w:szCs w:val="24"/>
              </w:rPr>
              <w:t>, fejn Stat Membru għad irid jinnotifika t-traspożizzjoni fil-liġi nazzjonali u żewġ Stati Membri għadhom jeħtieġu li jtemmu n-notifika tat-traspożizzjoni</w:t>
            </w:r>
            <w:r>
              <w:rPr>
                <w:rStyle w:val="FootnoteReference"/>
                <w:noProof/>
                <w:sz w:val="24"/>
                <w:szCs w:val="24"/>
              </w:rPr>
              <w:footnoteReference w:id="67"/>
            </w:r>
            <w:r>
              <w:rPr>
                <w:noProof/>
                <w:sz w:val="24"/>
                <w:szCs w:val="24"/>
              </w:rPr>
              <w:t>;</w:t>
            </w:r>
          </w:p>
          <w:p>
            <w:pPr>
              <w:pStyle w:val="ListParagraph"/>
              <w:numPr>
                <w:ilvl w:val="0"/>
                <w:numId w:val="20"/>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ir-</w:t>
            </w:r>
            <w:r>
              <w:rPr>
                <w:rFonts w:ascii="Times New Roman" w:hAnsi="Times New Roman"/>
                <w:b/>
                <w:noProof/>
                <w:sz w:val="24"/>
                <w:szCs w:val="24"/>
              </w:rPr>
              <w:t>Raba’ Direttiva Kontra l-Ħasil tal-Flus</w:t>
            </w:r>
            <w:r>
              <w:rPr>
                <w:rFonts w:ascii="Times New Roman" w:hAnsi="Times New Roman"/>
                <w:noProof/>
                <w:sz w:val="24"/>
                <w:szCs w:val="24"/>
              </w:rPr>
              <w:t>, fejn 21 Stat Membru għad iridu jlestu n-notifika ta’ traspożizzjoni</w:t>
            </w:r>
            <w:r>
              <w:rPr>
                <w:rStyle w:val="FootnoteReference"/>
                <w:noProof/>
                <w:sz w:val="24"/>
                <w:szCs w:val="24"/>
              </w:rPr>
              <w:footnoteReference w:id="68"/>
            </w:r>
            <w:r>
              <w:rPr>
                <w:noProof/>
                <w:sz w:val="24"/>
                <w:szCs w:val="24"/>
              </w:rPr>
              <w:t>;</w:t>
            </w:r>
            <w:r>
              <w:rPr>
                <w:rFonts w:ascii="Times New Roman" w:hAnsi="Times New Roman"/>
                <w:noProof/>
                <w:sz w:val="24"/>
                <w:szCs w:val="24"/>
              </w:rPr>
              <w:t xml:space="preserve"> </w:t>
            </w:r>
          </w:p>
          <w:p>
            <w:pPr>
              <w:pStyle w:val="ListParagraph"/>
              <w:numPr>
                <w:ilvl w:val="0"/>
                <w:numId w:val="20"/>
              </w:numPr>
              <w:contextualSpacing w:val="0"/>
              <w:jc w:val="both"/>
              <w:rPr>
                <w:rFonts w:ascii="Times New Roman" w:hAnsi="Times New Roman" w:cs="Times New Roman"/>
                <w:noProof/>
                <w:sz w:val="24"/>
                <w:szCs w:val="24"/>
              </w:rPr>
            </w:pPr>
            <w:r>
              <w:rPr>
                <w:rFonts w:ascii="Times New Roman" w:hAnsi="Times New Roman"/>
                <w:noProof/>
                <w:sz w:val="24"/>
                <w:szCs w:val="24"/>
              </w:rPr>
              <w:t>id-</w:t>
            </w:r>
            <w:r>
              <w:rPr>
                <w:rFonts w:ascii="Times New Roman" w:hAnsi="Times New Roman"/>
                <w:b/>
                <w:bCs/>
                <w:noProof/>
                <w:sz w:val="24"/>
                <w:szCs w:val="24"/>
              </w:rPr>
              <w:t>Direttiva dwar il-ġlieda kontra l-abbuż sesswali tat-tfal</w:t>
            </w:r>
            <w:r>
              <w:rPr>
                <w:rFonts w:ascii="Times New Roman" w:hAnsi="Times New Roman"/>
                <w:noProof/>
                <w:sz w:val="24"/>
                <w:szCs w:val="24"/>
              </w:rPr>
              <w:t>, fejn proċeduri ta’ ksur għal traspożizzjoni inkorretta tnedew kontra 23 Stat Membru</w:t>
            </w:r>
            <w:r>
              <w:rPr>
                <w:rStyle w:val="FootnoteReference"/>
                <w:noProof/>
                <w:sz w:val="24"/>
                <w:szCs w:val="24"/>
              </w:rPr>
              <w:footnoteReference w:id="69"/>
            </w:r>
            <w:r>
              <w:rPr>
                <w:rFonts w:ascii="Times New Roman" w:hAnsi="Times New Roman"/>
                <w:noProof/>
                <w:sz w:val="24"/>
                <w:szCs w:val="24"/>
              </w:rPr>
              <w:t>;</w:t>
            </w:r>
          </w:p>
          <w:p>
            <w:pPr>
              <w:pStyle w:val="ListParagraph"/>
              <w:numPr>
                <w:ilvl w:val="0"/>
                <w:numId w:val="20"/>
              </w:numPr>
              <w:contextualSpacing w:val="0"/>
              <w:jc w:val="both"/>
              <w:rPr>
                <w:rFonts w:ascii="Times New Roman" w:hAnsi="Times New Roman" w:cs="Times New Roman"/>
                <w:noProof/>
                <w:color w:val="FF0000"/>
                <w:sz w:val="24"/>
                <w:szCs w:val="24"/>
              </w:rPr>
            </w:pPr>
            <w:r>
              <w:rPr>
                <w:rFonts w:ascii="Times New Roman" w:hAnsi="Times New Roman"/>
                <w:noProof/>
                <w:sz w:val="24"/>
                <w:szCs w:val="24"/>
              </w:rPr>
              <w:t>id-</w:t>
            </w:r>
            <w:r>
              <w:rPr>
                <w:rFonts w:ascii="Times New Roman" w:hAnsi="Times New Roman"/>
                <w:b/>
                <w:bCs/>
                <w:noProof/>
                <w:sz w:val="24"/>
                <w:szCs w:val="24"/>
              </w:rPr>
              <w:t>Direttiva dwar l-attakki kontra s-sistemi tal-informazzjoni</w:t>
            </w:r>
            <w:r>
              <w:rPr>
                <w:rFonts w:ascii="Times New Roman" w:hAnsi="Times New Roman"/>
                <w:noProof/>
                <w:sz w:val="24"/>
                <w:szCs w:val="24"/>
              </w:rPr>
              <w:t>, fejn proċeduri ta’ ksur għal traspożizzjoni inkorretta tnedew kontra erba’ Stati Membri</w:t>
            </w:r>
            <w:r>
              <w:rPr>
                <w:rStyle w:val="FootnoteReference"/>
                <w:noProof/>
                <w:sz w:val="24"/>
                <w:szCs w:val="24"/>
              </w:rPr>
              <w:footnoteReference w:id="70"/>
            </w:r>
            <w:r>
              <w:rPr>
                <w:rFonts w:ascii="Times New Roman" w:hAnsi="Times New Roman"/>
                <w:noProof/>
                <w:sz w:val="24"/>
                <w:szCs w:val="24"/>
              </w:rPr>
              <w:t>;</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2.    Stat ta’ tħejjija u protezzjoni</w:t>
      </w:r>
    </w:p>
    <w:p>
      <w:pPr>
        <w:spacing w:after="240" w:line="240" w:lineRule="auto"/>
        <w:jc w:val="both"/>
        <w:rPr>
          <w:rFonts w:ascii="Times New Roman" w:eastAsia="Calibri" w:hAnsi="Times New Roman" w:cs="Times New Roman"/>
          <w:i/>
          <w:iCs/>
          <w:noProof/>
          <w:sz w:val="24"/>
          <w:szCs w:val="24"/>
        </w:rPr>
      </w:pPr>
      <w:r>
        <w:rPr>
          <w:rFonts w:ascii="Times New Roman" w:hAnsi="Times New Roman"/>
          <w:iCs/>
          <w:noProof/>
          <w:sz w:val="24"/>
          <w:szCs w:val="24"/>
        </w:rPr>
        <w:t>Il-bini ta’ reżiljenza kontra t-theddid għas-sigurtà huma parti essenzjali mill-ħidma lejn Unjoni tas-Sigurtà effettiva u ġenwina. Il-Kummissjoni tappoġġa lill-Istati Membri u lill-awtoritajiet lokali fit-tisħiħ tal-protezzjoni ta’ spazji pubbliċi, fl-implimentazzjoni tal-Pjan ta’ Azzjoni ta’ Ottubru 2017 u fis-Sħubija ta’ Jannar 2019 dwar is-Sigurtà fi Spazji Pubbliċi skont l-Aġenda Urbana għall-UE. Din il-ħidma tinvolvi dawk il-bliet li avviċinaw il-Kummissjoni u talbu appoġġ fl-indirizzar tal-isfidi li kellhom iħabbtu wiċċhom magħhom biex jipproteġu l-ispazji pubbliċi.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L-iskambju tal-aħjar prattiki fost l-awtoritajiet lokali u ma’ operaturi privati huwa essenzjali għat-tisħiħ tas-sigurtà tal-ispazji pubbliċi. Dan kien fil-qalba tal-</w:t>
      </w:r>
      <w:r>
        <w:rPr>
          <w:rFonts w:ascii="Times New Roman" w:hAnsi="Times New Roman"/>
          <w:b/>
          <w:noProof/>
          <w:sz w:val="24"/>
          <w:szCs w:val="24"/>
        </w:rPr>
        <w:t>Ġimgħa Ewropea tas-Sigurtà</w:t>
      </w:r>
      <w:r>
        <w:rPr>
          <w:rFonts w:ascii="Times New Roman" w:hAnsi="Times New Roman"/>
          <w:noProof/>
          <w:sz w:val="24"/>
          <w:szCs w:val="24"/>
        </w:rPr>
        <w:t xml:space="preserve"> f’Nizza, fi Franza, mill-14 sat-18 ta’ Ottubru 2019, organizzata mill-proġett iffinanzjat mill-UE “Protect Allied Cities against Terrorism in Securing Urban Areas”. Billi laqqa’ flimkien 500 parteċipant minn bliet madwar l-Ewropa kollha, mill-awtoritajiet nazzjonali u mill-istituzzjonijiet ta’ riċerka, l-avveniment enfasizza l-importanza ta’ kooperazzjoni mal-partijiet interessati kollha involuti, kemm pubbliċi kif ukoll privati, u r-rwol ta’ teknoloġiji ġodda fi protezzjoni aħjar tal-bliet. Il-protezzjoni ta’ spazji pubbliċi dehret ukoll fil-</w:t>
      </w:r>
      <w:r>
        <w:rPr>
          <w:rFonts w:ascii="Times New Roman" w:hAnsi="Times New Roman"/>
          <w:b/>
          <w:noProof/>
          <w:sz w:val="24"/>
          <w:szCs w:val="24"/>
        </w:rPr>
        <w:t>Ġimgħa Ewropea tar-Reġjuni u l-Bliet fi Brussell</w:t>
      </w:r>
      <w:r>
        <w:rPr>
          <w:rFonts w:ascii="Times New Roman" w:hAnsi="Times New Roman"/>
          <w:noProof/>
          <w:sz w:val="24"/>
          <w:szCs w:val="24"/>
        </w:rPr>
        <w:t xml:space="preserve"> mis-7 sal-10 ta’ Ottubru 2019, b’sessjoni ta’ ħidma dwar l-Aġenda Urbana għas-Sħubija tal-UE għas-Sigurtà fl-Ispazji Pubbliċi. Din kienet iffokata fuq ir-rwol tal-awtoritajiet lokali fil-qasam tal-politika tas-sigurtà, ir-regolamentazzjoni u l-finanzjament tal-UE biex jiġu ffaċċjati l-isfidi tas-sigurtà ewlenin bħall-innovazzjoni permezz ta’ soluzzjonijiet u teknoloġiji intelliġenti, inkluż il-kunċett ta’ sigurtà permezz tat-tfassil, il-prevenzjoni u l-inklużjoni soċjali. Il-Kummissjoni qed tikkontribwixxi wkoll biex trawwem l-innovazzjoni tal-bliet f’dawn l-oqsma permezz tal-aħħar sejħa li għamlet għal proposti tal-Azzjonijiet Innovattivi Urbani, li r-riżultati tagħhom tħabbru f’Awwissu 2019. Fost il-proġetti magħżula, tliet ibliet (Piraeus fil-Greċja, Tampere fil-Finlandja u Turin fl-Italja) se jittestjaw soluzzjonijiet ġodda dwar kwistjonijiet ta’ sigurtà urbana</w:t>
      </w:r>
      <w:r>
        <w:rPr>
          <w:rStyle w:val="FootnoteReference"/>
          <w:noProof/>
          <w:sz w:val="24"/>
          <w:szCs w:val="24"/>
        </w:rPr>
        <w:footnoteReference w:id="71"/>
      </w:r>
      <w:r>
        <w:rPr>
          <w:noProof/>
          <w:sz w:val="24"/>
          <w:szCs w:val="24"/>
        </w:rPr>
        <w:t>.</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Biex </w:t>
      </w:r>
      <w:r>
        <w:rPr>
          <w:rFonts w:ascii="Times New Roman" w:hAnsi="Times New Roman"/>
          <w:b/>
          <w:noProof/>
          <w:sz w:val="24"/>
          <w:szCs w:val="24"/>
        </w:rPr>
        <w:t>tipproteġi aħjar il-postijiet ta’ qima</w:t>
      </w:r>
      <w:r>
        <w:rPr>
          <w:rFonts w:ascii="Times New Roman" w:hAnsi="Times New Roman"/>
          <w:noProof/>
          <w:sz w:val="24"/>
          <w:szCs w:val="24"/>
        </w:rPr>
        <w:t xml:space="preserve"> u biex tesplora l-ħtiġijiet ta’ gruppi reliġjużi differenti, fis-7 ta’ Ottubru 2019 il-Kummissjoni organizzat laqgħa ma’ rappreżentanti tal-komunitajiet tal-Lhud, il-Musulmani, il-Kristjani u l-Buddisti. Parti mill-implimentazzjoni tal-Pjan ta’ Azzjoni tal-UE tal-2017 biex tiġi appoġġata l-protezzjoni ta’ spazji pubbliċi, il-laqgħa indikat li l-għarfien tas-sigurtà u l-istat ta’ tħejjija jvarjaw b’mod sinifikanti bejn komunitajiet reliġjużi differenti, b’enfasi fuq l-importanza ta’ aktar skambju ta’ prattiki tajba. Il-laqgħa wriet ukoll li l-introduzzjoni ta’ miżuri bażiċi ta’ sigurtà u għarfien aħjar tas-sigurtà mhumiex inkompatibbli maż-żamma tal-karattru miftuħ u aċċessibbli tal-postijiet ta’ qima. Il-Kummissjoni se tiġbor prattiki tajba u materjal ta’ sensibilizzazzjoni dwar il-pjattaforma ta’ esperti elettronika tagħha u tressaq il-kwistjoni għall-attenzjoni tal-awtoritajiet tas-sigurtà tal-Istati Membri fil-forum pubbliku-privat għall-protezzjoni tal-ispazji pubbliċi.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Qasam speċifiku li jeħtieġ iktar attenzjoni hija t-theddida dejjem akbar tad-</w:t>
      </w:r>
      <w:r>
        <w:rPr>
          <w:rFonts w:ascii="Times New Roman" w:hAnsi="Times New Roman"/>
          <w:b/>
          <w:noProof/>
          <w:sz w:val="24"/>
          <w:szCs w:val="24"/>
        </w:rPr>
        <w:t>droni</w:t>
      </w:r>
      <w:r>
        <w:rPr>
          <w:rFonts w:ascii="Times New Roman" w:hAnsi="Times New Roman"/>
          <w:noProof/>
          <w:sz w:val="24"/>
          <w:szCs w:val="24"/>
        </w:rPr>
        <w:t xml:space="preserve"> għas-sigurtà tal-infrastruttura kritika u l-ispazji pubbliċi. Filwaqt li tikkumplementa l-leġislazzjoni riċenti tal-UE</w:t>
      </w:r>
      <w:r>
        <w:rPr>
          <w:rStyle w:val="FootnoteReference"/>
          <w:noProof/>
          <w:sz w:val="24"/>
          <w:szCs w:val="24"/>
        </w:rPr>
        <w:footnoteReference w:id="72"/>
      </w:r>
      <w:r>
        <w:rPr>
          <w:rFonts w:ascii="Times New Roman" w:hAnsi="Times New Roman"/>
          <w:noProof/>
          <w:sz w:val="24"/>
          <w:szCs w:val="24"/>
        </w:rPr>
        <w:t xml:space="preserve"> dwar operazzjonijiet ta’ droni sikuri fi spazju tal-ajru bl-ekwipaġġ, u mingħajr ma ddgħajjef l-opportunitajiet għall-użu benefiċjali ta’ droni, il-Kummissjoni tappoġġa lill-Istati Membri fit-traċċar tax-xejriet fl-użu malizzjuż tad-droni, il-finanzjament ta’ riċerka rilevanti u fil-faċilitazzjoni tal-ittestjar ta’ kontromiżuri. L-iskambju ta’ esperjenzi u l-aħjar prattiki huma kruċjali, kif muri fil-konferenza internazzjonali ta’ livell għoli dwar il-ġlieda kontra t-theddid impost minn sistemi ta’ inġenji tal-ajru mingħajr bdot abbord fi Brussell fis-17 ta’ Ottubru 2019. Dan l-avveniment, organizzat mill-Kummissjoni, laqqa’ flimkien 250 parteċipant mill-Istati Membri, organizzazzjonijiet internazzjonali, sħab ta’ pajjiżi terzi, l-industrija, l-akkademja u s-soċjetà ċivili biex jiddiskutu l-isfidi tas-sigurtà imposti mid-droni u modi kif jiġu indirizzati. Il-laqgħa wriet il-ħtieġa għal valutazzjonijiet regolari tar-riskju relatati mad-droni u għal kooperazzjoni mill-qrib bejn l-awtoritajiet tal-avjazzjoni u tal-infurzar tal-liġi fl-iżvilupp ulterjuri tal-leġislazzjoni Ewropea dwar operazzjonijiet sikuri ta’ droni. Hemm ukoll ħtieġa għal aktar ittestjar ta’ kontromiżuri kontra d-droni permezz ta’ approċċ Ewropew ikkoordinat. Barra minn hekk, kien hemm qbil li biex id-droni jkun sikuri, affidabbli fil-livell operattiv u diffiċli biex jintużaw għal skopijiet malizzjużi, huwa essenzjali li jkun hemm involviment mill-qrib bejn l-awtoritajiet u l-industrija. </w:t>
      </w:r>
    </w:p>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3.      Id-dimensjoni esterna</w:t>
      </w:r>
    </w:p>
    <w:p>
      <w:pPr>
        <w:spacing w:before="100" w:beforeAutospacing="1"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Peress li ħafna mir-riskji ta’ sigurtà li qed tiffaċċja l-Unjoni jmorru lil hinn mill-fruntieri tal-UE u jirrappreżentaw theddid globali, il-kooperazzjoni ma’ pajjiżi sħab, l-organizzazzjonijiet u partijiet interessati rilevanti għandha rwol vitali fil-bini ta’ Unjoni tas-Sigurtà effettiva u ġenwina.</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L-iskambju ta’ informazzjoni huwa ċentrali għal din il-kooperazzjoni. Flimkien ma’ dan ir-rapport, il-Kummissjoni adottat rakkomandazzjoni lill-Kunsill għal awtorizzazzjoni għat-tnedija ta’ negozjati għal </w:t>
      </w:r>
      <w:r>
        <w:rPr>
          <w:rFonts w:ascii="Times New Roman" w:hAnsi="Times New Roman"/>
          <w:b/>
          <w:iCs/>
          <w:noProof/>
          <w:sz w:val="24"/>
          <w:szCs w:val="24"/>
        </w:rPr>
        <w:t xml:space="preserve">ftehim bejn l-UE u New Zealand dwar l-iskambju ta’ </w:t>
      </w:r>
      <w:r>
        <w:rPr>
          <w:rFonts w:ascii="Times New Roman" w:hAnsi="Times New Roman"/>
          <w:b/>
          <w:i/>
          <w:iCs/>
          <w:noProof/>
          <w:sz w:val="24"/>
          <w:szCs w:val="24"/>
        </w:rPr>
        <w:t>data</w:t>
      </w:r>
      <w:r>
        <w:rPr>
          <w:rFonts w:ascii="Times New Roman" w:hAnsi="Times New Roman"/>
          <w:b/>
          <w:iCs/>
          <w:noProof/>
          <w:sz w:val="24"/>
          <w:szCs w:val="24"/>
        </w:rPr>
        <w:t xml:space="preserve"> personali bejn l-Europol u l-awtoritajiet kompetenti ta’ New Zealand fil-ġlieda kontra l-kriminalità serja u t-terroriżmu</w:t>
      </w:r>
      <w:r>
        <w:rPr>
          <w:rFonts w:ascii="Times New Roman" w:hAnsi="Times New Roman"/>
          <w:iCs/>
          <w:noProof/>
          <w:sz w:val="24"/>
          <w:szCs w:val="24"/>
        </w:rPr>
        <w:t xml:space="preserve">. Ftehim bħal dan se jsaħħaħ iktar il-kapaċitajiet tal-Europol li tinvolvi ruħha man-New Zealand għall-finijiet tal-prevenzjoni u l-ġlieda kontra l-kriminalità li taqa’ fil-kamp ta’ applikazzjoni tal-objettivi tal-Europol. Filwaqt li l-arranġament ta’ ħidma ta’ April 2019 bejn l-Europol u l-Pulizija ta’ New Zealand jipprovdi qafas għal kooperazzjoni strutturata fil-livell ta’ strateġija strutturata, dan ma jipprovdix bażi ġuridika għall-iskambju ta’ </w:t>
      </w:r>
      <w:r>
        <w:rPr>
          <w:rFonts w:ascii="Times New Roman" w:hAnsi="Times New Roman"/>
          <w:i/>
          <w:iCs/>
          <w:noProof/>
          <w:sz w:val="24"/>
          <w:szCs w:val="24"/>
        </w:rPr>
        <w:t>data</w:t>
      </w:r>
      <w:r>
        <w:rPr>
          <w:rFonts w:ascii="Times New Roman" w:hAnsi="Times New Roman"/>
          <w:iCs/>
          <w:noProof/>
          <w:sz w:val="24"/>
          <w:szCs w:val="24"/>
        </w:rPr>
        <w:t xml:space="preserve"> personali. L-iskambju ta’ </w:t>
      </w:r>
      <w:r>
        <w:rPr>
          <w:rFonts w:ascii="Times New Roman" w:hAnsi="Times New Roman"/>
          <w:i/>
          <w:iCs/>
          <w:noProof/>
          <w:sz w:val="24"/>
          <w:szCs w:val="24"/>
        </w:rPr>
        <w:t>data</w:t>
      </w:r>
      <w:r>
        <w:rPr>
          <w:rFonts w:ascii="Times New Roman" w:hAnsi="Times New Roman"/>
          <w:iCs/>
          <w:noProof/>
          <w:sz w:val="24"/>
          <w:szCs w:val="24"/>
        </w:rPr>
        <w:t xml:space="preserve"> personali b’rispett sħiħ tad-dritt tal-UE u d-drittijiet fundamentali huwa essenzjali għall-kooperazzjoni operattiva effettiva tal-pulizija. Qabel, il-Kummissjoni kienet identifikat tmien pajjiżi prijoritarji fir-Reġjun tal-Lvant Nofsani/l-Afrika ta' Fuq abbażi tat-theddida terroristika, l-isfidi relatati mal-migrazzjoni u l-ħtiġijiet operattivi tal-Europol biex jinbdew in-negozjati.</w:t>
      </w:r>
      <w:r>
        <w:rPr>
          <w:rFonts w:ascii="Times New Roman" w:eastAsia="Calibri" w:hAnsi="Times New Roman" w:cs="Times New Roman"/>
          <w:iCs/>
          <w:noProof/>
          <w:sz w:val="24"/>
          <w:szCs w:val="24"/>
          <w:vertAlign w:val="superscript"/>
        </w:rPr>
        <w:footnoteReference w:id="73"/>
      </w:r>
      <w:r>
        <w:rPr>
          <w:rFonts w:ascii="Times New Roman" w:hAnsi="Times New Roman"/>
          <w:iCs/>
          <w:noProof/>
          <w:sz w:val="24"/>
          <w:szCs w:val="24"/>
        </w:rPr>
        <w:t xml:space="preserve"> Filwaqt li tieħu kont tal-ħtiġijiet operattivi tal-awtoritajiet tal-infurzar tal-liġi madwar l-UE, u l-benefiċċji potenzjali ta’ kooperazzjoni aktar mill-qrib f’dan il-qasam kif muri wkoll mis-segwitu għall-attakk ta’ Christchurch f’Marzu 2019, il-Kummissjoni tqis li huwa meħtieġ li żżid lil New Zealand bħala pajjiż ta’ prijorità biex jinbdew in-negozjati f’qasir żmien.</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Punt fundamentali ieħor tal-kooperazzjoni tas-sigurtà tal-Unjoni ma’ sħab minn pajjiżi terzi huwa t-trasferiment ta’ </w:t>
      </w:r>
      <w:r>
        <w:rPr>
          <w:rFonts w:ascii="Times New Roman" w:hAnsi="Times New Roman"/>
          <w:b/>
          <w:i/>
          <w:iCs/>
          <w:noProof/>
          <w:sz w:val="24"/>
          <w:szCs w:val="24"/>
        </w:rPr>
        <w:t>data</w:t>
      </w:r>
      <w:r>
        <w:rPr>
          <w:rFonts w:ascii="Times New Roman" w:hAnsi="Times New Roman"/>
          <w:b/>
          <w:iCs/>
          <w:noProof/>
          <w:sz w:val="24"/>
          <w:szCs w:val="24"/>
        </w:rPr>
        <w:t xml:space="preserve"> tar-reġistru tal-ismijiet tal-passiġġieri</w:t>
      </w:r>
      <w:r>
        <w:rPr>
          <w:rFonts w:ascii="Times New Roman" w:hAnsi="Times New Roman"/>
          <w:iCs/>
          <w:noProof/>
          <w:sz w:val="24"/>
          <w:szCs w:val="24"/>
        </w:rPr>
        <w:t xml:space="preserve">. </w:t>
      </w:r>
      <w:r>
        <w:rPr>
          <w:rFonts w:ascii="Times New Roman" w:hAnsi="Times New Roman"/>
          <w:noProof/>
          <w:sz w:val="24"/>
          <w:szCs w:val="24"/>
        </w:rPr>
        <w:t xml:space="preserve">Fis-27 ta’ Settembru 2019, il-Kummissjoni adottat Rakkomandazzjoni lill-Kunsill biex tawtorizza l-ftuħ ta’ negozjati għal ftehim bejn </w:t>
      </w:r>
      <w:r>
        <w:rPr>
          <w:rFonts w:ascii="Times New Roman" w:hAnsi="Times New Roman"/>
          <w:b/>
          <w:noProof/>
          <w:sz w:val="24"/>
          <w:szCs w:val="24"/>
        </w:rPr>
        <w:t>l-UE u l-Ġappun</w:t>
      </w:r>
      <w:r>
        <w:rPr>
          <w:rFonts w:ascii="Times New Roman" w:hAnsi="Times New Roman"/>
          <w:noProof/>
          <w:sz w:val="24"/>
          <w:szCs w:val="24"/>
        </w:rPr>
        <w:t xml:space="preserve"> dwar it-trasferiment ta’ </w:t>
      </w:r>
      <w:r>
        <w:rPr>
          <w:rFonts w:ascii="Times New Roman" w:hAnsi="Times New Roman"/>
          <w:i/>
          <w:iCs/>
          <w:noProof/>
          <w:sz w:val="24"/>
          <w:szCs w:val="24"/>
        </w:rPr>
        <w:t>data</w:t>
      </w:r>
      <w:r>
        <w:rPr>
          <w:rFonts w:ascii="Times New Roman" w:hAnsi="Times New Roman"/>
          <w:noProof/>
          <w:sz w:val="24"/>
          <w:szCs w:val="24"/>
        </w:rPr>
        <w:t xml:space="preserve"> tar-reġistru tal-ismijiet tal-passiġġieri sabiex tipprevjeni u tiġġieled it-terroriżmu u l-kriminalità transnazzjonali serja b’rispett sħiħ tas-salvagwardji għall-protezzjoni tad-</w:t>
      </w:r>
      <w:r>
        <w:rPr>
          <w:rFonts w:ascii="Times New Roman" w:hAnsi="Times New Roman"/>
          <w:i/>
          <w:iCs/>
          <w:noProof/>
          <w:sz w:val="24"/>
          <w:szCs w:val="24"/>
        </w:rPr>
        <w:t>data</w:t>
      </w:r>
      <w:r>
        <w:rPr>
          <w:rFonts w:ascii="Times New Roman" w:hAnsi="Times New Roman"/>
          <w:noProof/>
          <w:sz w:val="24"/>
          <w:szCs w:val="24"/>
        </w:rPr>
        <w:t xml:space="preserve"> u d-drittijiet fundamentali</w:t>
      </w:r>
      <w:r>
        <w:rPr>
          <w:rStyle w:val="FootnoteReference"/>
          <w:iCs/>
          <w:noProof/>
          <w:sz w:val="24"/>
          <w:szCs w:val="24"/>
        </w:rPr>
        <w:footnoteReference w:id="74"/>
      </w:r>
      <w:r>
        <w:rPr>
          <w:noProof/>
          <w:sz w:val="24"/>
          <w:szCs w:val="24"/>
        </w:rPr>
        <w:t>.</w:t>
      </w:r>
      <w:r>
        <w:rPr>
          <w:rFonts w:ascii="Times New Roman" w:hAnsi="Times New Roman"/>
          <w:iCs/>
          <w:noProof/>
          <w:sz w:val="24"/>
          <w:szCs w:val="24"/>
        </w:rPr>
        <w:t xml:space="preserve"> Ir-rakkomandazzjoni qed tiġi eżaminata fil-livell tal-grupp ta’ ħidma tal-Kunsill u l-Kummissjoni tappella lill-Kunsill biex jadotta malajr mandat għal negozjati mal-Ġappun. Jinkisbu dividendi fejn tidħol is-sigurtà reali jekk ikun hemm arranġamenti fis-seħħ qabel il-Logħob Olimpiku tal-2020.</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Fuq livell dinji, il-Kummissjoni tappoġġa l-ħidma mwettqa mill-</w:t>
      </w:r>
      <w:r>
        <w:rPr>
          <w:rFonts w:ascii="Times New Roman" w:hAnsi="Times New Roman"/>
          <w:b/>
          <w:iCs/>
          <w:noProof/>
          <w:sz w:val="24"/>
          <w:szCs w:val="24"/>
        </w:rPr>
        <w:t>Organizzazzjoni tal-Avjazzjoni Ċivili Internazzjonali</w:t>
      </w:r>
      <w:r>
        <w:rPr>
          <w:rFonts w:ascii="Times New Roman" w:hAnsi="Times New Roman"/>
          <w:iCs/>
          <w:noProof/>
          <w:sz w:val="24"/>
          <w:szCs w:val="24"/>
        </w:rPr>
        <w:t xml:space="preserve"> biex jiġi stabbilit standard għall-ipproċessar tad-</w:t>
      </w:r>
      <w:r>
        <w:rPr>
          <w:rFonts w:ascii="Times New Roman" w:hAnsi="Times New Roman"/>
          <w:i/>
          <w:iCs/>
          <w:noProof/>
          <w:sz w:val="24"/>
          <w:szCs w:val="24"/>
        </w:rPr>
        <w:t>data</w:t>
      </w:r>
      <w:r>
        <w:rPr>
          <w:rFonts w:ascii="Times New Roman" w:hAnsi="Times New Roman"/>
          <w:iCs/>
          <w:noProof/>
          <w:sz w:val="24"/>
          <w:szCs w:val="24"/>
        </w:rPr>
        <w:t xml:space="preserve"> tar-reġistru tal-ismijiet tal-passiġġieri. Dan iwieġeb għal talba mir-Riżoluzzjoni 2396 tal-Kunsill tas-Sigurtà tan-Nazzjonijiet Uniti li tħeġġeġ lill-Istati Membri kollha tan-Nazzjonijiet Uniti biex jiżviluppaw il-kapaċità li jiġbru, jipproċessaw u janalizzaw id-</w:t>
      </w:r>
      <w:r>
        <w:rPr>
          <w:rFonts w:ascii="Times New Roman" w:hAnsi="Times New Roman"/>
          <w:i/>
          <w:iCs/>
          <w:noProof/>
          <w:sz w:val="24"/>
          <w:szCs w:val="24"/>
        </w:rPr>
        <w:t>data</w:t>
      </w:r>
      <w:r>
        <w:rPr>
          <w:rFonts w:ascii="Times New Roman" w:hAnsi="Times New Roman"/>
          <w:iCs/>
          <w:noProof/>
          <w:sz w:val="24"/>
          <w:szCs w:val="24"/>
        </w:rPr>
        <w:t xml:space="preserve"> tar-reġistru tal-ismijiet tal-passiġġieri. Fit-13 ta’ Settembru 2019, il-Kummissjoni ppreżentat proposta</w:t>
      </w:r>
      <w:r>
        <w:rPr>
          <w:rStyle w:val="FootnoteReference"/>
          <w:iCs/>
          <w:noProof/>
          <w:sz w:val="24"/>
          <w:szCs w:val="24"/>
        </w:rPr>
        <w:footnoteReference w:id="75"/>
      </w:r>
      <w:r>
        <w:rPr>
          <w:rFonts w:ascii="Times New Roman" w:hAnsi="Times New Roman"/>
          <w:iCs/>
          <w:noProof/>
          <w:sz w:val="24"/>
          <w:szCs w:val="24"/>
        </w:rPr>
        <w:t xml:space="preserve"> għal Deċiżjoni tal-Kunsill dwar il-pożizzjoni li għandha tittieħed f’isem l-UE fl-Organizzazzjoni tal-Avjazzjoni Ċivili Internazzjonali fir-rigward tal-istandards u l-prattiki rakkomandati dwar id-</w:t>
      </w:r>
      <w:r>
        <w:rPr>
          <w:rFonts w:ascii="Times New Roman" w:hAnsi="Times New Roman"/>
          <w:i/>
          <w:iCs/>
          <w:noProof/>
          <w:sz w:val="24"/>
          <w:szCs w:val="24"/>
        </w:rPr>
        <w:t>data</w:t>
      </w:r>
      <w:r>
        <w:rPr>
          <w:rFonts w:ascii="Times New Roman" w:hAnsi="Times New Roman"/>
          <w:iCs/>
          <w:noProof/>
          <w:sz w:val="24"/>
          <w:szCs w:val="24"/>
        </w:rPr>
        <w:t xml:space="preserve"> tar-reġistru tal-ismijiet tal-passiġġieri. Il-proposta qed tiġi eżaminata fil-livell tal-grupp ta’ ħidma tal-Kunsill u l-Kummissjoni tappella għal adozzjoni rapida tad-Deċiżjoni tal-Kunsill. Il-pożizzjoni tal-Unjoni u l-Istati Membri tagħha ġiet stabbilita wkoll f’dokument ta’ informazzjoni dwar “Standards u prinċipji dwar il-ġbir, l-użu, l-ipproċessar u l-protezzjoni tad-</w:t>
      </w:r>
      <w:r>
        <w:rPr>
          <w:rFonts w:ascii="Times New Roman" w:hAnsi="Times New Roman"/>
          <w:i/>
          <w:iCs/>
          <w:noProof/>
          <w:sz w:val="24"/>
          <w:szCs w:val="24"/>
        </w:rPr>
        <w:t>data</w:t>
      </w:r>
      <w:r>
        <w:rPr>
          <w:rFonts w:ascii="Times New Roman" w:hAnsi="Times New Roman"/>
          <w:iCs/>
          <w:noProof/>
          <w:sz w:val="24"/>
          <w:szCs w:val="24"/>
        </w:rPr>
        <w:t xml:space="preserve"> tar-Reġistru tal-Ismijiet tal-Passiġġieri” li ġie ppreżentat fl-40 Sessjoni tal-Assemblea tal-Organizzazzjoni Internazzjonali tal-Avjazzjoni Ċivili.</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Fir-rigward tal-ħidma lejn ftehim ġdid ta’ reġistru tal-ismijiet tal-passiġġieri mal-</w:t>
      </w:r>
      <w:r>
        <w:rPr>
          <w:rFonts w:ascii="Times New Roman" w:hAnsi="Times New Roman"/>
          <w:b/>
          <w:iCs/>
          <w:noProof/>
          <w:sz w:val="24"/>
          <w:szCs w:val="24"/>
        </w:rPr>
        <w:t>Kanada</w:t>
      </w:r>
      <w:r>
        <w:rPr>
          <w:rFonts w:ascii="Times New Roman" w:hAnsi="Times New Roman"/>
          <w:iCs/>
          <w:noProof/>
          <w:sz w:val="24"/>
          <w:szCs w:val="24"/>
        </w:rPr>
        <w:t>, il-Kummissjoni tfittex li l-ftehim jiġi ffinalizzat malajr. Sadanittant, dan is-sajf tnedew ir-rieżami konġunt u l-evalwazzjoni konġunta kkombinati u l-evalwazzjoni konġunta tal-ftehim tar-reġistru tal-ismijiet tal-passiġġieri mal-</w:t>
      </w:r>
      <w:r>
        <w:rPr>
          <w:rFonts w:ascii="Times New Roman" w:hAnsi="Times New Roman"/>
          <w:b/>
          <w:iCs/>
          <w:noProof/>
          <w:sz w:val="24"/>
          <w:szCs w:val="24"/>
        </w:rPr>
        <w:t>Awstralja</w:t>
      </w:r>
      <w:r>
        <w:rPr>
          <w:rFonts w:ascii="Times New Roman" w:hAnsi="Times New Roman"/>
          <w:iCs/>
          <w:noProof/>
          <w:sz w:val="24"/>
          <w:szCs w:val="24"/>
        </w:rPr>
        <w:t xml:space="preserve"> kif ukoll l-evalwazzjoni konġunta tal-ftehim tar-reġistru tal-ismijiet tal-passiġġieri mal-</w:t>
      </w:r>
      <w:r>
        <w:rPr>
          <w:rFonts w:ascii="Times New Roman" w:hAnsi="Times New Roman"/>
          <w:b/>
          <w:iCs/>
          <w:noProof/>
          <w:sz w:val="24"/>
          <w:szCs w:val="24"/>
        </w:rPr>
        <w:t>Istati Uniti</w:t>
      </w:r>
      <w:r>
        <w:rPr>
          <w:rFonts w:ascii="Times New Roman" w:hAnsi="Times New Roman"/>
          <w:iCs/>
          <w:noProof/>
          <w:sz w:val="24"/>
          <w:szCs w:val="24"/>
        </w:rPr>
        <w:t>, li bdew bi żjarat f’Canberra u f’Washington f’Awwissu u f’Settembru 2019 rispettivament. Il-Kummissjoni infurmat lill-Kumitat tal-Parlament Ewropew għal-Libertajiet Ċivili, il-Ġustizzja u l-Intern f’sessjoni fil-magħluq fl-14 ta’ Ottubru 2019 dwar is-sitwazzjoni attwali tal-ħidma mal-Ġappun, l-Awstralja u l-Kanada dwar id-</w:t>
      </w:r>
      <w:r>
        <w:rPr>
          <w:rFonts w:ascii="Times New Roman" w:hAnsi="Times New Roman"/>
          <w:i/>
          <w:iCs/>
          <w:noProof/>
          <w:sz w:val="24"/>
          <w:szCs w:val="24"/>
        </w:rPr>
        <w:t>data</w:t>
      </w:r>
      <w:r>
        <w:rPr>
          <w:rFonts w:ascii="Times New Roman" w:hAnsi="Times New Roman"/>
          <w:iCs/>
          <w:noProof/>
          <w:sz w:val="24"/>
          <w:szCs w:val="24"/>
        </w:rPr>
        <w:t xml:space="preserve"> tar-reġistru tal-ismijiet tal-passiġġieri.</w:t>
      </w:r>
    </w:p>
    <w:p>
      <w:pPr>
        <w:spacing w:before="100" w:beforeAutospacing="1"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Sar ukoll progress fil-kooperazzjoni dwar is-sigurtà mas-sħab tal-</w:t>
      </w:r>
      <w:r>
        <w:rPr>
          <w:rFonts w:ascii="Times New Roman" w:hAnsi="Times New Roman"/>
          <w:b/>
          <w:bCs/>
          <w:noProof/>
          <w:sz w:val="24"/>
          <w:szCs w:val="24"/>
        </w:rPr>
        <w:t>Balkani tal-Punent</w:t>
      </w:r>
      <w:r>
        <w:rPr>
          <w:rFonts w:ascii="Times New Roman" w:hAnsi="Times New Roman"/>
          <w:noProof/>
          <w:sz w:val="24"/>
          <w:szCs w:val="24"/>
        </w:rPr>
        <w:t>, li timplimenta l-Pjan ta’ Azzjoni Konġunt dwar il-Ġlieda Kontra t-Terroriżmu għall-Balkani tal-Punent ta’ Ottubru 2018. Fid-9 ta’ Ottubru, il-Kummissjoni ffirmat żewġ arranġamenti bilaterali mhux vinkolanti kontra t-terroriżmu mal-Albanija u r-Repubblika tal-Maċedonja ta’ Fuq</w:t>
      </w:r>
      <w:r>
        <w:rPr>
          <w:rStyle w:val="FootnoteReference"/>
          <w:noProof/>
          <w:sz w:val="24"/>
          <w:szCs w:val="24"/>
        </w:rPr>
        <w:footnoteReference w:id="76"/>
      </w:r>
      <w:r>
        <w:rPr>
          <w:noProof/>
          <w:sz w:val="24"/>
          <w:szCs w:val="24"/>
        </w:rPr>
        <w:t>.</w:t>
      </w:r>
      <w:r>
        <w:rPr>
          <w:rFonts w:ascii="Times New Roman" w:hAnsi="Times New Roman"/>
          <w:noProof/>
          <w:sz w:val="24"/>
          <w:szCs w:val="24"/>
        </w:rPr>
        <w:t xml:space="preserve"> Dawn l-arranġamenti jistabbilixxu azzjonijiet ta’ prijorità mfassla apposta li għandhom jittieħdu mill-awtoritajiet tal-pajjiż sħab rispettiv, li jkopru l-ħames għanijiet tal-Pjan ta’ Azzjoni Konġunt</w:t>
      </w:r>
      <w:r>
        <w:rPr>
          <w:rStyle w:val="FootnoteReference"/>
          <w:noProof/>
          <w:sz w:val="24"/>
          <w:szCs w:val="24"/>
        </w:rPr>
        <w:footnoteReference w:id="77"/>
      </w:r>
      <w:r>
        <w:rPr>
          <w:rFonts w:ascii="Times New Roman" w:hAnsi="Times New Roman"/>
          <w:noProof/>
          <w:sz w:val="24"/>
          <w:szCs w:val="24"/>
        </w:rPr>
        <w:t xml:space="preserve"> u li jindikaw l-appoġġ li l-Kummissjoni għandha l-intenzjoni li tipprovdi. Arranġamenti simili mal-bqija tas-sħab tal-Balkani tal-Punent mistennija jiġu ffirmati fil-ġimgħat li ġejjin. Barra minn hekk, fis-7 ta’ Ottubru 2019, il-Kummissjoni ffirmat ftehim mal-Montenegro dwar il-kooperazzjoni fil-ġestjoni tal-fruntieri bejn il-Montenegro u l-Gwardja Ewropea tal-Fruntiera u tal-Kosta (EBCGA). Dan il-ftehim jippermetti lill-Aġenzija tassisti lill-Montenegro fil-ġestjoni tal-fruntieri bil-għan li tindirizza l-migrazzjoni irregolari u l-kriminalità transfruntiera, u b’hekk issaħħaħ is-sigurtà fil-fruntiera esterna tal-UE.</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Sabiex tissaħħaħ il-kooperazzjoni ma’ pajjiżi sħab fl-indirizzar ta’ theddidiet ta’ sigurtà komuni, il-Kummissjoni tappella lill-Kunsill:</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 xml:space="preserve">biex jadotta l-awtorizzazzjoni għat-tnedija ta’ negozjati għal ftehim bejn l-UE u </w:t>
            </w:r>
            <w:r>
              <w:rPr>
                <w:rFonts w:ascii="Times New Roman" w:hAnsi="Times New Roman"/>
                <w:b/>
                <w:noProof/>
                <w:sz w:val="24"/>
                <w:szCs w:val="24"/>
              </w:rPr>
              <w:t>New Zealand</w:t>
            </w:r>
            <w:r>
              <w:rPr>
                <w:rFonts w:ascii="Times New Roman" w:hAnsi="Times New Roman"/>
                <w:noProof/>
                <w:sz w:val="24"/>
                <w:szCs w:val="24"/>
              </w:rPr>
              <w:t xml:space="preserve"> dwar l-iskambju ta’ </w:t>
            </w:r>
            <w:r>
              <w:rPr>
                <w:rFonts w:ascii="Times New Roman" w:hAnsi="Times New Roman"/>
                <w:i/>
                <w:iCs/>
                <w:noProof/>
                <w:sz w:val="24"/>
                <w:szCs w:val="24"/>
              </w:rPr>
              <w:t>data</w:t>
            </w:r>
            <w:r>
              <w:rPr>
                <w:rFonts w:ascii="Times New Roman" w:hAnsi="Times New Roman"/>
                <w:noProof/>
                <w:sz w:val="24"/>
                <w:szCs w:val="24"/>
              </w:rPr>
              <w:t xml:space="preserve"> personali fil-ġlieda kontra l-kriminalità serja u t-terroriżmu.</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biex jadotta l-awtorizzazzjoni għat-tnedija ta’ negozjati għal ftehim bejn l-UE u l-</w:t>
            </w:r>
            <w:r>
              <w:rPr>
                <w:rFonts w:ascii="Times New Roman" w:hAnsi="Times New Roman"/>
                <w:b/>
                <w:noProof/>
                <w:sz w:val="24"/>
                <w:szCs w:val="24"/>
              </w:rPr>
              <w:t>Ġappun</w:t>
            </w:r>
            <w:r>
              <w:rPr>
                <w:rFonts w:ascii="Times New Roman" w:hAnsi="Times New Roman"/>
                <w:noProof/>
                <w:sz w:val="24"/>
                <w:szCs w:val="24"/>
              </w:rPr>
              <w:t xml:space="preserve"> dwar it-trasferiment ta’ </w:t>
            </w:r>
            <w:r>
              <w:rPr>
                <w:rFonts w:ascii="Times New Roman" w:hAnsi="Times New Roman"/>
                <w:i/>
                <w:iCs/>
                <w:noProof/>
                <w:sz w:val="24"/>
                <w:szCs w:val="24"/>
              </w:rPr>
              <w:t>data</w:t>
            </w:r>
            <w:r>
              <w:rPr>
                <w:rFonts w:ascii="Times New Roman" w:hAnsi="Times New Roman"/>
                <w:noProof/>
                <w:sz w:val="24"/>
                <w:szCs w:val="24"/>
              </w:rPr>
              <w:t xml:space="preserve"> tar-reġistru tal-ismijiet tal-passiġġieri;</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biex jadotta d-</w:t>
            </w:r>
            <w:r>
              <w:rPr>
                <w:rFonts w:ascii="Times New Roman" w:hAnsi="Times New Roman"/>
                <w:b/>
                <w:noProof/>
                <w:sz w:val="24"/>
                <w:szCs w:val="24"/>
              </w:rPr>
              <w:t>Deċiżjoni proposta tal-Kunsill dwar il-pożizzjoni li għandha tittieħed f’isem l-UE fl-Organizzazzjoni tal-Avjazzjoni Ċivili Internazzjonali</w:t>
            </w:r>
            <w:r>
              <w:rPr>
                <w:rFonts w:ascii="Times New Roman" w:hAnsi="Times New Roman"/>
                <w:noProof/>
                <w:sz w:val="24"/>
                <w:szCs w:val="24"/>
              </w:rPr>
              <w:t xml:space="preserve"> fir-rigward tal-istandards u l-prattiki rakkomandati dwar id-</w:t>
            </w:r>
            <w:r>
              <w:rPr>
                <w:rFonts w:ascii="Times New Roman" w:hAnsi="Times New Roman"/>
                <w:i/>
                <w:iCs/>
                <w:noProof/>
                <w:sz w:val="24"/>
                <w:szCs w:val="24"/>
              </w:rPr>
              <w:t>data</w:t>
            </w:r>
            <w:r>
              <w:rPr>
                <w:rFonts w:ascii="Times New Roman" w:hAnsi="Times New Roman"/>
                <w:noProof/>
                <w:sz w:val="24"/>
                <w:szCs w:val="24"/>
              </w:rPr>
              <w:t xml:space="preserve"> tar-reġistru tal-ismijiet tal-passiġġieri.</w:t>
            </w:r>
          </w:p>
        </w:tc>
      </w:tr>
    </w:tbl>
    <w:p>
      <w:pPr>
        <w:spacing w:before="240" w:after="240" w:line="240" w:lineRule="auto"/>
        <w:jc w:val="both"/>
        <w:rPr>
          <w:rFonts w:ascii="Times New Roman" w:eastAsia="Calibri" w:hAnsi="Times New Roman" w:cs="Times New Roman"/>
          <w:noProof/>
          <w:sz w:val="24"/>
          <w:szCs w:val="24"/>
        </w:rPr>
      </w:pPr>
      <w:r>
        <w:rPr>
          <w:rFonts w:ascii="Times New Roman" w:hAnsi="Times New Roman"/>
          <w:b/>
          <w:bCs/>
          <w:noProof/>
          <w:sz w:val="24"/>
          <w:szCs w:val="24"/>
        </w:rPr>
        <w:t>VI. KONKLUŻJONI</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Dan ir-rapport jistabbilixxi l-firxa wiesgħa ta’ miżuri li l-UE qed tieħu biex tindirizza t-theddid komuni fl-Ewropa u ssaħħaħ is-sigurtà kollettiva tagħna. Bis-saħħa ta’ fehim komuni li l-isfidi tas-sigurtà effettiva u ġenwina jiġu indirizzati l-aħjar billi naħdmu flimkien u ma’ pajjiżi terzi, il-progress li sar lejn Unjoni tas-Sigurtà effettiva u ġenwina huwa r-riżultat ta’ kooperazzjoni mill-qrib bejn firxa wiesgħa ta’ atturi, li bnew fiduċja, qasmu r-riżorsi u indirizzaw it-theddidiet flimkien: fil-livelli kollha tal-gvern, minn bliet u atturi lokali oħra, reġjuni u awtoritajiet nazzjonali sal-livell tal-UE bil-Parlament Ewropew u l-Kunsill; bl-involviment tal-awtoritajiet pubbliċi, l-aġenziji tal-UE, atturi privati u s-soċjetà ċivili; u bl-użu ta’ għarfien espert, għodod u riżorsi fl-oqsma kollha ta’ politika, bħall-politika tat-trasport, is-suq uniku diġitali jew il-politika ta’ koeżjoni. B’hekk, il-ħidma fl-Unjoni tas-Sigurtà hija integrata fil-protezzjoni tad-drittijiet fundamentali, is-salvagwardja u l-promozzjoni tal-valuri tagħna.</w:t>
      </w:r>
    </w:p>
    <w:p>
      <w:pPr>
        <w:widowControl w:val="0"/>
        <w:spacing w:after="240" w:line="240" w:lineRule="auto"/>
        <w:jc w:val="both"/>
        <w:rPr>
          <w:rFonts w:ascii="Times New Roman" w:eastAsia="Calibri" w:hAnsi="Times New Roman" w:cs="Times New Roman"/>
          <w:i/>
          <w:noProof/>
          <w:sz w:val="24"/>
          <w:szCs w:val="24"/>
        </w:rPr>
      </w:pPr>
      <w:r>
        <w:rPr>
          <w:rFonts w:ascii="Times New Roman" w:hAnsi="Times New Roman"/>
          <w:noProof/>
          <w:sz w:val="24"/>
          <w:szCs w:val="24"/>
        </w:rPr>
        <w:t>Il-ħidma lejn Unjoni tas-Sigurtà effettiva u ġenwina għandha tkompli. Hemm ħtieġa għal qbil rapidu dwar inizjattivi pendenti importanti, b’mod partikolari: (1) il-proposta leġislattiva dwar it-tneħħija ta’ kontenut terroristiku online, (2) il-proposta leġislattiva biex jitjieb l-aċċess tal-infurzar tal-liġi għal evidenza elettronika, (3) il-proposta leġislattiva li tistabbilixxi Ċentru Ewropew ta’ Kompetenza Industrijali, Teknoloġika u tar-Riċerka fil-qasam taċ-Ċibersigurtà, u (4) il-proposti leġislattivi pendenti dwar sistemi ta’ informazzjoni aktar b’saħħithom u aktar intelliġenti għall-ġestjoni tas-sigurtà, il-fruntieri u tal-migrazzjoni. Il-miżuri u l-istrumenti miftiehma jridu jinbidlu f’realtà operattiva fil-prattika, b’implimentazzjoni f’waqtha u sħiħa tal-leġislazzjoni tal-UE mill-Istati Membri kollha biex jinkisbu l-benefiċċji kollha tagħha għas-sigurtà. B’mod partikolari, huwa essenzjali li l-Istati Membri kollha jimplimentaw il-leġislazzjoni miftiehma reċentement dwar l-interoperabbiltà tas-sistemi ta’ informazzjoni tal-UE għall-ġestjoni tas-sigurtà, tal-fruntieri u tal-migrazzjoni sabiex jinkiseb l-objettiv ambizzjuż li tinkiseb interoperabbiltà sħiħa sal-2020. Fl-aħħar nett, jeħtieġ li l-Ewropa tibqa’ attenta fir-rigward tat-theddid emerġenti u li qed jinbidel, u tibqa’ taħdem biex ittejjeb is-sigurtà taċ-ċittadini kollha.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A8D5D" w16cid:durableId="20D594B8"/>
  <w16cid:commentId w16cid:paraId="70415691" w16cid:durableId="20D58E6A"/>
  <w16cid:commentId w16cid:paraId="40819A61" w16cid:durableId="20D58E6B"/>
  <w16cid:commentId w16cid:paraId="40B3D60E" w16cid:durableId="20D58E6C"/>
  <w16cid:commentId w16cid:paraId="4FE824E5" w16cid:durableId="20D58E6D"/>
  <w16cid:commentId w16cid:paraId="7BB9D4AF" w16cid:durableId="20D59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5949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COM(2015) 185 finali (28.4.2015).</w:t>
      </w:r>
    </w:p>
  </w:footnote>
  <w:footnote w:id="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COM(2016) 230 finali (20.4.2016).</w:t>
      </w:r>
    </w:p>
  </w:footnote>
  <w:footnote w:id="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Għal rapporti ta’ progress preċedenti lejn Unjoni tas-Sigurtà effettiva u ġenwina ara: </w:t>
      </w:r>
      <w:hyperlink r:id="rId1" w:history="1">
        <w:r>
          <w:rPr>
            <w:rStyle w:val="Hyperlink"/>
            <w:rFonts w:ascii="Times New Roman" w:hAnsi="Times New Roman"/>
          </w:rPr>
          <w:t>https://ec.europa.eu/home-affairs/what-we-do/policies/european-agenda-security/legislative-documents_en</w:t>
        </w:r>
      </w:hyperlink>
      <w:r>
        <w:rPr>
          <w:rFonts w:ascii="Times New Roman" w:hAnsi="Times New Roman"/>
        </w:rPr>
        <w:t>.</w:t>
      </w:r>
    </w:p>
  </w:footnote>
  <w:footnote w:id="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640 finali (12.9.2018).</w:t>
      </w:r>
    </w:p>
  </w:footnote>
  <w:footnote w:id="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Għodda stabbilita minn konsorzju ta’ kumpaniji biex tiġi ffaċilitata l-kooperazzjoni sabiex jiġi evitat it-tixrid ta’ kontenut terroristiku bejn il-pjattaformi.</w:t>
      </w:r>
    </w:p>
  </w:footnote>
  <w:footnote w:id="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F’risposta għall-attakki fi Christchurch, fi New Zealand fil-15 ta’ Marzu 2019, il-President Franċiż Emmanuel Macron u l-Prim Ministru tan-New Zealand Jacinda Ardern stiednu Mexxejja u pjattaformi online f’Pariġi fit-15 ta’ Mejju 2019 biex iniedu s-“Sejħa għal Azzjoni ta’ Christchurch”. Il-President Juncker appoġġa s-sejħa u ħabbar l-iżvilupp ta’ protokoll ta’ kriżi tal-UE.</w:t>
      </w:r>
    </w:p>
  </w:footnote>
  <w:footnote w:id="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Għall-kooperazzjoni mal-bliet dwar is-sigurtà, ara wkoll it-taqsima V.2 dwar it-tħejjija u l-protezzjoni u b’mod partikolari dwar il-protezzjoni ta’ spazji pubbliċi.</w:t>
      </w:r>
    </w:p>
  </w:footnote>
  <w:footnote w:id="9">
    <w:p>
      <w:pPr>
        <w:pStyle w:val="FootnoteText"/>
        <w:ind w:left="425" w:hanging="425"/>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https://ec.europa.eu/home-affairs/sites/homeaffairs/files/what-we-do/networks/radicalisation_awareness_network/ran-papers/docs/issue_paper_child_returnees_from_conflict_zones_112016_en.pdf</w:t>
        </w:r>
      </w:hyperlink>
      <w:r>
        <w:rPr>
          <w:rFonts w:ascii="Times New Roman" w:hAnsi="Times New Roman"/>
        </w:rPr>
        <w:t xml:space="preserve"> </w:t>
      </w:r>
    </w:p>
  </w:footnote>
  <w:footnote w:id="1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Il-kuntratt qafas jinqasam f’żewġ lottijiet: EUR 29,000,000 f’appoġġ għall-attivitajiet tan-Netwerk ta’ Sensibilizzazzjoni dwar ir-Radikalizzazzjoni għall-erba’ snin li ġejjin u EUR 32,000,000 biex jissaħħu l-kapaċitajiet tal-Istati Membri, l-awtoritajiet nazzjonali, reġjonali u lokali, u pajjiżi terzi ta’ prijorità biex b’mod effettiv jindirizzaw ir-radikalizzazzjoni b’mod partikolari billi jiġu offruti opportunitajiet ta’ netwerking, servizzi mmirati u mmexxija mill-ħtiġijiet, u riċerka u analiżi.</w:t>
      </w:r>
    </w:p>
  </w:footnote>
  <w:footnote w:id="1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Ir-Regolament (UE) 2019/1157 (20.6.2019) dwar it-tisħiħ tas-sigurtà tal-karti tal-identità taċ-ċittadini tal-Unjoni u tad-dokumenti ta' residenza maħruġa liċ-ċittadini tal-Unjoni u lill-membri tal-familja tagħhom li jeżerċitaw id-dritt tagħhom ta' moviment liberu.</w:t>
      </w:r>
    </w:p>
  </w:footnote>
  <w:footnote w:id="1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L-introduzzjoni ta’ kontrolli sistematiċi mwettqa fil-fruntieri esterni fuq iċ-ċittadini kollha li jużaw is-Sistema ta’ Informazzjoni ta’ Schengen. L-Istati kollha ta’ Schengen, kif ukoll ir-Rumanija, il-Bulgarija, il-Kroazja u Ċipru, japplikaw ir-regoli dwar kontrolli sistematiċi ma’ bażijiet ta’ </w:t>
      </w:r>
      <w:r>
        <w:rPr>
          <w:rFonts w:ascii="Times New Roman" w:hAnsi="Times New Roman"/>
          <w:i/>
          <w:iCs/>
        </w:rPr>
        <w:t>data</w:t>
      </w:r>
      <w:r>
        <w:rPr>
          <w:rFonts w:ascii="Times New Roman" w:hAnsi="Times New Roman"/>
        </w:rPr>
        <w:t xml:space="preserve"> rilevanti fil-fruntieri esterni, kif introdotti f’April 2017. F’konformità ma’ dawn ir-regoli, huma possibbli derogi temporanji fil-fruntieri tal-art jew tal-baħar iżda biss fir-rigward taċ-ċittadini tal-UE, fid-dawl tal-impatt sproporzjonat fuq il-fluss tat-traffiku. Bħalissa, derogi bħal dawn ġew innotifikati minn sitt Stati Membri/Pajjiżi Assoċjati ma’ Schengen (il-Kroazja, il-Finlandja, l-Ungerija, il-Latvja, in-Norveġja u s-Slovenja). Fir-rigward tal-fruntieri tal-ajru, il-possibbiltà ta’ deroga mir-regoli dwar kontrolli sistematiċi skadew f’April 2019.</w:t>
      </w:r>
    </w:p>
  </w:footnote>
  <w:footnote w:id="1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Is-Sistema Ewropea ta’ Informazzjoni Schengen imsaħħa (ir-Regolament (UE) 2018/1860 (28.11.2018), ir-Regolament (UE) 2018/1861 (28.11.2018), ir-Regolament (UE) 2018/1862 (28.11.2018)) u s-Sistema Ewropea ta’ Informazzjoni ta’ Rekords Kriminali estiża għal ċittadini ta’ pajjiżi terzi (ir-Regolament (UE) 2019/816 (17.4.2019)). It-tisħiħ tas-Sistema ta’ Informazzjoni ta’ Schengen jinkludi obbligu ġenerali li jiddaħħlu allerti relatati mat-terroriżmu fis-sistema.</w:t>
      </w:r>
    </w:p>
  </w:footnote>
  <w:footnote w:id="1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Is-Sistema ta’ Dħul/Ħruġ tal-UE (ir-Regolament (UE) 2017/2226 (30.11.2017)) u s-Sistema Ewropea ta’ Informazzjoni u ta’ Awtorizzazzjoni għall-Ivvjaġġar (ir-Regolament (UE) 2018/1240 (12.9.2018) u r-Regolament (UE) 2018/1241 (12.9.2018).</w:t>
      </w:r>
    </w:p>
  </w:footnote>
  <w:footnote w:id="1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F’dawn l-aħħar snin, ir-rwol tal-Europol ġie msaħħaħ b’mod konsiderevoli kemm fl-ambitu kif ukoll fil-profondità. L-Aġenzija ssaħħet bl-adozzjoni tar-Regolament Europol fl-2016 (ir-Regolament (UE) 2016/794 (11.5.2016). L-Istati Membri żiedu b’mod sinifikanti l-ammont ta’ informazzjoni kondiviża mal-Europol u permezz tagħha. L-istabbiliment taċ-Ċentru Kontra t-Terroriżmu tal-Europol (ECTC) saħħaħ il-kapaċitajiet analitiċi tal-Europol f’każijiet ta’ terroriżmu. Il-baġit tal-Europol żdied b’mod konsistenti matul dawn l-aħħar snin, minn EUR 82 miljun fl-2014 għal EUR 138 miljun fl-2019. In-negozjati dwar il-baġit għall-2020 għadhom għaddejjin.</w:t>
      </w:r>
    </w:p>
  </w:footnote>
  <w:footnote w:id="16">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Ir-Regolament (UE) 2019/817 (20.5.2019) u r-Regolament (UE) 2019/818 (20.5.2019).</w:t>
      </w:r>
    </w:p>
  </w:footnote>
  <w:footnote w:id="1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Ir-Regolament (UE) 2018/1240 (12.9.2018) u r-Regolament (UE) 2018/1241 (12.9.2018).</w:t>
      </w:r>
    </w:p>
  </w:footnote>
  <w:footnote w:id="1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 (2018) 302 finali (16.5.2018).</w:t>
      </w:r>
    </w:p>
  </w:footnote>
  <w:footnote w:id="1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 (2016) 272 finali (4.5.2016).</w:t>
      </w:r>
    </w:p>
  </w:footnote>
  <w:footnote w:id="2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Ir-Regolament (UE) 2019/1148 (20.6.2019) dwar it-tqegħid fis-suq u l-użu ta’ prekursuri tal-isplussivi. Ir-Regolament daħal fis-seħħ fl-31 ta’ Lulju 2019 u japplika sa 18-il xahar wara d-dħul fis-seħħ tiegħu.</w:t>
      </w:r>
    </w:p>
  </w:footnote>
  <w:footnote w:id="2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Id-Direttiva (UE) 2019/1153 (11.7.2019) li tistabbilixxi regoli li jiffaċilitaw l-użu ta’ informazzjoni finanzjarja u informazzjoni oħra għall-prevenzjoni, l-identifikazzjoni, l-investigazzjoni jew il-prosekuzzjoni ta’ ċerti reati kriminali.</w:t>
      </w:r>
    </w:p>
  </w:footnote>
  <w:footnote w:id="2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L-introduzzjoni ta’ kontrolli sistematiċi mwettqa fil-fruntieri esterni fuq iċ-ċittadini kollha li jużaw is-Sistema ta’ Informazzjoni ta’ Schengen.</w:t>
      </w:r>
    </w:p>
  </w:footnote>
  <w:footnote w:id="2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225 final (17.4.2018) u COM (2018) 226 final (17.4.2018).</w:t>
      </w:r>
    </w:p>
  </w:footnote>
  <w:footnote w:id="2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https://www.europarl.europa.eu/doceo/document/TA-9-2019-0022_MT.html</w:t>
        </w:r>
      </w:hyperlink>
      <w:r>
        <w:rPr>
          <w:rFonts w:ascii="Times New Roman" w:hAnsi="Times New Roman"/>
        </w:rPr>
        <w:tab/>
      </w:r>
    </w:p>
  </w:footnote>
  <w:footnote w:id="2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Ir-rapport dwar il-valutazzjoni tar-riskju tal-ħasil tal-flus u l-finanzjament tat-terroriżmu li jaffettwaw is-suq intern u li huma relatati mal-attivitajiet transfruntiera (COM (2019) 370 final ta’ 24.7.2019), Ir-rapport dwar l-interkonnessjoni ta' mekkaniżmi awtomatizzati ċentralizzati nazzjonali (reġistri ċentrali jew sistemi ċentrali għall-irkupru ta' </w:t>
      </w:r>
      <w:r>
        <w:rPr>
          <w:rFonts w:ascii="Times New Roman" w:hAnsi="Times New Roman"/>
          <w:i/>
          <w:iCs/>
        </w:rPr>
        <w:t>data</w:t>
      </w:r>
      <w:r>
        <w:rPr>
          <w:rFonts w:ascii="Times New Roman" w:hAnsi="Times New Roman"/>
        </w:rPr>
        <w:t xml:space="preserve"> elettronika) tal-Istati Membri dwar kontijiet bankarji (COM(2019) 372 final ta’ 24.7.2019), Ir-rapport dwar il-valutazzjoni tal-allegati każijiet reċenti ta’ ħasil il-flus li jinvolvu istituzzjonijiet ta’ kreditu tal-UE (COM(2019) 373 final ta’ 24.7.2019), Ir-rapport li jivvaluta l-qafas għall-kooperazzjoni bejn l-Unitajiet tal-Intelligence Finanzjarja (COM(2019) 371 final ta’ 24.7.2019). </w:t>
      </w:r>
      <w:r>
        <w:rPr>
          <w:rFonts w:ascii="Times New Roman" w:hAnsi="Times New Roman"/>
        </w:rPr>
        <w:tab/>
      </w:r>
    </w:p>
  </w:footnote>
  <w:footnote w:id="2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JOIN(2017) 450 finali (13.9.2017).</w:t>
      </w:r>
    </w:p>
  </w:footnote>
  <w:footnote w:id="2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Il-Qafas ta’ Politika għaċ-Ċiberdifiża tal-UE (aġġornament tal-2018) kif adottat mill-Kunsill fid-19 ta’ Novembru 2018 (14413/18).</w:t>
      </w:r>
    </w:p>
  </w:footnote>
  <w:footnote w:id="2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Ir-Regolament (UE) 2019/881 (17.4.2019).</w:t>
      </w:r>
    </w:p>
  </w:footnote>
  <w:footnote w:id="29">
    <w:p>
      <w:pPr>
        <w:pStyle w:val="FootnoteText"/>
        <w:widowControl w:val="0"/>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630 finali (12.9.2018).</w:t>
      </w:r>
    </w:p>
  </w:footnote>
  <w:footnote w:id="3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Pereżempju, il-Kummissjoni tappoġġa sħubija ta’ innovazzjoni interreġjonali dwar iċ-ċibersigurtà li tinvolvi l-Bretanja, Kastilja u León, Nordrhein-Westfalen, il-Finlandja Ċentrali u l-Estonja biex tiġi żviluppata katina Ewropea tal-valur taċ-ċibersigurtà b’enfasi fuq il-kummerċjalizzazzjoni u l-iskalar.</w:t>
      </w:r>
    </w:p>
  </w:footnote>
  <w:footnote w:id="3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JOIN(2016) 18 finali (6.4.2016).</w:t>
      </w:r>
    </w:p>
  </w:footnote>
  <w:footnote w:id="3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JOIN(2018) 16 finali (13.6.2018).</w:t>
      </w:r>
    </w:p>
  </w:footnote>
  <w:footnote w:id="3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Il-valutazzjoni tar-riskju kkoordinata tal-UE dwar iċ-ċibersigurtà f’netwerks 5G tlestiet mill-Grupp ta’ Kooperazzjoni tal-awtoritajiet kompetenti kif stabbilit skont id-Direttiva dwar is-Sigurtà tan-Netwerks u tas-Sistemi tal-Informazzjoni (id-Direttiva (UE) 2016/1148 (6.7.2016), bil-għajnuna tal-Kummissjoni u l-Aġenzija Ewropea għaċ-Ċibersigurtà: </w:t>
      </w:r>
      <w:hyperlink r:id="rId4" w:history="1">
        <w:r>
          <w:rPr>
            <w:rStyle w:val="Hyperlink"/>
            <w:rFonts w:ascii="Times New Roman" w:hAnsi="Times New Roman"/>
          </w:rPr>
          <w:t>https://ec.europa.eu/digital-single-market/en/news/eu-wide-coordinated-risk-assessment-5g-networks-security</w:t>
        </w:r>
      </w:hyperlink>
      <w:r>
        <w:rPr>
          <w:rFonts w:ascii="Times New Roman" w:hAnsi="Times New Roman"/>
        </w:rPr>
        <w:t>.</w:t>
      </w:r>
    </w:p>
  </w:footnote>
  <w:footnote w:id="34">
    <w:p>
      <w:pPr>
        <w:pStyle w:val="FootnoteText"/>
        <w:ind w:left="425" w:hanging="425"/>
        <w:rPr>
          <w:rFonts w:ascii="Times New Roman" w:hAnsi="Times New Roman" w:cs="Times New Roman"/>
        </w:rPr>
      </w:pPr>
      <w:r>
        <w:rPr>
          <w:rStyle w:val="FootnoteReference"/>
        </w:rPr>
        <w:footnoteRef/>
      </w:r>
      <w:r>
        <w:rPr>
          <w:rFonts w:ascii="Times New Roman" w:hAnsi="Times New Roman"/>
        </w:rPr>
        <w:tab/>
        <w:t>C(2019)2355 finali (26.3.2019).</w:t>
      </w:r>
    </w:p>
  </w:footnote>
  <w:footnote w:id="3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Ara l-Pjan ta’ Azzjoni kontra d-Diżinformazzjoni (JOIN (2018) 36 final (5.12.2018)).</w:t>
      </w:r>
    </w:p>
  </w:footnote>
  <w:footnote w:id="3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 (2019) 12 final (14.6.2019).</w:t>
      </w:r>
    </w:p>
  </w:footnote>
  <w:footnote w:id="3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Skont il-Kodiċi, il-pjattaformi online Google, Facebook, Twitter, u Microsoft impenjaw ruħhom li jipprevjenu l-użu manipulattiv tas-servizzi tagħhom minn atturi, jipprovdu għat-trasparenza u l-iżvelar pubbliku tar-reklamar politiku, u jieħdu azzjonijiet oħra biex itejbu t-trasparenza, ir-responsabbiltà u l-affidabbiltà tal-ekosistema online. L-assoċjazzjonijiet kummerċjali mis-settur tar-reklamar impenjaw ruħhom ukoll li jikkooperaw mal-pjattaformi biex itejbu l-iskrutinju tal-kollokamenti tar-reklami u jiżviluppaw għodod għas-sikurezza tal-marka kummerċjali li għandhom l-għan li jillimitaw it-tqegħid tar-reklamar fuq siti web li jirrappurtaw id-diżinformazzjoni.</w:t>
      </w:r>
    </w:p>
  </w:footnote>
  <w:footnote w:id="38">
    <w:p>
      <w:pPr>
        <w:pStyle w:val="FootnoteText"/>
        <w:ind w:left="425" w:hanging="425"/>
        <w:jc w:val="both"/>
      </w:pPr>
      <w:r>
        <w:rPr>
          <w:rStyle w:val="FootnoteReference"/>
        </w:rPr>
        <w:footnoteRef/>
      </w:r>
      <w:r>
        <w:t xml:space="preserve"> </w:t>
      </w:r>
      <w:r>
        <w:tab/>
      </w:r>
      <w:hyperlink r:id="rId5" w:history="1">
        <w:r>
          <w:rPr>
            <w:rStyle w:val="Hyperlink"/>
            <w:rFonts w:ascii="Times New Roman" w:hAnsi="Times New Roman"/>
          </w:rPr>
          <w:t>https://ec.europa.eu/commission/presscorner/detail/mt/statement_19_6166</w:t>
        </w:r>
      </w:hyperlink>
      <w:r>
        <w:rPr>
          <w:rFonts w:ascii="Times New Roman" w:hAnsi="Times New Roman"/>
        </w:rPr>
        <w:t>. Apparti minn Google, Facebook, Twitter u Microsoft, il-firmatarji l-oħra tal-Kodiċi jinkludu lil Mozilla, seba’ assoċjazzjonijiet fil-livell Ewropew jew fil-livell nazzjonali li jirrappreżentaw is-settur tar-reklamar, u EDiMA, assoċjazzjoni Ewropea li tirrappreżenta l-pjattaformi u kumpaniji teknoloġiċi oħra attivi fis-settur online.</w:t>
      </w:r>
    </w:p>
  </w:footnote>
  <w:footnote w:id="39">
    <w:p>
      <w:pPr>
        <w:pStyle w:val="FootnoteText"/>
        <w:ind w:left="425" w:hanging="425"/>
      </w:pPr>
      <w:r>
        <w:rPr>
          <w:rStyle w:val="FootnoteReference"/>
        </w:rPr>
        <w:footnoteRef/>
      </w:r>
      <w:r>
        <w:tab/>
      </w:r>
      <w:hyperlink r:id="rId6" w:history="1">
        <w:r>
          <w:rPr>
            <w:rStyle w:val="Hyperlink"/>
            <w:rFonts w:ascii="Times New Roman" w:hAnsi="Times New Roman"/>
          </w:rPr>
          <w:t>www.euvsdisinfo.eu</w:t>
        </w:r>
      </w:hyperlink>
      <w:r>
        <w:rPr>
          <w:rFonts w:ascii="Times New Roman" w:hAnsi="Times New Roman"/>
        </w:rPr>
        <w:t xml:space="preserve"> </w:t>
      </w:r>
    </w:p>
  </w:footnote>
  <w:footnote w:id="4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7" w:history="1">
        <w:r>
          <w:rPr>
            <w:rStyle w:val="Hyperlink"/>
            <w:rFonts w:ascii="Times New Roman" w:hAnsi="Times New Roman"/>
          </w:rPr>
          <w:t>https://europa.eu/euprotects/</w:t>
        </w:r>
      </w:hyperlink>
      <w:r>
        <w:rPr>
          <w:rFonts w:ascii="Times New Roman" w:hAnsi="Times New Roman"/>
        </w:rPr>
        <w:t xml:space="preserve"> </w:t>
      </w:r>
    </w:p>
  </w:footnote>
  <w:footnote w:id="4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Id-Direttiva (UE) 2016/681 (27.4.2016). Id-Danimarka ma ħaditx sehem fl-adozzjoni ta’ din id-Direttiva u mhix marbuta biha jew soġġetta għall-applikazzjoni tagħha.</w:t>
      </w:r>
    </w:p>
  </w:footnote>
  <w:footnote w:id="4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Ir-referenzi għat-tlestija tan-notifika tat-traspożizzjoni sħiħa jqisu d-dikjarazzjonijiet tal-Istati Membri u huma mingħajr preġudizzju għall-kontroll tat-traspożizzjoni mis-servizzi tal-Kummissjoni (is-sitwazzjoni attwali fis-17.10.2019). </w:t>
      </w:r>
    </w:p>
  </w:footnote>
  <w:footnote w:id="43">
    <w:p>
      <w:pPr>
        <w:pStyle w:val="FootnoteText"/>
        <w:ind w:left="425" w:hanging="425"/>
        <w:jc w:val="both"/>
      </w:pPr>
      <w:r>
        <w:rPr>
          <w:rStyle w:val="FootnoteReference"/>
        </w:rPr>
        <w:footnoteRef/>
      </w:r>
      <w:r>
        <w:t xml:space="preserve"> </w:t>
      </w:r>
      <w:r>
        <w:tab/>
      </w:r>
      <w:r>
        <w:rPr>
          <w:rFonts w:ascii="Times New Roman" w:hAnsi="Times New Roman"/>
        </w:rPr>
        <w:t>Ara s-Sittax-il Rapport ta’ Progress għal Unjoni tas-Sigurtà effettiva u ġenwina (COM(2018) 690 finali, (10.10.2018)).</w:t>
      </w:r>
    </w:p>
  </w:footnote>
  <w:footnote w:id="4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Is-Slovenja nnotifikat traspożizzjoni parzjali. Spanja ma nnotifikatx it-traspożizzjoni (is-sitwazzjoni fis-17.10.2019).</w:t>
      </w:r>
    </w:p>
  </w:footnote>
  <w:footnote w:id="45">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Id-Direttiva (UE) 2017/541 (15.3.2017). Id-Direttiva mhijiex applikabbli fir-Renju Unit, l-Irlanda u d-Danimarka</w:t>
      </w:r>
      <w:r>
        <w:t>.</w:t>
      </w:r>
    </w:p>
  </w:footnote>
  <w:footnote w:id="46">
    <w:p>
      <w:pPr>
        <w:pStyle w:val="FootnoteText"/>
        <w:ind w:left="425" w:hanging="425"/>
        <w:jc w:val="both"/>
      </w:pPr>
      <w:r>
        <w:rPr>
          <w:rStyle w:val="FootnoteReference"/>
        </w:rPr>
        <w:footnoteRef/>
      </w:r>
      <w:r>
        <w:t xml:space="preserve"> </w:t>
      </w:r>
      <w:r>
        <w:tab/>
      </w:r>
      <w:r>
        <w:rPr>
          <w:rFonts w:ascii="Times New Roman" w:hAnsi="Times New Roman"/>
        </w:rPr>
        <w:t>Ara s-Sbatax-il Rapport ta’ Progress għal Unjoni tas-Sigurtà effettiva u ġenwina (COM(2018) 845 finali, (11.12.2018)).</w:t>
      </w:r>
    </w:p>
  </w:footnote>
  <w:footnote w:id="4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Il-Greċja u l-Lussemburgu ma nnotifikawx il-miżuri ta’ implimentazzjoni nazzjonali. Il-Polonja nnotifikat miżuri nazzjonali li jammontaw għal traspożizzjoni parzjali (is-sitwazzjoni attwali fis-17.10.2019).</w:t>
      </w:r>
    </w:p>
  </w:footnote>
  <w:footnote w:id="48">
    <w:p>
      <w:pPr>
        <w:pStyle w:val="FootnoteText"/>
        <w:ind w:left="425" w:hanging="425"/>
        <w:jc w:val="both"/>
      </w:pPr>
      <w:r>
        <w:rPr>
          <w:rStyle w:val="FootnoteReference"/>
        </w:rPr>
        <w:footnoteRef/>
      </w:r>
      <w:r>
        <w:t xml:space="preserve"> </w:t>
      </w:r>
      <w:r>
        <w:tab/>
      </w:r>
      <w:r>
        <w:rPr>
          <w:rFonts w:ascii="Times New Roman" w:hAnsi="Times New Roman"/>
        </w:rPr>
        <w:t>Il-Greċja u l-Lussemburgu.</w:t>
      </w:r>
    </w:p>
  </w:footnote>
  <w:footnote w:id="49">
    <w:p>
      <w:pPr>
        <w:pStyle w:val="FootnoteText"/>
        <w:ind w:left="425" w:hanging="425"/>
        <w:jc w:val="both"/>
      </w:pPr>
      <w:r>
        <w:rPr>
          <w:rStyle w:val="FootnoteReference"/>
        </w:rPr>
        <w:footnoteRef/>
      </w:r>
      <w:r>
        <w:t xml:space="preserve"> </w:t>
      </w:r>
      <w:r>
        <w:tab/>
      </w:r>
      <w:r>
        <w:rPr>
          <w:rFonts w:ascii="Times New Roman" w:hAnsi="Times New Roman"/>
        </w:rPr>
        <w:t>Id-Direttiva (UE) 2017/853 (17.10.2019).</w:t>
      </w:r>
    </w:p>
  </w:footnote>
  <w:footnote w:id="5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Il-Belġju, iċ-Ċekja, l-Estonja, il-Polonja, l-Iżvezja, is-Slovakkja, ir-Renju Unit innotifikaw miżuri ta’ traspożizzjoni għal parti mid-dispożizzjonijiet il-ġodda. Ċipru, il-Ġermanja, il-Greċja, Spanja, il-Lussemburgu, l-Ungerija, ir-Rumanija, is-Slovenja ma nnotifikaw l-ebda miżura ta’ traspożizzjoni (is-sitwazzjoni attwali fis-17.10.2019).</w:t>
      </w:r>
    </w:p>
  </w:footnote>
  <w:footnote w:id="5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Il-Finlandja, l-Irlanda, il-Litwanja, in-Netherlands, il-Portugall (is-sitwazzjoni attwali fis-17.10.2019).</w:t>
      </w:r>
    </w:p>
  </w:footnote>
  <w:footnote w:id="5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Id-Direttiva (UE) 2016/680 (27.4.2016).</w:t>
      </w:r>
    </w:p>
  </w:footnote>
  <w:footnote w:id="53">
    <w:p>
      <w:pPr>
        <w:pStyle w:val="FootnoteText"/>
        <w:ind w:left="425" w:hanging="425"/>
        <w:jc w:val="both"/>
      </w:pPr>
      <w:r>
        <w:rPr>
          <w:rStyle w:val="FootnoteReference"/>
        </w:rPr>
        <w:footnoteRef/>
      </w:r>
      <w:r>
        <w:t xml:space="preserve"> </w:t>
      </w:r>
      <w:r>
        <w:tab/>
      </w:r>
      <w:r>
        <w:rPr>
          <w:rFonts w:ascii="Times New Roman" w:hAnsi="Times New Roman"/>
        </w:rPr>
        <w:t>Ara s-Sittax-il Rapport ta’ Progress għal Unjoni tas-Sigurtà effettiva u ġenwina (COM(2018) 690 finali, (10.10.2018)).</w:t>
      </w:r>
    </w:p>
  </w:footnote>
  <w:footnote w:id="5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Is-Slovenja nnotifikat traspożizzjoni parzjali. Spanja ma nnotifikatx it-traspożizzjoni. Għalkemm il-Ġermanja nnotifikat traspożizzjoni sħiħa, il-Kummissjoni tqis li din it-traspożizzjoni mhijiex kompluta (is-sitwazzjoni fis-17.10.2019). </w:t>
      </w:r>
    </w:p>
  </w:footnote>
  <w:footnote w:id="5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Il-Greċja u Spanja.</w:t>
      </w:r>
    </w:p>
  </w:footnote>
  <w:footnote w:id="5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Il-Ġermanja.</w:t>
      </w:r>
    </w:p>
  </w:footnote>
  <w:footnote w:id="5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Il-Greċja nnotifikat traspożizzjoni sħiħa li l-Kummissjoni qed tevalwa.</w:t>
      </w:r>
    </w:p>
  </w:footnote>
  <w:footnote w:id="58">
    <w:p>
      <w:pPr>
        <w:pStyle w:val="FootnoteText"/>
        <w:ind w:left="425" w:hanging="425"/>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Id-Direttiva (UE) 2015/849 (20.5.2015).</w:t>
      </w:r>
    </w:p>
  </w:footnote>
  <w:footnote w:id="5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Il-Belġju, il-Bulgarija, iċ-Ċekja, id-Danimarka, il-Ġermanja, l-Estonja, l-Irlanda, Franza, l-Italja, Ċipru, il-Latvja, il-Litwanja, l-Ungerija, in-Netherlands, l-Awstrija, il-Polonja, ir-Rumanija, is-Slovakkja, il-Finlandja, l-Iżvezja u r-Renju Unit (is-sitwazzjoni fis-17.10.2019.). Qabel, kienu ingħalqu 7 proċeduri ta’ ksur relatati mad-Direttiva.</w:t>
      </w:r>
    </w:p>
  </w:footnote>
  <w:footnote w:id="60">
    <w:p>
      <w:pPr>
        <w:pStyle w:val="FootnoteText"/>
        <w:ind w:left="425" w:hanging="425"/>
        <w:jc w:val="both"/>
      </w:pPr>
      <w:r>
        <w:rPr>
          <w:rStyle w:val="FootnoteReference"/>
        </w:rPr>
        <w:footnoteRef/>
      </w:r>
      <w:r>
        <w:t xml:space="preserve"> </w:t>
      </w:r>
      <w:r>
        <w:tab/>
      </w:r>
      <w:r>
        <w:rPr>
          <w:rFonts w:ascii="Times New Roman" w:hAnsi="Times New Roman"/>
        </w:rPr>
        <w:t>il-Belġju, il-Bulgarija, iċ-Ċekja, il-Ġermanja, l-Estonja, il-Ġreċja, Spanja, Franza, il-Kroazja, l-Italja, il-Latvja, il-Litwanja, il-Lussemburgu, l-Ungerija, Malta, l-Awstrija, il-Polonja, il-Portugall, ir-Rumanija, is-Slovenja, is-Slovakkja, il-Finlandja u l-Isvezja</w:t>
      </w:r>
    </w:p>
  </w:footnote>
  <w:footnote w:id="61">
    <w:p>
      <w:pPr>
        <w:pStyle w:val="FootnoteText"/>
        <w:ind w:left="425" w:hanging="425"/>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Id-Direttiva 2011/93 (13.12.2011).</w:t>
      </w:r>
    </w:p>
  </w:footnote>
  <w:footnote w:id="62">
    <w:p>
      <w:pPr>
        <w:pStyle w:val="FootnoteText"/>
        <w:ind w:left="425" w:hanging="425"/>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Il-Bulgarija, l-Italja, il-Portugall u s-Slovenja.</w:t>
      </w:r>
    </w:p>
  </w:footnote>
  <w:footnote w:id="63">
    <w:p>
      <w:pPr>
        <w:pStyle w:val="FootnoteText"/>
        <w:ind w:left="425" w:hanging="425"/>
      </w:pPr>
      <w:r>
        <w:rPr>
          <w:rStyle w:val="FootnoteReference"/>
        </w:rPr>
        <w:footnoteRef/>
      </w:r>
      <w:r>
        <w:t xml:space="preserve"> </w:t>
      </w:r>
      <w:r>
        <w:tab/>
      </w:r>
      <w:r>
        <w:rPr>
          <w:rFonts w:ascii="Times New Roman" w:hAnsi="Times New Roman"/>
        </w:rPr>
        <w:t>Id-Direttiva 2013/40 (12.08.2013).</w:t>
      </w:r>
    </w:p>
  </w:footnote>
  <w:footnote w:id="64">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Is-Slovenja nnotifikat traspożizzjoni parzjali. Spanja ma nnotifikatx it-traspożizzjoni (is-sitwazzjoni fis-17.10.2019).</w:t>
      </w:r>
    </w:p>
  </w:footnote>
  <w:footnote w:id="65">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Il-Greċja u l-Lussemburgu ma nnotifikawx it-traspożizzjoni. Il-Polonja nnotifikat traspożizzjoni parzjali (is-sitwazzjoni attwali fis-17.10.2019).</w:t>
      </w:r>
    </w:p>
  </w:footnote>
  <w:footnote w:id="66">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Il-Belġju, iċ-Ċekja, l-Estonja, il-Polonja, l-Iżvezja, is-Slovakkja, ir-Renju Unit innotifikaw miżuri ta’ traspożizzjoni għal parti mid-dispożizzjonijiet il-ġodda. Ċipru, il-Ġermanja, il-Greċja, Spanja, il-Lussemburgu, l-Ungerija, ir-Rumanija, is-Slovenja ma nnotifikaw l-ebda miżura ta’ traspożizzjoni (is-sitwazzjoni attwali fis-17.10.2019).</w:t>
      </w:r>
    </w:p>
  </w:footnote>
  <w:footnote w:id="6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Is-Slovenja nnotifikat traspożizzjoni parzjali. Spanja ma nnotifikatx it-traspożizzjoni. Għalkemm il-Ġermanja nnotifikat traspożizzjoni sħiħa, il-Kummissjoni tqis li din it-traspożizzjoni mhijiex kompluta (is-sitwazzjoni fis-17.10.2019).</w:t>
      </w:r>
    </w:p>
  </w:footnote>
  <w:footnote w:id="6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Il-Belġju, il-Bulgarija, iċ-Ċekja, id-Danimarka, il-Ġermanja, l-Estonja, l-Irlanda, Spanja, Franza, l-Italja, Ċipru, il-Latvja, il-Litwanja, l-Ungerija, in-Netherlands, l-Awstrija, il-Polonja, il-Portugall, ir-Rumanija, is-Slovenja, is-Slovakkja, il-Finlandja, l-Iżvezja u r-Renju Unit (is-sitwazzjoni attwali fis-17.10.2019).</w:t>
      </w:r>
    </w:p>
  </w:footnote>
  <w:footnote w:id="6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il-Belġju, il-Bulgarija, iċ-Ċekja, il-Ġermanja, l-Estonja, il-Greċja, Spanja, Franza, il-Kroazja, l-Italja, il-Latvja, il-Litwanja, il-Lussemburgu, l-Ungerija, Malta, l-Awstrija, il-Polonja, il-Portugall, ir-Rumanija, is-Slovenja, is-Slovakkja, il-Finlandja u l-Iżvezja</w:t>
      </w:r>
    </w:p>
  </w:footnote>
  <w:footnote w:id="70">
    <w:p>
      <w:pPr>
        <w:pStyle w:val="FootnoteText"/>
        <w:ind w:left="425" w:hanging="425"/>
        <w:jc w:val="both"/>
      </w:pPr>
      <w:r>
        <w:rPr>
          <w:rStyle w:val="FootnoteReference"/>
        </w:rPr>
        <w:footnoteRef/>
      </w:r>
      <w:r>
        <w:t xml:space="preserve"> </w:t>
      </w:r>
      <w:r>
        <w:tab/>
      </w:r>
      <w:r>
        <w:rPr>
          <w:rFonts w:ascii="Times New Roman" w:hAnsi="Times New Roman"/>
        </w:rPr>
        <w:t>Il-Bulgarija, l-Italja, il-Portugall u s-Slovenja.</w:t>
      </w:r>
    </w:p>
  </w:footnote>
  <w:footnote w:id="7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L-Azzjonijiet Innovattivi Urbani huma strument ikkofinanzjat mill-Iżvilupp Reġjonali Ewropew. Għal aktar tagħrif ara: </w:t>
      </w:r>
      <w:hyperlink r:id="rId8" w:history="1">
        <w:r>
          <w:rPr>
            <w:rStyle w:val="Hyperlink"/>
          </w:rPr>
          <w:t>https://www.uia-initiative.eu/en/call-proposals/4th-call-proposals</w:t>
        </w:r>
      </w:hyperlink>
      <w:r>
        <w:rPr>
          <w:rFonts w:ascii="Times New Roman" w:hAnsi="Times New Roman"/>
        </w:rPr>
        <w:t>.</w:t>
      </w:r>
    </w:p>
  </w:footnote>
  <w:footnote w:id="7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Ir-Regolament ta’ Implimentazzjoni tal-Kummissjoni (UE) 2019/947 tal-24 ta’ Mejju 2019 dwar ir-regoli u l-proċeduri għall-operazzjoni ta’ inġenji tal-ajru mingħajr bdot abbord.</w:t>
      </w:r>
    </w:p>
  </w:footnote>
  <w:footnote w:id="7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Ara l-Ħdax-il Rapport ta’ Progress għal Unjoni tas-Sigurtà effettiva u ġenwina (COM(2017) 608 finali, (18.10.2017)). Il-pajjiżi ta’ prijorità huma l-Alġerija, l-Eġittu, l-Iżrael, il-Ġordan, il-Lebanon, il-Marokk, it-Tuneżija u t-Turkija.</w:t>
      </w:r>
    </w:p>
  </w:footnote>
  <w:footnote w:id="7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420 finali (27.9.2019).</w:t>
      </w:r>
    </w:p>
  </w:footnote>
  <w:footnote w:id="7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416 finali (13.9.2019).</w:t>
      </w:r>
    </w:p>
  </w:footnote>
  <w:footnote w:id="7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9" w:history="1">
        <w:r>
          <w:rPr>
            <w:rStyle w:val="Hyperlink"/>
            <w:rFonts w:ascii="Times New Roman" w:hAnsi="Times New Roman"/>
          </w:rPr>
          <w:t>https://ec.europa.eu/home-affairs/news/news/20191009_security-union-implementing-counter-terrorism-arrangements-albania-north-macedonia_en</w:t>
        </w:r>
      </w:hyperlink>
    </w:p>
  </w:footnote>
  <w:footnote w:id="7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Il-Pjan ta’ Azzjoni Konġunt jipprevedi azzjonijiet madwar il-ħames objettivi li ġejjin: qafas b’saħħtu għall-ġlieda kontra t-terroriżmu; il-prevenzjoni effettiva u l-ġlieda kontra l-estremiżmu vjolenti; l-iskambju ta’ informazzjoni effettiv u kooperazzjoni operattiva; il-bini ta’ kapaċità għall-ġlieda kontra l-ħasil tal-flus u l-ġlieda kontra l-finanzjament tat-terroriżmu; it-tisħiħ tal-protezzjoni taċ-ċittadini u l-infrastruttura.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51D0E"/>
    <w:multiLevelType w:val="hybridMultilevel"/>
    <w:tmpl w:val="D6AC1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A760BC"/>
    <w:multiLevelType w:val="hybridMultilevel"/>
    <w:tmpl w:val="23E2F2E8"/>
    <w:lvl w:ilvl="0" w:tplc="6AE2FC26">
      <w:start w:val="1"/>
      <w:numFmt w:val="bullet"/>
      <w:lvlText w:val=""/>
      <w:lvlJc w:val="left"/>
      <w:pPr>
        <w:ind w:left="363" w:hanging="360"/>
      </w:pPr>
      <w:rPr>
        <w:rFonts w:ascii="Symbol" w:hAnsi="Symbol" w:hint="default"/>
        <w:color w:val="auto"/>
      </w:rPr>
    </w:lvl>
    <w:lvl w:ilvl="1" w:tplc="080C0003" w:tentative="1">
      <w:start w:val="1"/>
      <w:numFmt w:val="bullet"/>
      <w:lvlText w:val="o"/>
      <w:lvlJc w:val="left"/>
      <w:pPr>
        <w:ind w:left="1083" w:hanging="360"/>
      </w:pPr>
      <w:rPr>
        <w:rFonts w:ascii="Courier New" w:hAnsi="Courier New" w:cs="Courier New" w:hint="default"/>
      </w:rPr>
    </w:lvl>
    <w:lvl w:ilvl="2" w:tplc="080C0005" w:tentative="1">
      <w:start w:val="1"/>
      <w:numFmt w:val="bullet"/>
      <w:lvlText w:val=""/>
      <w:lvlJc w:val="left"/>
      <w:pPr>
        <w:ind w:left="1803" w:hanging="360"/>
      </w:pPr>
      <w:rPr>
        <w:rFonts w:ascii="Wingdings" w:hAnsi="Wingdings" w:hint="default"/>
      </w:rPr>
    </w:lvl>
    <w:lvl w:ilvl="3" w:tplc="080C0001" w:tentative="1">
      <w:start w:val="1"/>
      <w:numFmt w:val="bullet"/>
      <w:lvlText w:val=""/>
      <w:lvlJc w:val="left"/>
      <w:pPr>
        <w:ind w:left="2523" w:hanging="360"/>
      </w:pPr>
      <w:rPr>
        <w:rFonts w:ascii="Symbol" w:hAnsi="Symbol" w:hint="default"/>
      </w:rPr>
    </w:lvl>
    <w:lvl w:ilvl="4" w:tplc="080C0003" w:tentative="1">
      <w:start w:val="1"/>
      <w:numFmt w:val="bullet"/>
      <w:lvlText w:val="o"/>
      <w:lvlJc w:val="left"/>
      <w:pPr>
        <w:ind w:left="3243" w:hanging="360"/>
      </w:pPr>
      <w:rPr>
        <w:rFonts w:ascii="Courier New" w:hAnsi="Courier New" w:cs="Courier New" w:hint="default"/>
      </w:rPr>
    </w:lvl>
    <w:lvl w:ilvl="5" w:tplc="080C0005" w:tentative="1">
      <w:start w:val="1"/>
      <w:numFmt w:val="bullet"/>
      <w:lvlText w:val=""/>
      <w:lvlJc w:val="left"/>
      <w:pPr>
        <w:ind w:left="3963" w:hanging="360"/>
      </w:pPr>
      <w:rPr>
        <w:rFonts w:ascii="Wingdings" w:hAnsi="Wingdings" w:hint="default"/>
      </w:rPr>
    </w:lvl>
    <w:lvl w:ilvl="6" w:tplc="080C0001" w:tentative="1">
      <w:start w:val="1"/>
      <w:numFmt w:val="bullet"/>
      <w:lvlText w:val=""/>
      <w:lvlJc w:val="left"/>
      <w:pPr>
        <w:ind w:left="4683" w:hanging="360"/>
      </w:pPr>
      <w:rPr>
        <w:rFonts w:ascii="Symbol" w:hAnsi="Symbol" w:hint="default"/>
      </w:rPr>
    </w:lvl>
    <w:lvl w:ilvl="7" w:tplc="080C0003" w:tentative="1">
      <w:start w:val="1"/>
      <w:numFmt w:val="bullet"/>
      <w:lvlText w:val="o"/>
      <w:lvlJc w:val="left"/>
      <w:pPr>
        <w:ind w:left="5403" w:hanging="360"/>
      </w:pPr>
      <w:rPr>
        <w:rFonts w:ascii="Courier New" w:hAnsi="Courier New" w:cs="Courier New" w:hint="default"/>
      </w:rPr>
    </w:lvl>
    <w:lvl w:ilvl="8" w:tplc="080C0005" w:tentative="1">
      <w:start w:val="1"/>
      <w:numFmt w:val="bullet"/>
      <w:lvlText w:val=""/>
      <w:lvlJc w:val="left"/>
      <w:pPr>
        <w:ind w:left="6123" w:hanging="360"/>
      </w:pPr>
      <w:rPr>
        <w:rFonts w:ascii="Wingdings" w:hAnsi="Wingdings" w:hint="default"/>
      </w:rPr>
    </w:lvl>
  </w:abstractNum>
  <w:abstractNum w:abstractNumId="3">
    <w:nsid w:val="05D44CF1"/>
    <w:multiLevelType w:val="hybridMultilevel"/>
    <w:tmpl w:val="E69A4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AC2E70"/>
    <w:multiLevelType w:val="hybridMultilevel"/>
    <w:tmpl w:val="2D5460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EA04967"/>
    <w:multiLevelType w:val="hybridMultilevel"/>
    <w:tmpl w:val="89225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8F686F"/>
    <w:multiLevelType w:val="hybridMultilevel"/>
    <w:tmpl w:val="71BCB600"/>
    <w:lvl w:ilvl="0" w:tplc="91248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26A5515C"/>
    <w:multiLevelType w:val="multilevel"/>
    <w:tmpl w:val="EFFA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D4DB2"/>
    <w:multiLevelType w:val="hybridMultilevel"/>
    <w:tmpl w:val="2D3E159C"/>
    <w:lvl w:ilvl="0" w:tplc="7554B212">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5558"/>
    <w:multiLevelType w:val="hybridMultilevel"/>
    <w:tmpl w:val="958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938C6"/>
    <w:multiLevelType w:val="hybridMultilevel"/>
    <w:tmpl w:val="ADF40502"/>
    <w:lvl w:ilvl="0" w:tplc="833E69A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9F52256"/>
    <w:multiLevelType w:val="hybridMultilevel"/>
    <w:tmpl w:val="AB2E7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025ED2"/>
    <w:multiLevelType w:val="hybridMultilevel"/>
    <w:tmpl w:val="C158D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0C44A9"/>
    <w:multiLevelType w:val="hybridMultilevel"/>
    <w:tmpl w:val="65CA8E72"/>
    <w:lvl w:ilvl="0" w:tplc="70D28B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C5BB5"/>
    <w:multiLevelType w:val="hybridMultilevel"/>
    <w:tmpl w:val="C736F902"/>
    <w:lvl w:ilvl="0" w:tplc="60E6C22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C790A24"/>
    <w:multiLevelType w:val="hybridMultilevel"/>
    <w:tmpl w:val="559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3E37D2A"/>
    <w:multiLevelType w:val="hybridMultilevel"/>
    <w:tmpl w:val="D792BC4A"/>
    <w:lvl w:ilvl="0" w:tplc="03A055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BF39C0"/>
    <w:multiLevelType w:val="multilevel"/>
    <w:tmpl w:val="900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10C0A"/>
    <w:multiLevelType w:val="hybridMultilevel"/>
    <w:tmpl w:val="6C9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E4719"/>
    <w:multiLevelType w:val="hybridMultilevel"/>
    <w:tmpl w:val="A584401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3">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FD0C73"/>
    <w:multiLevelType w:val="hybridMultilevel"/>
    <w:tmpl w:val="A09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6">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3406A8"/>
    <w:multiLevelType w:val="hybridMultilevel"/>
    <w:tmpl w:val="A4F855B0"/>
    <w:lvl w:ilvl="0" w:tplc="C5D4F71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F2E81"/>
    <w:multiLevelType w:val="hybridMultilevel"/>
    <w:tmpl w:val="B46C1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27"/>
  </w:num>
  <w:num w:numId="3">
    <w:abstractNumId w:val="9"/>
  </w:num>
  <w:num w:numId="4">
    <w:abstractNumId w:val="17"/>
  </w:num>
  <w:num w:numId="5">
    <w:abstractNumId w:val="7"/>
  </w:num>
  <w:num w:numId="6">
    <w:abstractNumId w:val="14"/>
  </w:num>
  <w:num w:numId="7">
    <w:abstractNumId w:val="30"/>
  </w:num>
  <w:num w:numId="8">
    <w:abstractNumId w:val="12"/>
  </w:num>
  <w:num w:numId="9">
    <w:abstractNumId w:val="33"/>
  </w:num>
  <w:num w:numId="10">
    <w:abstractNumId w:val="2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0"/>
  </w:num>
  <w:num w:numId="14">
    <w:abstractNumId w:val="1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5"/>
  </w:num>
  <w:num w:numId="20">
    <w:abstractNumId w:val="6"/>
  </w:num>
  <w:num w:numId="21">
    <w:abstractNumId w:val="18"/>
  </w:num>
  <w:num w:numId="22">
    <w:abstractNumId w:val="24"/>
  </w:num>
  <w:num w:numId="23">
    <w:abstractNumId w:val="26"/>
  </w:num>
  <w:num w:numId="24">
    <w:abstractNumId w:val="8"/>
  </w:num>
  <w:num w:numId="25">
    <w:abstractNumId w:val="28"/>
  </w:num>
  <w:num w:numId="26">
    <w:abstractNumId w:val="34"/>
  </w:num>
  <w:num w:numId="27">
    <w:abstractNumId w:val="25"/>
  </w:num>
  <w:num w:numId="28">
    <w:abstractNumId w:val="31"/>
  </w:num>
  <w:num w:numId="29">
    <w:abstractNumId w:val="21"/>
  </w:num>
  <w:num w:numId="30">
    <w:abstractNumId w:val="37"/>
  </w:num>
  <w:num w:numId="31">
    <w:abstractNumId w:val="11"/>
  </w:num>
  <w:num w:numId="32">
    <w:abstractNumId w:val="13"/>
  </w:num>
  <w:num w:numId="33">
    <w:abstractNumId w:val="16"/>
  </w:num>
  <w:num w:numId="34">
    <w:abstractNumId w:val="23"/>
  </w:num>
  <w:num w:numId="35">
    <w:abstractNumId w:val="3"/>
  </w:num>
  <w:num w:numId="36">
    <w:abstractNumId w:val="32"/>
  </w:num>
  <w:num w:numId="37">
    <w:abstractNumId w:val="19"/>
  </w:num>
  <w:num w:numId="38">
    <w:abstractNumId w:val="1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
  </w:num>
  <w:num w:numId="43">
    <w:abstractNumId w:val="2"/>
  </w:num>
  <w:num w:numId="44">
    <w:abstractNumId w:val="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de-DE" w:vendorID="64" w:dllVersion="131078" w:nlCheck="1" w:checkStyle="0"/>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9EF27DB-90A9-4429-B8C2-675B13DE346D"/>
    <w:docVar w:name="LW_COVERPAGE_TYPE" w:val="1"/>
    <w:docVar w:name="LW_CROSSREFERENCE" w:val="&lt;UNUSED&gt;"/>
    <w:docVar w:name="LW_DocType" w:val="NORMAL"/>
    <w:docVar w:name="LW_EMISSION" w:val="30.10.2019"/>
    <w:docVar w:name="LW_EMISSION_ISODATE" w:val="2019-10-30"/>
    <w:docVar w:name="LW_EMISSION_LOCATION" w:val="BRX"/>
    <w:docVar w:name="LW_EMISSION_PREFIX" w:val="Brussell, "/>
    <w:docVar w:name="LW_EMISSION_SUFFIX" w:val=" "/>
    <w:docVar w:name="LW_ID_DOCTYPE_NONLW" w:val="CP-035"/>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G\u295?oxrin Rapport tal-Progress lejn Unjoni tas-Sigurtà effettiva u \u289?enwina"/>
    <w:docVar w:name="LW_TYPE.DOC.CP" w:val="KOMUNIKAZZJONI TAL-KUMMISSJONI LILL-PARLAMENT EWROPEW, IL-KUNSILL EWROPEW U L-KUNSIL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mt-MT"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mt-MT"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89">
      <w:bodyDiv w:val="1"/>
      <w:marLeft w:val="0"/>
      <w:marRight w:val="0"/>
      <w:marTop w:val="0"/>
      <w:marBottom w:val="0"/>
      <w:divBdr>
        <w:top w:val="none" w:sz="0" w:space="0" w:color="auto"/>
        <w:left w:val="none" w:sz="0" w:space="0" w:color="auto"/>
        <w:bottom w:val="none" w:sz="0" w:space="0" w:color="auto"/>
        <w:right w:val="none" w:sz="0" w:space="0" w:color="auto"/>
      </w:divBdr>
    </w:div>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7676825">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24023978">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31848075">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0774864">
      <w:bodyDiv w:val="1"/>
      <w:marLeft w:val="0"/>
      <w:marRight w:val="0"/>
      <w:marTop w:val="0"/>
      <w:marBottom w:val="0"/>
      <w:divBdr>
        <w:top w:val="none" w:sz="0" w:space="0" w:color="auto"/>
        <w:left w:val="none" w:sz="0" w:space="0" w:color="auto"/>
        <w:bottom w:val="none" w:sz="0" w:space="0" w:color="auto"/>
        <w:right w:val="none" w:sz="0" w:space="0" w:color="auto"/>
      </w:divBdr>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80061178">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640815063">
      <w:bodyDiv w:val="1"/>
      <w:marLeft w:val="0"/>
      <w:marRight w:val="0"/>
      <w:marTop w:val="0"/>
      <w:marBottom w:val="0"/>
      <w:divBdr>
        <w:top w:val="none" w:sz="0" w:space="0" w:color="auto"/>
        <w:left w:val="none" w:sz="0" w:space="0" w:color="auto"/>
        <w:bottom w:val="none" w:sz="0" w:space="0" w:color="auto"/>
        <w:right w:val="none" w:sz="0" w:space="0" w:color="auto"/>
      </w:divBdr>
    </w:div>
    <w:div w:id="715860154">
      <w:bodyDiv w:val="1"/>
      <w:marLeft w:val="0"/>
      <w:marRight w:val="0"/>
      <w:marTop w:val="0"/>
      <w:marBottom w:val="0"/>
      <w:divBdr>
        <w:top w:val="none" w:sz="0" w:space="0" w:color="auto"/>
        <w:left w:val="none" w:sz="0" w:space="0" w:color="auto"/>
        <w:bottom w:val="none" w:sz="0" w:space="0" w:color="auto"/>
        <w:right w:val="none" w:sz="0" w:space="0" w:color="auto"/>
      </w:divBdr>
    </w:div>
    <w:div w:id="738333917">
      <w:bodyDiv w:val="1"/>
      <w:marLeft w:val="0"/>
      <w:marRight w:val="0"/>
      <w:marTop w:val="0"/>
      <w:marBottom w:val="0"/>
      <w:divBdr>
        <w:top w:val="none" w:sz="0" w:space="0" w:color="auto"/>
        <w:left w:val="none" w:sz="0" w:space="0" w:color="auto"/>
        <w:bottom w:val="none" w:sz="0" w:space="0" w:color="auto"/>
        <w:right w:val="none" w:sz="0" w:space="0" w:color="auto"/>
      </w:divBdr>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789318663">
      <w:bodyDiv w:val="1"/>
      <w:marLeft w:val="0"/>
      <w:marRight w:val="0"/>
      <w:marTop w:val="0"/>
      <w:marBottom w:val="0"/>
      <w:divBdr>
        <w:top w:val="none" w:sz="0" w:space="0" w:color="auto"/>
        <w:left w:val="none" w:sz="0" w:space="0" w:color="auto"/>
        <w:bottom w:val="none" w:sz="0" w:space="0" w:color="auto"/>
        <w:right w:val="none" w:sz="0" w:space="0" w:color="auto"/>
      </w:divBdr>
    </w:div>
    <w:div w:id="793250097">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888298978">
      <w:bodyDiv w:val="1"/>
      <w:marLeft w:val="0"/>
      <w:marRight w:val="0"/>
      <w:marTop w:val="0"/>
      <w:marBottom w:val="0"/>
      <w:divBdr>
        <w:top w:val="none" w:sz="0" w:space="0" w:color="auto"/>
        <w:left w:val="none" w:sz="0" w:space="0" w:color="auto"/>
        <w:bottom w:val="none" w:sz="0" w:space="0" w:color="auto"/>
        <w:right w:val="none" w:sz="0" w:space="0" w:color="auto"/>
      </w:divBdr>
      <w:divsChild>
        <w:div w:id="572398959">
          <w:marLeft w:val="0"/>
          <w:marRight w:val="0"/>
          <w:marTop w:val="0"/>
          <w:marBottom w:val="0"/>
          <w:divBdr>
            <w:top w:val="none" w:sz="0" w:space="0" w:color="auto"/>
            <w:left w:val="none" w:sz="0" w:space="0" w:color="auto"/>
            <w:bottom w:val="none" w:sz="0" w:space="0" w:color="auto"/>
            <w:right w:val="none" w:sz="0" w:space="0" w:color="auto"/>
          </w:divBdr>
          <w:divsChild>
            <w:div w:id="928586254">
              <w:marLeft w:val="0"/>
              <w:marRight w:val="0"/>
              <w:marTop w:val="0"/>
              <w:marBottom w:val="0"/>
              <w:divBdr>
                <w:top w:val="none" w:sz="0" w:space="0" w:color="auto"/>
                <w:left w:val="none" w:sz="0" w:space="0" w:color="auto"/>
                <w:bottom w:val="none" w:sz="0" w:space="0" w:color="auto"/>
                <w:right w:val="none" w:sz="0" w:space="0" w:color="auto"/>
              </w:divBdr>
              <w:divsChild>
                <w:div w:id="1894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0975">
      <w:bodyDiv w:val="1"/>
      <w:marLeft w:val="0"/>
      <w:marRight w:val="0"/>
      <w:marTop w:val="0"/>
      <w:marBottom w:val="0"/>
      <w:divBdr>
        <w:top w:val="none" w:sz="0" w:space="0" w:color="auto"/>
        <w:left w:val="none" w:sz="0" w:space="0" w:color="auto"/>
        <w:bottom w:val="none" w:sz="0" w:space="0" w:color="auto"/>
        <w:right w:val="none" w:sz="0" w:space="0" w:color="auto"/>
      </w:divBdr>
      <w:divsChild>
        <w:div w:id="2057460193">
          <w:marLeft w:val="0"/>
          <w:marRight w:val="0"/>
          <w:marTop w:val="0"/>
          <w:marBottom w:val="0"/>
          <w:divBdr>
            <w:top w:val="none" w:sz="0" w:space="0" w:color="auto"/>
            <w:left w:val="none" w:sz="0" w:space="0" w:color="auto"/>
            <w:bottom w:val="none" w:sz="0" w:space="0" w:color="auto"/>
            <w:right w:val="none" w:sz="0" w:space="0" w:color="auto"/>
          </w:divBdr>
          <w:divsChild>
            <w:div w:id="386338460">
              <w:marLeft w:val="0"/>
              <w:marRight w:val="0"/>
              <w:marTop w:val="0"/>
              <w:marBottom w:val="0"/>
              <w:divBdr>
                <w:top w:val="none" w:sz="0" w:space="0" w:color="auto"/>
                <w:left w:val="none" w:sz="0" w:space="0" w:color="auto"/>
                <w:bottom w:val="none" w:sz="0" w:space="0" w:color="auto"/>
                <w:right w:val="none" w:sz="0" w:space="0" w:color="auto"/>
              </w:divBdr>
              <w:divsChild>
                <w:div w:id="1515998841">
                  <w:marLeft w:val="0"/>
                  <w:marRight w:val="0"/>
                  <w:marTop w:val="0"/>
                  <w:marBottom w:val="0"/>
                  <w:divBdr>
                    <w:top w:val="none" w:sz="0" w:space="0" w:color="auto"/>
                    <w:left w:val="none" w:sz="0" w:space="0" w:color="auto"/>
                    <w:bottom w:val="none" w:sz="0" w:space="0" w:color="auto"/>
                    <w:right w:val="none" w:sz="0" w:space="0" w:color="auto"/>
                  </w:divBdr>
                  <w:divsChild>
                    <w:div w:id="390468685">
                      <w:marLeft w:val="0"/>
                      <w:marRight w:val="0"/>
                      <w:marTop w:val="0"/>
                      <w:marBottom w:val="0"/>
                      <w:divBdr>
                        <w:top w:val="none" w:sz="0" w:space="0" w:color="auto"/>
                        <w:left w:val="none" w:sz="0" w:space="0" w:color="auto"/>
                        <w:bottom w:val="none" w:sz="0" w:space="0" w:color="auto"/>
                        <w:right w:val="none" w:sz="0" w:space="0" w:color="auto"/>
                      </w:divBdr>
                      <w:divsChild>
                        <w:div w:id="930352143">
                          <w:marLeft w:val="0"/>
                          <w:marRight w:val="0"/>
                          <w:marTop w:val="0"/>
                          <w:marBottom w:val="0"/>
                          <w:divBdr>
                            <w:top w:val="none" w:sz="0" w:space="0" w:color="auto"/>
                            <w:left w:val="none" w:sz="0" w:space="0" w:color="auto"/>
                            <w:bottom w:val="none" w:sz="0" w:space="0" w:color="auto"/>
                            <w:right w:val="none" w:sz="0" w:space="0" w:color="auto"/>
                          </w:divBdr>
                          <w:divsChild>
                            <w:div w:id="587078049">
                              <w:marLeft w:val="-225"/>
                              <w:marRight w:val="-225"/>
                              <w:marTop w:val="0"/>
                              <w:marBottom w:val="0"/>
                              <w:divBdr>
                                <w:top w:val="none" w:sz="0" w:space="0" w:color="auto"/>
                                <w:left w:val="none" w:sz="0" w:space="0" w:color="auto"/>
                                <w:bottom w:val="none" w:sz="0" w:space="0" w:color="auto"/>
                                <w:right w:val="none" w:sz="0" w:space="0" w:color="auto"/>
                              </w:divBdr>
                              <w:divsChild>
                                <w:div w:id="1532188245">
                                  <w:marLeft w:val="0"/>
                                  <w:marRight w:val="0"/>
                                  <w:marTop w:val="0"/>
                                  <w:marBottom w:val="133"/>
                                  <w:divBdr>
                                    <w:top w:val="none" w:sz="0" w:space="0" w:color="auto"/>
                                    <w:left w:val="none" w:sz="0" w:space="0" w:color="auto"/>
                                    <w:bottom w:val="none" w:sz="0" w:space="0" w:color="auto"/>
                                    <w:right w:val="none" w:sz="0" w:space="0" w:color="auto"/>
                                  </w:divBdr>
                                  <w:divsChild>
                                    <w:div w:id="1995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14363">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093747835">
      <w:bodyDiv w:val="1"/>
      <w:marLeft w:val="0"/>
      <w:marRight w:val="0"/>
      <w:marTop w:val="0"/>
      <w:marBottom w:val="0"/>
      <w:divBdr>
        <w:top w:val="none" w:sz="0" w:space="0" w:color="auto"/>
        <w:left w:val="none" w:sz="0" w:space="0" w:color="auto"/>
        <w:bottom w:val="none" w:sz="0" w:space="0" w:color="auto"/>
        <w:right w:val="none" w:sz="0" w:space="0" w:color="auto"/>
      </w:divBdr>
    </w:div>
    <w:div w:id="1100831517">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498498338">
      <w:bodyDiv w:val="1"/>
      <w:marLeft w:val="0"/>
      <w:marRight w:val="0"/>
      <w:marTop w:val="0"/>
      <w:marBottom w:val="0"/>
      <w:divBdr>
        <w:top w:val="none" w:sz="0" w:space="0" w:color="auto"/>
        <w:left w:val="none" w:sz="0" w:space="0" w:color="auto"/>
        <w:bottom w:val="none" w:sz="0" w:space="0" w:color="auto"/>
        <w:right w:val="none" w:sz="0" w:space="0" w:color="auto"/>
      </w:divBdr>
    </w:div>
    <w:div w:id="1553732402">
      <w:bodyDiv w:val="1"/>
      <w:marLeft w:val="0"/>
      <w:marRight w:val="0"/>
      <w:marTop w:val="0"/>
      <w:marBottom w:val="0"/>
      <w:divBdr>
        <w:top w:val="none" w:sz="0" w:space="0" w:color="auto"/>
        <w:left w:val="none" w:sz="0" w:space="0" w:color="auto"/>
        <w:bottom w:val="none" w:sz="0" w:space="0" w:color="auto"/>
        <w:right w:val="none" w:sz="0" w:space="0" w:color="auto"/>
      </w:divBdr>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596279070">
      <w:bodyDiv w:val="1"/>
      <w:marLeft w:val="0"/>
      <w:marRight w:val="0"/>
      <w:marTop w:val="0"/>
      <w:marBottom w:val="0"/>
      <w:divBdr>
        <w:top w:val="none" w:sz="0" w:space="0" w:color="auto"/>
        <w:left w:val="none" w:sz="0" w:space="0" w:color="auto"/>
        <w:bottom w:val="none" w:sz="0" w:space="0" w:color="auto"/>
        <w:right w:val="none" w:sz="0" w:space="0" w:color="auto"/>
      </w:divBdr>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689019385">
      <w:bodyDiv w:val="1"/>
      <w:marLeft w:val="0"/>
      <w:marRight w:val="0"/>
      <w:marTop w:val="0"/>
      <w:marBottom w:val="0"/>
      <w:divBdr>
        <w:top w:val="none" w:sz="0" w:space="0" w:color="auto"/>
        <w:left w:val="none" w:sz="0" w:space="0" w:color="auto"/>
        <w:bottom w:val="none" w:sz="0" w:space="0" w:color="auto"/>
        <w:right w:val="none" w:sz="0" w:space="0" w:color="auto"/>
      </w:divBdr>
    </w:div>
    <w:div w:id="1789884564">
      <w:bodyDiv w:val="1"/>
      <w:marLeft w:val="0"/>
      <w:marRight w:val="0"/>
      <w:marTop w:val="0"/>
      <w:marBottom w:val="0"/>
      <w:divBdr>
        <w:top w:val="none" w:sz="0" w:space="0" w:color="auto"/>
        <w:left w:val="none" w:sz="0" w:space="0" w:color="auto"/>
        <w:bottom w:val="none" w:sz="0" w:space="0" w:color="auto"/>
        <w:right w:val="none" w:sz="0" w:space="0" w:color="auto"/>
      </w:divBdr>
      <w:divsChild>
        <w:div w:id="1923643036">
          <w:marLeft w:val="0"/>
          <w:marRight w:val="0"/>
          <w:marTop w:val="0"/>
          <w:marBottom w:val="0"/>
          <w:divBdr>
            <w:top w:val="none" w:sz="0" w:space="0" w:color="auto"/>
            <w:left w:val="none" w:sz="0" w:space="0" w:color="auto"/>
            <w:bottom w:val="none" w:sz="0" w:space="0" w:color="auto"/>
            <w:right w:val="none" w:sz="0" w:space="0" w:color="auto"/>
          </w:divBdr>
        </w:div>
        <w:div w:id="1547790993">
          <w:marLeft w:val="0"/>
          <w:marRight w:val="0"/>
          <w:marTop w:val="0"/>
          <w:marBottom w:val="0"/>
          <w:divBdr>
            <w:top w:val="none" w:sz="0" w:space="0" w:color="auto"/>
            <w:left w:val="none" w:sz="0" w:space="0" w:color="auto"/>
            <w:bottom w:val="none" w:sz="0" w:space="0" w:color="auto"/>
            <w:right w:val="none" w:sz="0" w:space="0" w:color="auto"/>
          </w:divBdr>
        </w:div>
        <w:div w:id="1608807805">
          <w:marLeft w:val="0"/>
          <w:marRight w:val="0"/>
          <w:marTop w:val="0"/>
          <w:marBottom w:val="0"/>
          <w:divBdr>
            <w:top w:val="none" w:sz="0" w:space="0" w:color="auto"/>
            <w:left w:val="none" w:sz="0" w:space="0" w:color="auto"/>
            <w:bottom w:val="none" w:sz="0" w:space="0" w:color="auto"/>
            <w:right w:val="none" w:sz="0" w:space="0" w:color="auto"/>
          </w:divBdr>
        </w:div>
        <w:div w:id="1564220127">
          <w:marLeft w:val="0"/>
          <w:marRight w:val="0"/>
          <w:marTop w:val="0"/>
          <w:marBottom w:val="0"/>
          <w:divBdr>
            <w:top w:val="none" w:sz="0" w:space="0" w:color="auto"/>
            <w:left w:val="none" w:sz="0" w:space="0" w:color="auto"/>
            <w:bottom w:val="none" w:sz="0" w:space="0" w:color="auto"/>
            <w:right w:val="none" w:sz="0" w:space="0" w:color="auto"/>
          </w:divBdr>
        </w:div>
      </w:divsChild>
    </w:div>
    <w:div w:id="1825731861">
      <w:bodyDiv w:val="1"/>
      <w:marLeft w:val="0"/>
      <w:marRight w:val="0"/>
      <w:marTop w:val="0"/>
      <w:marBottom w:val="0"/>
      <w:divBdr>
        <w:top w:val="none" w:sz="0" w:space="0" w:color="auto"/>
        <w:left w:val="none" w:sz="0" w:space="0" w:color="auto"/>
        <w:bottom w:val="none" w:sz="0" w:space="0" w:color="auto"/>
        <w:right w:val="none" w:sz="0" w:space="0" w:color="auto"/>
      </w:divBdr>
    </w:div>
    <w:div w:id="1828355933">
      <w:bodyDiv w:val="1"/>
      <w:marLeft w:val="0"/>
      <w:marRight w:val="0"/>
      <w:marTop w:val="0"/>
      <w:marBottom w:val="0"/>
      <w:divBdr>
        <w:top w:val="none" w:sz="0" w:space="0" w:color="auto"/>
        <w:left w:val="none" w:sz="0" w:space="0" w:color="auto"/>
        <w:bottom w:val="none" w:sz="0" w:space="0" w:color="auto"/>
        <w:right w:val="none" w:sz="0" w:space="0" w:color="auto"/>
      </w:divBdr>
    </w:div>
    <w:div w:id="1853258915">
      <w:bodyDiv w:val="1"/>
      <w:marLeft w:val="0"/>
      <w:marRight w:val="0"/>
      <w:marTop w:val="0"/>
      <w:marBottom w:val="0"/>
      <w:divBdr>
        <w:top w:val="none" w:sz="0" w:space="0" w:color="auto"/>
        <w:left w:val="none" w:sz="0" w:space="0" w:color="auto"/>
        <w:bottom w:val="none" w:sz="0" w:space="0" w:color="auto"/>
        <w:right w:val="none" w:sz="0" w:space="0" w:color="auto"/>
      </w:divBdr>
    </w:div>
    <w:div w:id="1863857146">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68337497">
      <w:bodyDiv w:val="1"/>
      <w:marLeft w:val="0"/>
      <w:marRight w:val="0"/>
      <w:marTop w:val="0"/>
      <w:marBottom w:val="0"/>
      <w:divBdr>
        <w:top w:val="none" w:sz="0" w:space="0" w:color="auto"/>
        <w:left w:val="none" w:sz="0" w:space="0" w:color="auto"/>
        <w:bottom w:val="none" w:sz="0" w:space="0" w:color="auto"/>
        <w:right w:val="none" w:sz="0" w:space="0" w:color="auto"/>
      </w:divBdr>
      <w:divsChild>
        <w:div w:id="231501358">
          <w:marLeft w:val="0"/>
          <w:marRight w:val="0"/>
          <w:marTop w:val="0"/>
          <w:marBottom w:val="0"/>
          <w:divBdr>
            <w:top w:val="none" w:sz="0" w:space="0" w:color="auto"/>
            <w:left w:val="none" w:sz="0" w:space="0" w:color="auto"/>
            <w:bottom w:val="none" w:sz="0" w:space="0" w:color="auto"/>
            <w:right w:val="none" w:sz="0" w:space="0" w:color="auto"/>
          </w:divBdr>
          <w:divsChild>
            <w:div w:id="728845488">
              <w:marLeft w:val="0"/>
              <w:marRight w:val="0"/>
              <w:marTop w:val="0"/>
              <w:marBottom w:val="0"/>
              <w:divBdr>
                <w:top w:val="none" w:sz="0" w:space="0" w:color="auto"/>
                <w:left w:val="none" w:sz="0" w:space="0" w:color="auto"/>
                <w:bottom w:val="none" w:sz="0" w:space="0" w:color="auto"/>
                <w:right w:val="none" w:sz="0" w:space="0" w:color="auto"/>
              </w:divBdr>
              <w:divsChild>
                <w:div w:id="621422429">
                  <w:marLeft w:val="0"/>
                  <w:marRight w:val="0"/>
                  <w:marTop w:val="0"/>
                  <w:marBottom w:val="0"/>
                  <w:divBdr>
                    <w:top w:val="none" w:sz="0" w:space="0" w:color="auto"/>
                    <w:left w:val="none" w:sz="0" w:space="0" w:color="auto"/>
                    <w:bottom w:val="none" w:sz="0" w:space="0" w:color="auto"/>
                    <w:right w:val="none" w:sz="0" w:space="0" w:color="auto"/>
                  </w:divBdr>
                  <w:divsChild>
                    <w:div w:id="82576692">
                      <w:marLeft w:val="0"/>
                      <w:marRight w:val="0"/>
                      <w:marTop w:val="0"/>
                      <w:marBottom w:val="0"/>
                      <w:divBdr>
                        <w:top w:val="none" w:sz="0" w:space="0" w:color="auto"/>
                        <w:left w:val="none" w:sz="0" w:space="0" w:color="auto"/>
                        <w:bottom w:val="none" w:sz="0" w:space="0" w:color="auto"/>
                        <w:right w:val="none" w:sz="0" w:space="0" w:color="auto"/>
                      </w:divBdr>
                      <w:divsChild>
                        <w:div w:id="364717886">
                          <w:marLeft w:val="0"/>
                          <w:marRight w:val="0"/>
                          <w:marTop w:val="0"/>
                          <w:marBottom w:val="0"/>
                          <w:divBdr>
                            <w:top w:val="none" w:sz="0" w:space="0" w:color="auto"/>
                            <w:left w:val="none" w:sz="0" w:space="0" w:color="auto"/>
                            <w:bottom w:val="none" w:sz="0" w:space="0" w:color="auto"/>
                            <w:right w:val="none" w:sz="0" w:space="0" w:color="auto"/>
                          </w:divBdr>
                          <w:divsChild>
                            <w:div w:id="528110135">
                              <w:marLeft w:val="-225"/>
                              <w:marRight w:val="-225"/>
                              <w:marTop w:val="0"/>
                              <w:marBottom w:val="0"/>
                              <w:divBdr>
                                <w:top w:val="none" w:sz="0" w:space="0" w:color="auto"/>
                                <w:left w:val="none" w:sz="0" w:space="0" w:color="auto"/>
                                <w:bottom w:val="none" w:sz="0" w:space="0" w:color="auto"/>
                                <w:right w:val="none" w:sz="0" w:space="0" w:color="auto"/>
                              </w:divBdr>
                              <w:divsChild>
                                <w:div w:id="547108295">
                                  <w:marLeft w:val="0"/>
                                  <w:marRight w:val="0"/>
                                  <w:marTop w:val="0"/>
                                  <w:marBottom w:val="133"/>
                                  <w:divBdr>
                                    <w:top w:val="none" w:sz="0" w:space="0" w:color="auto"/>
                                    <w:left w:val="none" w:sz="0" w:space="0" w:color="auto"/>
                                    <w:bottom w:val="none" w:sz="0" w:space="0" w:color="auto"/>
                                    <w:right w:val="none" w:sz="0" w:space="0" w:color="auto"/>
                                  </w:divBdr>
                                  <w:divsChild>
                                    <w:div w:id="5458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 w:id="21346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uia-initiative.eu/en/call-proposals/4th-call-proposals" TargetMode="External"/><Relationship Id="rId3" Type="http://schemas.openxmlformats.org/officeDocument/2006/relationships/hyperlink" Target="https://www.europarl.europa.eu/doceo/document/TA-9-2019-0022_MT.html" TargetMode="External"/><Relationship Id="rId7" Type="http://schemas.openxmlformats.org/officeDocument/2006/relationships/hyperlink" Target="https://europa.eu/euprotects/" TargetMode="External"/><Relationship Id="rId2" Type="http://schemas.openxmlformats.org/officeDocument/2006/relationships/hyperlink" Target="https://ec.europa.eu/home-affairs/sites/homeaffairs/files/what-we-do/networks/radicalisation_awareness_network/ran-papers/docs/issue_paper_child_returnees_from_conflict_zones_112016_en.pdf" TargetMode="External"/><Relationship Id="rId1" Type="http://schemas.openxmlformats.org/officeDocument/2006/relationships/hyperlink" Target="https://ec.europa.eu/home-affairs/what-we-do/policies/european-agenda-security/legislative-documents_en" TargetMode="External"/><Relationship Id="rId6" Type="http://schemas.openxmlformats.org/officeDocument/2006/relationships/hyperlink" Target="http://www.euvsdisinfo.eu" TargetMode="External"/><Relationship Id="rId5" Type="http://schemas.openxmlformats.org/officeDocument/2006/relationships/hyperlink" Target="https://ec.europa.eu/commission/presscorner/detail/mt/statement_19_6166" TargetMode="External"/><Relationship Id="rId4" Type="http://schemas.openxmlformats.org/officeDocument/2006/relationships/hyperlink" Target="https://ec.europa.eu/digital-single-market/en/news/eu-wide-coordinated-risk-assessment-5g-networks-security" TargetMode="External"/><Relationship Id="rId9" Type="http://schemas.openxmlformats.org/officeDocument/2006/relationships/hyperlink" Target="https://ec.europa.eu/home-affairs/news/news/20191009_security-union-implementing-counter-terrorism-arrangements-albania-north-macedonia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7BEA-D849-44A6-9F31-C34A40EE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5986</Words>
  <Characters>44720</Characters>
  <Application>Microsoft Office Word</Application>
  <DocSecurity>0</DocSecurity>
  <Lines>604</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dcterms:created xsi:type="dcterms:W3CDTF">2019-10-29T10:11:00Z</dcterms:created>
  <dcterms:modified xsi:type="dcterms:W3CDTF">2019-11-20T21:59:00Z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CP-035</vt:lpwstr>
  </property>
</Properties>
</file>