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2F5265D-F894-4DD3-9EFB-8363FECF1192" style="width:450.45pt;height:351.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u w:color="000000"/>
          <w:bdr w:val="nil"/>
        </w:rPr>
        <w:t>•</w:t>
      </w:r>
      <w:r>
        <w:rPr>
          <w:noProof/>
          <w:u w:color="000000"/>
          <w:bdr w:val="nil"/>
        </w:rPr>
        <w:tab/>
      </w:r>
      <w:r>
        <w:rPr>
          <w:noProof/>
        </w:rPr>
        <w:t>Razões e objetivos da proposta</w:t>
      </w:r>
    </w:p>
    <w:p>
      <w:pPr>
        <w:rPr>
          <w:noProof/>
        </w:rPr>
      </w:pPr>
      <w:r>
        <w:rPr>
          <w:noProof/>
        </w:rPr>
        <w:t>Para assegurar fornecimentos suficientes e ininterruptos de certos produtos agrícolas e industriais produzidos insuficientemente ou não produzidos de todo na União e para evitar quaisquer perturbações no mercado desses produtos, alguns direitos autónomos da Pauta Aduaneira Comum foram total ou parcialmente suspensos pelo Regulamento (UE) n.º 1387/2013 do Conselho (a seguir, «o Regulamento»).</w:t>
      </w:r>
    </w:p>
    <w:p>
      <w:pPr>
        <w:rPr>
          <w:noProof/>
        </w:rPr>
      </w:pPr>
      <w:r>
        <w:rPr>
          <w:noProof/>
        </w:rPr>
        <w:t>O Regulamento é atualizado semestralmente a fim de responder às necessidades da indústria da União. A Comissão, assistida pelo Grupo «Questões Económicas Pautais», procedeu a um exame de todos os pedidos de suspensões pautais autónomas apresentados pelos Estados-Membros.</w:t>
      </w:r>
    </w:p>
    <w:p>
      <w:pPr>
        <w:rPr>
          <w:noProof/>
        </w:rPr>
      </w:pPr>
      <w:r>
        <w:rPr>
          <w:noProof/>
        </w:rPr>
        <w:t>Na sequência desse exame, a Comissão considera que se justifica a suspensão dos direitos para alguns produtos novos, que atualmente não constam do anexo do Regulamento. Em relação a alguns outros produtos, é necessário alterar as condições no que respeita à designação do produto, à classificação, às taxas dos direitos ou à data prevista para o exame obrigatório. Propõe-se retirar da lista os produtos relativamente aos quais a suspensão de direitos pautais deixou de ser do interesse económico da União.</w:t>
      </w:r>
    </w:p>
    <w:p>
      <w:pPr>
        <w:rPr>
          <w:noProof/>
        </w:rPr>
      </w:pPr>
      <w:r>
        <w:rPr>
          <w:noProof/>
        </w:rPr>
        <w:t>Por razões de clareza, convém publicar uma versão consolidada do anexo do Regulamento (UE) n.º </w:t>
      </w:r>
      <w:r>
        <w:rPr>
          <w:rStyle w:val="highlight"/>
          <w:noProof/>
        </w:rPr>
        <w:t>1387/2013</w:t>
      </w:r>
      <w:r>
        <w:rPr>
          <w:noProof/>
        </w:rPr>
        <w:t xml:space="preserve"> do Conselho, que substituirá o anterior anexo.</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Coerência com as disposições existentes da mesma política setorial</w:t>
      </w:r>
    </w:p>
    <w:p>
      <w:pPr>
        <w:rPr>
          <w:noProof/>
        </w:rPr>
      </w:pPr>
      <w:r>
        <w:rPr>
          <w:noProof/>
        </w:rPr>
        <w:t>A presente proposta não prejudica os países que beneficiam de um acordo comercial preferencial com a União, nem os países candidatos ou os potenciais candidatos a acordos preferenciais com a União (por exemplo, o Sistema de Preferências Generalizadas; o regime comercial do grupo dos países de África, das Caraíbas e do Pacífico; acordos de comércio livre).</w:t>
      </w:r>
    </w:p>
    <w:p>
      <w:pPr>
        <w:pStyle w:val="ManualHeading2"/>
        <w:rPr>
          <w:rFonts w:eastAsia="Arial Unicode MS"/>
          <w:noProof/>
        </w:rPr>
      </w:pPr>
      <w:r>
        <w:rPr>
          <w:noProof/>
          <w:u w:color="000000"/>
          <w:bdr w:val="nil"/>
        </w:rPr>
        <w:t>•</w:t>
      </w:r>
      <w:r>
        <w:rPr>
          <w:noProof/>
          <w:u w:color="000000"/>
          <w:bdr w:val="nil"/>
        </w:rPr>
        <w:tab/>
      </w:r>
      <w:r>
        <w:rPr>
          <w:noProof/>
        </w:rPr>
        <w:t>Coerência com outras políticas da União</w:t>
      </w:r>
    </w:p>
    <w:p>
      <w:pPr>
        <w:rPr>
          <w:noProof/>
        </w:rPr>
      </w:pPr>
      <w:r>
        <w:rPr>
          <w:noProof/>
        </w:rPr>
        <w:t>A proposta está em conformidade com as políticas agrícola, comercial, empresarial, ambiental, de desenvolvimento e de relações externas da União.</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rPr>
          <w:noProof/>
        </w:rPr>
      </w:pPr>
      <w:r>
        <w:rPr>
          <w:noProof/>
        </w:rPr>
        <w:t>A base jurídica da presente proposta é o artigo 31.º do Tratado sobre o Funcionamento da União Europeia (TFUE).</w:t>
      </w:r>
    </w:p>
    <w:p>
      <w:pPr>
        <w:pStyle w:val="ManualHeading2"/>
        <w:rPr>
          <w:rFonts w:eastAsia="Arial Unicode MS"/>
          <w:noProof/>
          <w:u w:color="000000"/>
          <w:bdr w:val="nil"/>
        </w:rPr>
      </w:pPr>
      <w:r>
        <w:rPr>
          <w:noProof/>
          <w:u w:color="000000"/>
          <w:bdr w:val="nil"/>
        </w:rPr>
        <w:t>•</w:t>
      </w:r>
      <w:r>
        <w:rPr>
          <w:noProof/>
          <w:u w:color="000000"/>
          <w:bdr w:val="nil"/>
        </w:rPr>
        <w:tab/>
        <w:t xml:space="preserve">Subsidiariedade (no caso de competência não exclusiva) </w:t>
      </w:r>
    </w:p>
    <w:p>
      <w:pPr>
        <w:rPr>
          <w:noProof/>
        </w:rPr>
      </w:pPr>
      <w:r>
        <w:rPr>
          <w:noProof/>
        </w:rPr>
        <w:t>A proposta é da competência exclusiva da União. Por conseguinte, o princípio da subsidiariedade não se aplica.</w:t>
      </w:r>
    </w:p>
    <w:p>
      <w:pPr>
        <w:pStyle w:val="ManualHeading2"/>
        <w:rPr>
          <w:rFonts w:eastAsia="Arial Unicode MS"/>
          <w:noProof/>
          <w:u w:color="000000"/>
          <w:bdr w:val="nil"/>
        </w:rPr>
      </w:pPr>
      <w:r>
        <w:rPr>
          <w:noProof/>
          <w:u w:color="000000"/>
          <w:bdr w:val="nil"/>
        </w:rPr>
        <w:t>•</w:t>
      </w:r>
      <w:r>
        <w:rPr>
          <w:noProof/>
          <w:u w:color="000000"/>
          <w:bdr w:val="nil"/>
        </w:rPr>
        <w:tab/>
        <w:t>Proporcionalidade</w:t>
      </w:r>
    </w:p>
    <w:p>
      <w:pPr>
        <w:rPr>
          <w:noProof/>
        </w:rPr>
      </w:pPr>
      <w:r>
        <w:rPr>
          <w:noProof/>
        </w:rPr>
        <w:t xml:space="preserve">A proposta respeita o princípio da proporcionalidade. As medidas propostas estão de acordo com os princípios relativos à simplificação dos procedimentos a seguir pelos operadores do </w:t>
      </w:r>
      <w:r>
        <w:rPr>
          <w:noProof/>
        </w:rPr>
        <w:lastRenderedPageBreak/>
        <w:t>comércio externo, como referido na comunicação da Comissão sobre as suspensões e os contingentes pautais autónomos</w:t>
      </w:r>
      <w:r>
        <w:rPr>
          <w:rStyle w:val="FootnoteReference"/>
          <w:noProof/>
        </w:rPr>
        <w:footnoteReference w:id="2"/>
      </w:r>
      <w:r>
        <w:rPr>
          <w:noProof/>
        </w:rPr>
        <w:t>. O presente regulamento não excede o necessário para atingir os objetivos previstos, nos termos do artigo 5.º, n.º 4, do Tratado da União Europeia (TUE).</w:t>
      </w:r>
    </w:p>
    <w:p>
      <w:pPr>
        <w:pStyle w:val="ManualHeading2"/>
        <w:rPr>
          <w:rFonts w:eastAsia="Arial Unicode MS"/>
          <w:noProof/>
          <w:u w:color="000000"/>
          <w:bdr w:val="nil"/>
        </w:rPr>
      </w:pPr>
      <w:r>
        <w:rPr>
          <w:noProof/>
          <w:u w:color="000000"/>
          <w:bdr w:val="nil"/>
        </w:rPr>
        <w:t>•</w:t>
      </w:r>
      <w:r>
        <w:rPr>
          <w:noProof/>
          <w:u w:color="000000"/>
          <w:bdr w:val="nil"/>
        </w:rPr>
        <w:tab/>
        <w:t>Escolha do instrumento</w:t>
      </w:r>
    </w:p>
    <w:p>
      <w:pPr>
        <w:rPr>
          <w:noProof/>
        </w:rPr>
      </w:pPr>
      <w:r>
        <w:rPr>
          <w:noProof/>
        </w:rPr>
        <w:t>Por força do artigo 31.º do TFUE, «os direitos da pauta aduaneira comum são fixados pelo Conselho, sob proposta da Comissão». Por conseguinte, um regulamento do Conselho é o instrumento adequado.</w:t>
      </w:r>
    </w:p>
    <w:p>
      <w:pPr>
        <w:pStyle w:val="ManualHeading1"/>
        <w:rPr>
          <w:noProof/>
        </w:rPr>
      </w:pPr>
      <w:r>
        <w:rPr>
          <w:noProof/>
        </w:rPr>
        <w:t>3.</w:t>
      </w:r>
      <w:r>
        <w:rPr>
          <w:noProof/>
        </w:rPr>
        <w:tab/>
        <w:t xml:space="preserve">RESULTADOS DAS AVALIAÇÕES </w:t>
      </w:r>
      <w:r>
        <w:rPr>
          <w:i/>
          <w:iCs/>
          <w:noProof/>
        </w:rPr>
        <w:t>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u w:color="000000"/>
          <w:bdr w:val="nil"/>
        </w:rPr>
        <w:tab/>
        <w:t xml:space="preserve">Avaliações </w:t>
      </w:r>
      <w:r>
        <w:rPr>
          <w:i/>
          <w:iCs/>
          <w:noProof/>
          <w:u w:color="000000"/>
          <w:bdr w:val="nil"/>
        </w:rPr>
        <w:t>ex post</w:t>
      </w:r>
      <w:r>
        <w:rPr>
          <w:noProof/>
          <w:u w:color="000000"/>
          <w:bdr w:val="nil"/>
        </w:rPr>
        <w:t>/balanços de qualidade da legislação existente</w:t>
      </w:r>
    </w:p>
    <w:p>
      <w:pPr>
        <w:rPr>
          <w:noProof/>
        </w:rPr>
      </w:pPr>
      <w:r>
        <w:rPr>
          <w:noProof/>
        </w:rPr>
        <w:t>O regime de suspensões autónomas foi objeto de um estudo de avaliação realizado em 2013. A avaliação concluiu que o principal objetivo do programa continua a ser válido. A poupança de custos para as empresas da UE que importam mercadorias ao abrigo do regime pode ser significativa. Por sua vez, dependendo do produto, das empresas e do setor, esta poupança pode conduzir a benefícios mais amplos como o reforço da competitividade, uma maior eficiência dos métodos de produção e a criação ou a manutenção de postos de trabalho na União. Os dados em matéria de poupança de custos relativos ao presente regulamento figuram na ficha financeira legislativa em anexo.</w:t>
      </w:r>
    </w:p>
    <w:p>
      <w:pPr>
        <w:pStyle w:val="ManualHeading2"/>
        <w:rPr>
          <w:rFonts w:eastAsia="Arial Unicode MS"/>
          <w:noProof/>
          <w:u w:color="000000"/>
          <w:bdr w:val="nil"/>
        </w:rPr>
      </w:pPr>
      <w:r>
        <w:rPr>
          <w:noProof/>
          <w:u w:color="000000"/>
          <w:bdr w:val="nil"/>
        </w:rPr>
        <w:t>•</w:t>
      </w:r>
      <w:r>
        <w:rPr>
          <w:noProof/>
          <w:u w:color="000000"/>
          <w:bdr w:val="nil"/>
        </w:rPr>
        <w:tab/>
        <w:t>Consulta das partes interessadas</w:t>
      </w:r>
    </w:p>
    <w:p>
      <w:pPr>
        <w:rPr>
          <w:rFonts w:eastAsia="Calibri"/>
          <w:noProof/>
        </w:rPr>
      </w:pPr>
      <w:r>
        <w:rPr>
          <w:noProof/>
        </w:rPr>
        <w:t>O Grupo «Questões Económicas Pautais», constituído por delegações de todos os Estados-Membros, bem como da Turquia, assistiu a Comissão na avaliação da presente proposta. O Grupo reuniu-se três vezes antes de chegar a acordo quanto às alterações constantes da presente proposta.</w:t>
      </w:r>
    </w:p>
    <w:p>
      <w:pPr>
        <w:rPr>
          <w:rFonts w:eastAsia="Calibri"/>
          <w:noProof/>
        </w:rPr>
      </w:pPr>
      <w:r>
        <w:rPr>
          <w:noProof/>
        </w:rPr>
        <w:t>Avaliou cuidadosamente cada pedido (novo ou de alteração). Examinou particularmente cada caso, a fim de garantir que não causava qualquer prejuízo para os produtores da União e que reforçava e consolidava a competitividade da produção da União. Os membros do Grupo «Questões Económicas Pautais» procederam à avaliação através de debates e os Estados-Membros consultaram as indústrias, as associações, as câmaras de comércio e as outras partes interessadas em causa.</w:t>
      </w:r>
    </w:p>
    <w:p>
      <w:pPr>
        <w:rPr>
          <w:noProof/>
        </w:rPr>
      </w:pPr>
      <w:r>
        <w:rPr>
          <w:noProof/>
        </w:rPr>
        <w:t>Todas as suspensões pautais enumeradas foram objeto de acordos ou compromissos alcançados nos debates do Grupo «Questões Económicas Pautais». Não foram mencionados riscos potencialmente graves com consequências irreversíveis.</w:t>
      </w:r>
    </w:p>
    <w:p>
      <w:pPr>
        <w:pStyle w:val="ManualHeading2"/>
        <w:rPr>
          <w:rFonts w:eastAsia="Arial Unicode MS"/>
          <w:noProof/>
          <w:u w:color="000000"/>
          <w:bdr w:val="nil"/>
        </w:rPr>
      </w:pPr>
      <w:r>
        <w:rPr>
          <w:noProof/>
          <w:u w:color="000000"/>
          <w:bdr w:val="nil"/>
        </w:rPr>
        <w:t>•</w:t>
      </w:r>
      <w:r>
        <w:rPr>
          <w:noProof/>
          <w:u w:color="000000"/>
          <w:bdr w:val="nil"/>
        </w:rPr>
        <w:tab/>
        <w:t>Avaliação de impacto</w:t>
      </w:r>
    </w:p>
    <w:p>
      <w:pPr>
        <w:rPr>
          <w:noProof/>
        </w:rPr>
      </w:pPr>
      <w:r>
        <w:rPr>
          <w:noProof/>
        </w:rPr>
        <w:t>A alteração proposta é de natureza meramente técnica e refere-se apenas à cobertura das suspensões enumeradas no anexo do Regulamento (UE) n.º 1387/2013 do Conselho. Por conseguinte, a presente proposta não foi objeto de avaliação de impacto.</w:t>
      </w:r>
    </w:p>
    <w:p>
      <w:pPr>
        <w:pStyle w:val="ManualHeading2"/>
        <w:rPr>
          <w:rFonts w:eastAsia="Arial Unicode MS"/>
          <w:noProof/>
          <w:u w:color="000000"/>
          <w:bdr w:val="nil"/>
        </w:rPr>
      </w:pPr>
      <w:r>
        <w:rPr>
          <w:noProof/>
          <w:u w:color="000000"/>
          <w:bdr w:val="nil"/>
        </w:rPr>
        <w:t>•</w:t>
      </w:r>
      <w:r>
        <w:rPr>
          <w:noProof/>
          <w:u w:color="000000"/>
          <w:bdr w:val="nil"/>
        </w:rPr>
        <w:tab/>
        <w:t>Direitos fundamentais</w:t>
      </w:r>
    </w:p>
    <w:p>
      <w:pPr>
        <w:rPr>
          <w:noProof/>
        </w:rPr>
      </w:pPr>
      <w:r>
        <w:rPr>
          <w:noProof/>
        </w:rPr>
        <w:t>A proposta não tem consequências nos direitos fundamentais.</w:t>
      </w:r>
    </w:p>
    <w:p>
      <w:pPr>
        <w:pStyle w:val="ManualHeading1"/>
        <w:rPr>
          <w:noProof/>
        </w:rPr>
      </w:pPr>
      <w:r>
        <w:rPr>
          <w:noProof/>
        </w:rPr>
        <w:lastRenderedPageBreak/>
        <w:t>4.</w:t>
      </w:r>
      <w:r>
        <w:rPr>
          <w:noProof/>
        </w:rPr>
        <w:tab/>
        <w:t>INCIDÊNCIA ORÇAMENTAL</w:t>
      </w:r>
    </w:p>
    <w:p>
      <w:pPr>
        <w:rPr>
          <w:noProof/>
        </w:rPr>
      </w:pPr>
      <w:r>
        <w:rPr>
          <w:noProof/>
        </w:rPr>
        <w:t>A presente proposta não tem incidência financeira nas despesas, embora a tenha nas receitas. Os direitos aduaneiros não cobrados totalizam cerca de 4 milhões de EUR por ano. A incidência nos recursos próprios tradicionais do orçamento é de 3,2 milhões de EUR por ano (ou seja, 80 % do montante total). A ficha financeira legislativa apresenta a incidência orçamental da presente proposta em maior pormenor.</w:t>
      </w:r>
    </w:p>
    <w:p>
      <w:pPr>
        <w:rPr>
          <w:noProof/>
        </w:rPr>
      </w:pPr>
      <w:r>
        <w:rPr>
          <w:noProof/>
        </w:rPr>
        <w:t>A perda de receitas sob a forma de recursos próprios tradicionais será compensada pelas contribuições dos Estados-Membros baseadas no rendimento nacional bruto (RNB).</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u w:color="000000"/>
          <w:bdr w:val="nil"/>
        </w:rPr>
        <w:t>•</w:t>
      </w:r>
      <w:r>
        <w:rPr>
          <w:noProof/>
          <w:u w:color="000000"/>
          <w:bdr w:val="nil"/>
        </w:rPr>
        <w:tab/>
        <w:t>Planos de execução e acompanhamento, avaliação e prestação de informações</w:t>
      </w:r>
    </w:p>
    <w:p>
      <w:pPr>
        <w:rPr>
          <w:noProof/>
        </w:rPr>
      </w:pPr>
      <w:r>
        <w:rPr>
          <w:noProof/>
        </w:rPr>
        <w:t>As medidas propostas são geridas no âmbito da pauta aduaneira integrada da União Europeia (TARIC) e aplicadas pelas administrações aduaneiras dos Estados-Membros.</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2019/0265 (NLE)</w:t>
      </w:r>
    </w:p>
    <w:p>
      <w:pPr>
        <w:pStyle w:val="Statut"/>
        <w:rPr>
          <w:noProof/>
        </w:rPr>
      </w:pPr>
      <w:r>
        <w:rPr>
          <w:noProof/>
        </w:rPr>
        <w:t>Proposta de</w:t>
      </w:r>
    </w:p>
    <w:p>
      <w:pPr>
        <w:pStyle w:val="Typedudocument"/>
        <w:rPr>
          <w:noProof/>
        </w:rPr>
      </w:pPr>
      <w:r>
        <w:rPr>
          <w:noProof/>
        </w:rPr>
        <w:t>REGULAMENTO DO CONSELHO</w:t>
      </w:r>
    </w:p>
    <w:p>
      <w:pPr>
        <w:pStyle w:val="Titreobjet"/>
        <w:rPr>
          <w:noProof/>
        </w:rPr>
      </w:pPr>
      <w:r>
        <w:rPr>
          <w:noProof/>
        </w:rPr>
        <w:t>que altera o Regulamento (UE) n.º 1387/2013 que suspende os direitos autónomos da pauta aduaneira comum para certos produtos agrícolas e industriais</w:t>
      </w:r>
    </w:p>
    <w:p>
      <w:pPr>
        <w:pStyle w:val="Institutionquiagit"/>
        <w:rPr>
          <w:noProof/>
        </w:rPr>
      </w:pPr>
      <w:r>
        <w:rPr>
          <w:noProof/>
        </w:rPr>
        <w:t>O CONSELHO DA UNIÃO EUROPEIA,</w:t>
      </w:r>
    </w:p>
    <w:p>
      <w:pPr>
        <w:rPr>
          <w:noProof/>
        </w:rPr>
      </w:pPr>
      <w:r>
        <w:rPr>
          <w:noProof/>
        </w:rPr>
        <w:t>Tendo em conta o Tratado sobre o Funcionamento da União Europeia, nomeadamente o artigo 31.º,</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A fim de assegurar o fornecimento suficiente e ininterrupto de certos produtos agrícolas e industriais que não estão disponíveis na União e, assim, evitar perturbações no mercado desses produtos, os direitos da pauta aduaneira comum (PAC) que se lhes aplicam foram suspensos pelo Regulamento (UE) n.º 1387/2013 do Conselho</w:t>
      </w:r>
      <w:r>
        <w:rPr>
          <w:rStyle w:val="FootnoteReference"/>
          <w:noProof/>
        </w:rPr>
        <w:footnoteReference w:id="3"/>
      </w:r>
      <w:r>
        <w:rPr>
          <w:noProof/>
        </w:rPr>
        <w:t>. Esses produtos podem ser importados para a União a taxas de direitos zero ou reduzidas.</w:t>
      </w:r>
    </w:p>
    <w:p>
      <w:pPr>
        <w:pStyle w:val="ManualConsidrant"/>
        <w:rPr>
          <w:noProof/>
        </w:rPr>
      </w:pPr>
      <w:r>
        <w:t>(2)</w:t>
      </w:r>
      <w:r>
        <w:tab/>
      </w:r>
      <w:r>
        <w:rPr>
          <w:noProof/>
        </w:rPr>
        <w:t xml:space="preserve">A produção da União de certos produtos agrícolas e industriais não enumerados no anexo do Regulamento (UE) n.º 1387/2013 é inadequada ou inexistente. É, portanto, do interesse da União suspender totalmente os direitos da PAC aplicáveis a esses produtos. </w:t>
      </w:r>
    </w:p>
    <w:p>
      <w:pPr>
        <w:pStyle w:val="ManualConsidrant"/>
        <w:rPr>
          <w:noProof/>
        </w:rPr>
      </w:pPr>
      <w:r>
        <w:t>(3)</w:t>
      </w:r>
      <w:r>
        <w:tab/>
      </w:r>
      <w:r>
        <w:rPr>
          <w:noProof/>
        </w:rPr>
        <w:t>A fim de promover a produção integrada de baterias na União e em conformidade com a comunicação da Comissão intitulada «</w:t>
      </w:r>
      <w:r>
        <w:rPr>
          <w:i/>
          <w:noProof/>
        </w:rPr>
        <w:t>A Europa em Movimento — Mobilidade sustentável para a Europa: segura, conectada e limpa</w:t>
      </w:r>
      <w:r>
        <w:rPr>
          <w:noProof/>
        </w:rPr>
        <w:t>»</w:t>
      </w:r>
      <w:r>
        <w:rPr>
          <w:rStyle w:val="FootnoteReference"/>
          <w:noProof/>
        </w:rPr>
        <w:footnoteReference w:id="4"/>
      </w:r>
      <w:r>
        <w:rPr>
          <w:noProof/>
        </w:rPr>
        <w:t>, deve ser concedida uma suspensão parcial do direito da PAC para certos produtos atualmente não enumerados no anexo do Regulamento (UE) n.º 1387/2013. Para certos produtos relacionados com baterias atualmente sujeitos a suspensões totais, deve ser concedida apenas uma suspensão parcial dos direitos da PAC. Além disso, a data para o exame obrigatório das suspensões a que se refere o presente considerando deve ser fixada em 31 de dezembro de 2020, a fim de permitir o exame imediato dessas suspensões, tendo em conta a evolução do setor das baterias na União.</w:t>
      </w:r>
    </w:p>
    <w:p>
      <w:pPr>
        <w:pStyle w:val="ManualConsidrant"/>
        <w:rPr>
          <w:noProof/>
        </w:rPr>
      </w:pPr>
      <w:r>
        <w:t>(4)</w:t>
      </w:r>
      <w:r>
        <w:tab/>
      </w:r>
      <w:r>
        <w:rPr>
          <w:noProof/>
        </w:rPr>
        <w:t>É necessário alterar a designação do produto para certas suspensões enumeradas no anexo do Regulamento (UE) n.º 1387/2013, a fim de tomar em consideração a evolução técnica dos produtos e as tendências económicas do mercado.</w:t>
      </w:r>
    </w:p>
    <w:p>
      <w:pPr>
        <w:pStyle w:val="ManualConsidrant"/>
        <w:rPr>
          <w:noProof/>
        </w:rPr>
      </w:pPr>
      <w:r>
        <w:t>(5)</w:t>
      </w:r>
      <w:r>
        <w:tab/>
      </w:r>
      <w:r>
        <w:rPr>
          <w:noProof/>
        </w:rPr>
        <w:t>Foi efetuado um exame para 334 suspensões dos direitos autónomos da PAC que constam atualmente do anexo do Regulamento (UE) n.º </w:t>
      </w:r>
      <w:r>
        <w:rPr>
          <w:rStyle w:val="highlight"/>
          <w:noProof/>
        </w:rPr>
        <w:t>1387/2013</w:t>
      </w:r>
      <w:r>
        <w:rPr>
          <w:noProof/>
        </w:rPr>
        <w:t>. Por conseguinte, devem ser estabelecidas novas datas para o seu próximo exame obrigatório.</w:t>
      </w:r>
    </w:p>
    <w:p>
      <w:pPr>
        <w:pStyle w:val="ManualConsidrant"/>
        <w:rPr>
          <w:noProof/>
        </w:rPr>
      </w:pPr>
      <w:r>
        <w:lastRenderedPageBreak/>
        <w:t>(6)</w:t>
      </w:r>
      <w:r>
        <w:tab/>
      </w:r>
      <w:r>
        <w:rPr>
          <w:noProof/>
        </w:rPr>
        <w:t>Para certos produtos enumerados no anexo do Regulamento (UE) n.º 1387/2013, a classificação na Nomenclatura Combinada (NC) foi alterada. A indicação dos códigos NC e das subposições TARIC aplicáveis a esses produtos deve, por conseguinte, ser alterada.</w:t>
      </w:r>
    </w:p>
    <w:p>
      <w:pPr>
        <w:pStyle w:val="ManualConsidrant"/>
        <w:rPr>
          <w:noProof/>
        </w:rPr>
      </w:pPr>
      <w:r>
        <w:t>(7)</w:t>
      </w:r>
      <w:r>
        <w:tab/>
      </w:r>
      <w:r>
        <w:rPr>
          <w:noProof/>
        </w:rPr>
        <w:t>Deixou de ser do interesse da União manter certas suspensões dos direitos autónomos da PAC constantes do anexo do Regulamento (UE) n.º 1387/2013. Por conseguinte, essas suspensões devem ser retiradas. Além disso, em conformidade com a Comunicação da Comissão sobre as suspensões e os contingentes pautais autónomos</w:t>
      </w:r>
      <w:r>
        <w:rPr>
          <w:rStyle w:val="FootnoteReference"/>
          <w:noProof/>
        </w:rPr>
        <w:footnoteReference w:id="5"/>
      </w:r>
      <w:r>
        <w:rPr>
          <w:noProof/>
        </w:rPr>
        <w:t>, por razões práticas, os pedidos de suspensões ou contingentes pautais não podem ser considerados quando o cálculo do montante de direitos aduaneiros não cobrados for inferior a 15 000 EUR por ano. Decorre do exame obrigatório das suspensões em vigor que as importações de produtos sujeitos a 70 suspensões constantes do anexo do Regulamento (UE) n.º 1387/2013 não atingem esse limiar. Por conseguinte, essas suspensões devem ser retiradas. Adicionalmente, devem ser retiradas outras três suspensões na sequência da aplicação do acordo sob a forma da Declaração sobre a Expansão do Comércio de Produtos das Tecnologias da Informação</w:t>
      </w:r>
      <w:r>
        <w:rPr>
          <w:rStyle w:val="FootnoteReference"/>
          <w:noProof/>
        </w:rPr>
        <w:footnoteReference w:id="6"/>
      </w:r>
      <w:r>
        <w:rPr>
          <w:noProof/>
        </w:rPr>
        <w:t>, que reduziu a zero a taxa do direito para os produtos em causa.</w:t>
      </w:r>
    </w:p>
    <w:p>
      <w:pPr>
        <w:pStyle w:val="ManualConsidrant"/>
        <w:rPr>
          <w:noProof/>
        </w:rPr>
      </w:pPr>
      <w:r>
        <w:t>(8)</w:t>
      </w:r>
      <w:r>
        <w:tab/>
      </w:r>
      <w:r>
        <w:rPr>
          <w:noProof/>
        </w:rPr>
        <w:t>É conveniente criar um número de série único para cada suspensão, a fim de permitir uma melhor identificação das suspensões enumeradas no anexo do Regulamento (UE) n.º 1387/2013.</w:t>
      </w:r>
    </w:p>
    <w:p>
      <w:pPr>
        <w:pStyle w:val="ManualConsidrant"/>
        <w:rPr>
          <w:noProof/>
        </w:rPr>
      </w:pPr>
      <w:r>
        <w:t>(9)</w:t>
      </w:r>
      <w:r>
        <w:tab/>
      </w:r>
      <w:r>
        <w:rPr>
          <w:noProof/>
        </w:rPr>
        <w:t>Tendo em conta o número de alterações a introduzir e por motivos de clareza, o anexo do Regulamento (UE) n.º 1387/2013 deve ser substituído.</w:t>
      </w:r>
    </w:p>
    <w:p>
      <w:pPr>
        <w:pStyle w:val="ManualConsidrant"/>
        <w:rPr>
          <w:noProof/>
        </w:rPr>
      </w:pPr>
      <w:r>
        <w:t>(10)</w:t>
      </w:r>
      <w:r>
        <w:tab/>
      </w:r>
      <w:r>
        <w:rPr>
          <w:noProof/>
        </w:rPr>
        <w:t>O Regulamento (UE) n.º 1387/2013 deve, por conseguinte, ser alterado em conformidade.</w:t>
      </w:r>
    </w:p>
    <w:p>
      <w:pPr>
        <w:pStyle w:val="ManualConsidrant"/>
        <w:rPr>
          <w:noProof/>
        </w:rPr>
      </w:pPr>
      <w:r>
        <w:t>(11)</w:t>
      </w:r>
      <w:r>
        <w:tab/>
      </w:r>
      <w:r>
        <w:rPr>
          <w:noProof/>
        </w:rPr>
        <w:t>A fim de evitar uma interrupção do regime de aplicação das suspensões autónomas e cumprir as orientações estabelecidas na Comunicação sobre as suspensões e os contingentes pautais autónomos, as alterações previstas no presente regulamento relativas às suspensões para os produtos em causa devem ser aplicadas a partir de 1 de janeiro de 2020. Por conseguinte, o presente regulamento deve entrar em vigor com caráter de urgência,</w:t>
      </w:r>
    </w:p>
    <w:p>
      <w:pPr>
        <w:pStyle w:val="Formuledadoption"/>
        <w:rPr>
          <w:noProof/>
        </w:rPr>
      </w:pPr>
      <w:r>
        <w:rPr>
          <w:noProof/>
        </w:rPr>
        <w:t>ADOTOU O PRESENTE REGULAMENTO:</w:t>
      </w:r>
    </w:p>
    <w:p>
      <w:pPr>
        <w:pStyle w:val="Titrearticle"/>
        <w:rPr>
          <w:noProof/>
        </w:rPr>
      </w:pPr>
      <w:r>
        <w:rPr>
          <w:noProof/>
        </w:rPr>
        <w:t>Artigo 1.º</w:t>
      </w:r>
    </w:p>
    <w:p>
      <w:pPr>
        <w:rPr>
          <w:noProof/>
        </w:rPr>
      </w:pPr>
      <w:r>
        <w:rPr>
          <w:noProof/>
        </w:rPr>
        <w:t>O anexo do Regulamento (UE) n.º 1387/2013 é substituído pelo texto que consta do anexo do presente regulamento.</w:t>
      </w:r>
    </w:p>
    <w:p>
      <w:pPr>
        <w:pStyle w:val="Titrearticle"/>
        <w:rPr>
          <w:noProof/>
        </w:rPr>
      </w:pPr>
      <w:r>
        <w:rPr>
          <w:noProof/>
        </w:rPr>
        <w:t>Artigo 2.º</w:t>
      </w:r>
    </w:p>
    <w:p>
      <w:pPr>
        <w:rPr>
          <w:noProof/>
        </w:rPr>
      </w:pPr>
      <w:r>
        <w:rPr>
          <w:noProof/>
        </w:rPr>
        <w:t xml:space="preserve">O presente regulamento entra em vigor no dia seguinte ao da sua publicação no </w:t>
      </w:r>
      <w:r>
        <w:rPr>
          <w:i/>
          <w:noProof/>
        </w:rPr>
        <w:t>Jornal Oficial da União Europeia</w:t>
      </w:r>
      <w:r>
        <w:rPr>
          <w:noProof/>
        </w:rPr>
        <w:t xml:space="preserve">. </w:t>
      </w:r>
    </w:p>
    <w:p>
      <w:pPr>
        <w:rPr>
          <w:noProof/>
        </w:rPr>
      </w:pPr>
      <w:r>
        <w:rPr>
          <w:noProof/>
        </w:rPr>
        <w:t>O presente regulamento é aplicável a partir de 1 de janeiro de 2020.</w:t>
      </w:r>
    </w:p>
    <w:p>
      <w:pPr>
        <w:pStyle w:val="Applicationdirecte"/>
        <w:rPr>
          <w:noProof/>
        </w:rPr>
      </w:pPr>
      <w:r>
        <w:rPr>
          <w:noProof/>
        </w:rPr>
        <w:lastRenderedPageBreak/>
        <w:t>O presente regulamento é obrigatório em todos os seus elementos e diretamente aplicável em todos os Estados-Membros.</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FICHA FINANCEIRA LEGISLATIVA</w:t>
      </w:r>
    </w:p>
    <w:p>
      <w:pPr>
        <w:pStyle w:val="ManualHeading1"/>
        <w:rPr>
          <w:bCs/>
          <w:noProof/>
          <w:szCs w:val="24"/>
        </w:rPr>
      </w:pPr>
      <w:r>
        <w:t>1.</w:t>
      </w:r>
      <w:r>
        <w:tab/>
      </w:r>
      <w:r>
        <w:rPr>
          <w:noProof/>
        </w:rPr>
        <w:t>1. DENOMINAÇÃO DA PROPOSTA:</w:t>
      </w:r>
    </w:p>
    <w:p>
      <w:pPr>
        <w:pStyle w:val="Text1"/>
        <w:rPr>
          <w:noProof/>
        </w:rPr>
      </w:pPr>
      <w:r>
        <w:rPr>
          <w:noProof/>
        </w:rPr>
        <w:t>Regulamento do Conselho que altera o Regulamento (UE) n.º 1387/2013 que suspende os direitos autónomos da pauta aduaneira comum para certos produtos agrícolas e industriais</w:t>
      </w:r>
    </w:p>
    <w:p>
      <w:pPr>
        <w:pStyle w:val="ManualHeading1"/>
        <w:rPr>
          <w:noProof/>
          <w:szCs w:val="24"/>
        </w:rPr>
      </w:pPr>
      <w:r>
        <w:t>2.</w:t>
      </w:r>
      <w:r>
        <w:tab/>
      </w:r>
      <w:r>
        <w:rPr>
          <w:noProof/>
        </w:rPr>
        <w:t>RUBRICAS ORÇAMENTAIS:</w:t>
      </w:r>
    </w:p>
    <w:p>
      <w:pPr>
        <w:pStyle w:val="Text1"/>
        <w:rPr>
          <w:noProof/>
        </w:rPr>
      </w:pPr>
      <w:r>
        <w:rPr>
          <w:noProof/>
        </w:rPr>
        <w:t>Capítulo e artigo: capítulo 12, artigo 120.º</w:t>
      </w:r>
    </w:p>
    <w:p>
      <w:pPr>
        <w:pStyle w:val="Text1"/>
        <w:rPr>
          <w:noProof/>
        </w:rPr>
      </w:pPr>
      <w:r>
        <w:rPr>
          <w:noProof/>
        </w:rPr>
        <w:t>Montante inscrito no orçamento para o exercício de 2020: 22 156 900 000 EUR</w:t>
      </w:r>
    </w:p>
    <w:p>
      <w:pPr>
        <w:pStyle w:val="ManualHeading1"/>
        <w:rPr>
          <w:bCs/>
          <w:noProof/>
          <w:szCs w:val="24"/>
        </w:rPr>
      </w:pPr>
      <w:r>
        <w:t>3.</w:t>
      </w:r>
      <w:r>
        <w:tab/>
      </w:r>
      <w:r>
        <w:rPr>
          <w:noProof/>
        </w:rPr>
        <w:t>INCIDÊNCIA FINANCEIRA</w:t>
      </w:r>
    </w:p>
    <w:p>
      <w:pPr>
        <w:pStyle w:val="Text1"/>
        <w:rPr>
          <w:noProof/>
        </w:rPr>
      </w:pPr>
      <w:r>
        <w:rPr>
          <w:noProof/>
        </w:rPr>
        <w:sym w:font="Wingdings" w:char="F0A8"/>
      </w:r>
      <w:r>
        <w:rPr>
          <w:noProof/>
        </w:rPr>
        <w:tab/>
        <w:t>A proposta não tem incidência financeira.</w:t>
      </w:r>
    </w:p>
    <w:p>
      <w:pPr>
        <w:pStyle w:val="Text1"/>
        <w:rPr>
          <w:noProof/>
        </w:rPr>
      </w:pPr>
      <w:r>
        <w:rPr>
          <w:noProof/>
        </w:rPr>
        <w:t>X A proposta não tem incidência financeira nas despesas, embora a tenha nas receitas - o efeito é o seguinte:</w:t>
      </w:r>
    </w:p>
    <w:p>
      <w:pPr>
        <w:jc w:val="right"/>
        <w:rPr>
          <w:noProof/>
        </w:rPr>
      </w:pPr>
      <w:r>
        <w:rPr>
          <w:noProof/>
        </w:rPr>
        <w:t>(em milhões de EUR, com uma casa decimal</w:t>
      </w:r>
      <w:r>
        <w:rPr>
          <w:rStyle w:val="FootnoteReference"/>
          <w:noProof/>
        </w:rPr>
        <w:footnoteReference w:id="7"/>
      </w:r>
      <w:r>
        <w:rPr>
          <w:noProof/>
        </w:rPr>
        <w:t>)</w:t>
      </w: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2"/>
        <w:gridCol w:w="2880"/>
        <w:gridCol w:w="2070"/>
        <w:gridCol w:w="2070"/>
      </w:tblGrid>
      <w:tr>
        <w:trPr>
          <w:gridAfter w:val="2"/>
          <w:wAfter w:w="4140" w:type="dxa"/>
          <w:cantSplit/>
        </w:trPr>
        <w:tc>
          <w:tcPr>
            <w:tcW w:w="1322" w:type="dxa"/>
          </w:tcPr>
          <w:p>
            <w:pPr>
              <w:spacing w:before="0" w:after="0"/>
              <w:jc w:val="left"/>
              <w:rPr>
                <w:noProof/>
                <w:snapToGrid w:val="0"/>
                <w:sz w:val="18"/>
              </w:rPr>
            </w:pPr>
          </w:p>
        </w:tc>
        <w:tc>
          <w:tcPr>
            <w:tcW w:w="2880" w:type="dxa"/>
          </w:tcPr>
          <w:p>
            <w:pPr>
              <w:spacing w:before="0" w:after="0"/>
              <w:jc w:val="left"/>
              <w:rPr>
                <w:noProof/>
                <w:snapToGrid w:val="0"/>
                <w:sz w:val="18"/>
              </w:rPr>
            </w:pPr>
          </w:p>
        </w:tc>
      </w:tr>
      <w:tr>
        <w:trPr>
          <w:cantSplit/>
        </w:trPr>
        <w:tc>
          <w:tcPr>
            <w:tcW w:w="1322" w:type="dxa"/>
          </w:tcPr>
          <w:p>
            <w:pPr>
              <w:spacing w:before="0" w:after="0"/>
              <w:jc w:val="left"/>
              <w:rPr>
                <w:noProof/>
                <w:snapToGrid w:val="0"/>
              </w:rPr>
            </w:pPr>
            <w:r>
              <w:rPr>
                <w:noProof/>
                <w:sz w:val="22"/>
              </w:rPr>
              <w:t>Rubrica orçamental</w:t>
            </w:r>
          </w:p>
        </w:tc>
        <w:tc>
          <w:tcPr>
            <w:tcW w:w="2880" w:type="dxa"/>
          </w:tcPr>
          <w:p>
            <w:pPr>
              <w:spacing w:before="0" w:after="0"/>
              <w:jc w:val="center"/>
              <w:rPr>
                <w:noProof/>
                <w:snapToGrid w:val="0"/>
              </w:rPr>
            </w:pPr>
            <w:r>
              <w:rPr>
                <w:noProof/>
                <w:sz w:val="22"/>
              </w:rPr>
              <w:t>Receitas</w:t>
            </w:r>
            <w:r>
              <w:rPr>
                <w:rStyle w:val="FootnoteReference"/>
                <w:noProof/>
                <w:sz w:val="22"/>
              </w:rPr>
              <w:footnoteReference w:id="8"/>
            </w:r>
          </w:p>
          <w:p>
            <w:pPr>
              <w:spacing w:before="0" w:after="0"/>
              <w:jc w:val="center"/>
              <w:rPr>
                <w:noProof/>
                <w:snapToGrid w:val="0"/>
              </w:rPr>
            </w:pPr>
          </w:p>
        </w:tc>
        <w:tc>
          <w:tcPr>
            <w:tcW w:w="2070" w:type="dxa"/>
            <w:shd w:val="clear" w:color="auto" w:fill="auto"/>
          </w:tcPr>
          <w:p>
            <w:pPr>
              <w:spacing w:before="0" w:after="0"/>
              <w:jc w:val="center"/>
              <w:rPr>
                <w:noProof/>
                <w:snapToGrid w:val="0"/>
              </w:rPr>
            </w:pPr>
            <w:r>
              <w:rPr>
                <w:noProof/>
                <w:sz w:val="22"/>
              </w:rPr>
              <w:t>Período de 12 meses, com início em dd/mm/aaaa</w:t>
            </w:r>
          </w:p>
        </w:tc>
        <w:tc>
          <w:tcPr>
            <w:tcW w:w="2070" w:type="dxa"/>
            <w:shd w:val="clear" w:color="auto" w:fill="auto"/>
          </w:tcPr>
          <w:p>
            <w:pPr>
              <w:spacing w:before="0" w:after="0"/>
              <w:jc w:val="center"/>
              <w:rPr>
                <w:noProof/>
                <w:snapToGrid w:val="0"/>
              </w:rPr>
            </w:pPr>
            <w:r>
              <w:rPr>
                <w:noProof/>
                <w:sz w:val="22"/>
              </w:rPr>
              <w:t>[Ano: 2020]</w:t>
            </w:r>
          </w:p>
        </w:tc>
      </w:tr>
      <w:tr>
        <w:trPr>
          <w:cantSplit/>
        </w:trPr>
        <w:tc>
          <w:tcPr>
            <w:tcW w:w="1322" w:type="dxa"/>
            <w:shd w:val="clear" w:color="auto" w:fill="auto"/>
          </w:tcPr>
          <w:p>
            <w:pPr>
              <w:spacing w:before="0" w:after="0"/>
              <w:jc w:val="left"/>
              <w:rPr>
                <w:noProof/>
              </w:rPr>
            </w:pPr>
            <w:r>
              <w:rPr>
                <w:noProof/>
                <w:sz w:val="22"/>
              </w:rPr>
              <w:t xml:space="preserve">Artigo 120.º </w:t>
            </w:r>
          </w:p>
          <w:p>
            <w:pPr>
              <w:spacing w:before="0" w:after="0"/>
              <w:jc w:val="left"/>
              <w:rPr>
                <w:noProof/>
                <w:snapToGrid w:val="0"/>
              </w:rPr>
            </w:pPr>
          </w:p>
        </w:tc>
        <w:tc>
          <w:tcPr>
            <w:tcW w:w="2880" w:type="dxa"/>
          </w:tcPr>
          <w:p>
            <w:pPr>
              <w:spacing w:before="0" w:after="0"/>
              <w:jc w:val="left"/>
              <w:rPr>
                <w:i/>
                <w:noProof/>
                <w:snapToGrid w:val="0"/>
              </w:rPr>
            </w:pPr>
            <w:r>
              <w:rPr>
                <w:i/>
                <w:noProof/>
                <w:sz w:val="22"/>
              </w:rPr>
              <w:t>Incidência nos recursos próprios</w:t>
            </w:r>
          </w:p>
        </w:tc>
        <w:tc>
          <w:tcPr>
            <w:tcW w:w="2070" w:type="dxa"/>
            <w:shd w:val="clear" w:color="auto" w:fill="auto"/>
          </w:tcPr>
          <w:p>
            <w:pPr>
              <w:spacing w:before="0" w:after="0"/>
              <w:jc w:val="left"/>
              <w:rPr>
                <w:noProof/>
                <w:snapToGrid w:val="0"/>
              </w:rPr>
            </w:pPr>
            <w:r>
              <w:rPr>
                <w:noProof/>
                <w:sz w:val="22"/>
              </w:rPr>
              <w:t xml:space="preserve">      1/1/2020</w:t>
            </w:r>
          </w:p>
        </w:tc>
        <w:tc>
          <w:tcPr>
            <w:tcW w:w="2070" w:type="dxa"/>
            <w:shd w:val="clear" w:color="auto" w:fill="auto"/>
          </w:tcPr>
          <w:p>
            <w:pPr>
              <w:spacing w:before="0" w:after="0"/>
              <w:jc w:val="center"/>
              <w:rPr>
                <w:noProof/>
                <w:snapToGrid w:val="0"/>
              </w:rPr>
            </w:pPr>
            <w:r>
              <w:rPr>
                <w:noProof/>
                <w:sz w:val="22"/>
              </w:rPr>
              <w:t>-3,2</w:t>
            </w:r>
          </w:p>
        </w:tc>
      </w:tr>
    </w:tbl>
    <w:p>
      <w:pPr>
        <w:rPr>
          <w:b/>
          <w:i/>
          <w:noProof/>
          <w:snapToGrid w:val="0"/>
        </w:rPr>
      </w:pPr>
    </w:p>
    <w:tbl>
      <w:tblPr>
        <w:tblW w:w="8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
        <w:gridCol w:w="1321"/>
        <w:gridCol w:w="823"/>
        <w:gridCol w:w="2144"/>
        <w:gridCol w:w="4106"/>
      </w:tblGrid>
      <w:tr>
        <w:trPr>
          <w:gridBefore w:val="1"/>
          <w:wBefore w:w="6" w:type="dxa"/>
          <w:cantSplit/>
        </w:trPr>
        <w:tc>
          <w:tcPr>
            <w:tcW w:w="8394" w:type="dxa"/>
            <w:gridSpan w:val="4"/>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Situação após a ação</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[2020 – 2024]</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rPr>
                <w:noProof/>
                <w:szCs w:val="24"/>
              </w:rPr>
            </w:pPr>
            <w:r>
              <w:rPr>
                <w:noProof/>
                <w:sz w:val="22"/>
              </w:rPr>
              <w:t>Artigo 120.º</w:t>
            </w: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-3,2/ano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106" w:type="dxa"/>
        </w:trPr>
        <w:tc>
          <w:tcPr>
            <w:tcW w:w="21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c>
          <w:tcPr>
            <w:tcW w:w="21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r>
    </w:tbl>
    <w:p>
      <w:pPr>
        <w:pStyle w:val="Text1"/>
        <w:rPr>
          <w:noProof/>
        </w:rPr>
      </w:pPr>
      <w:r>
        <w:rPr>
          <w:noProof/>
        </w:rPr>
        <w:t>O anexo contém 78 novos produtos. Os direitos não cobrados correspondentes a estas suspensões, calculados com base nas projeções do Estado-Membro requerente para o período de 2018 a 2024, ascendem a 26,6 milhões de EUR por ano.</w:t>
      </w:r>
    </w:p>
    <w:p>
      <w:pPr>
        <w:pStyle w:val="Text1"/>
        <w:rPr>
          <w:noProof/>
        </w:rPr>
      </w:pPr>
      <w:r>
        <w:rPr>
          <w:noProof/>
        </w:rPr>
        <w:t>Com base nas estatísticas existentes para os anos anteriores, afigura-se, contudo, que este montante deve ser majorado por um fator médio, estimado em 1,8, a fim de ter em conta as importações para outros Estados-Membros que apliquem as mesmas suspensões. Isto significa uma perda de receitas por direitos não cobrados de cerca de 47,9 milhões de EUR por ano.</w:t>
      </w:r>
    </w:p>
    <w:p>
      <w:pPr>
        <w:pStyle w:val="Text1"/>
        <w:rPr>
          <w:noProof/>
        </w:rPr>
      </w:pPr>
      <w:r>
        <w:rPr>
          <w:noProof/>
        </w:rPr>
        <w:t xml:space="preserve">A taxa do direito zero para 19 suspensões existentes foi aumentada para 50 % do direito aplicável aos países terceiros, o que representa um aumento de 11,3 milhões de EUR dos direitos cobrados, estimados com base nas estatísticas de 2018.  </w:t>
      </w:r>
    </w:p>
    <w:p>
      <w:pPr>
        <w:pStyle w:val="Text1"/>
        <w:rPr>
          <w:noProof/>
        </w:rPr>
      </w:pPr>
      <w:r>
        <w:rPr>
          <w:noProof/>
        </w:rPr>
        <w:t>Foram suprimidos 84 produtos do anexo, na sequência do restabelecimento dos direitos aduaneiros, o que representa um aumento de 32,6 milhões de EUR dos direitos cobrados, estimados com base nas estatísticas de 2018.</w:t>
      </w:r>
    </w:p>
    <w:p>
      <w:pPr>
        <w:pStyle w:val="Text1"/>
        <w:rPr>
          <w:noProof/>
        </w:rPr>
      </w:pPr>
      <w:r>
        <w:rPr>
          <w:noProof/>
        </w:rPr>
        <w:t>Com base no que precede, o impacto da perda de receitas para o orçamento da UE resultante da aplicação do presente regulamento é estimado em 47,9 – 32,6 – 11,3 =  4 milhões de EUR (montante bruto, incluindo as despesas de cobrança) x 0,8 = 3,2 milhões de EUR por ano, para o período 1.1.2020 - 31.12.2024.</w:t>
      </w:r>
    </w:p>
    <w:p>
      <w:pPr>
        <w:pStyle w:val="ManualHeading1"/>
        <w:rPr>
          <w:bCs/>
          <w:noProof/>
          <w:szCs w:val="24"/>
        </w:rPr>
      </w:pPr>
      <w:r>
        <w:t>4.</w:t>
      </w:r>
      <w:r>
        <w:tab/>
      </w:r>
      <w:r>
        <w:rPr>
          <w:noProof/>
        </w:rPr>
        <w:t>MEDIDAS ANTIFRAUDE</w:t>
      </w:r>
    </w:p>
    <w:p>
      <w:pPr>
        <w:pStyle w:val="Text1"/>
        <w:rPr>
          <w:noProof/>
        </w:rPr>
      </w:pPr>
      <w:r>
        <w:rPr>
          <w:noProof/>
        </w:rPr>
        <w:t>Serão efetuados controlos sobre o destino final de alguns produtos abrangidos pelo presente regulamento do Conselho, em conformidade com o artigo 254.º do Regulamento (UE) n.º 952/2013 do Parlamento Europeu e do Conselho, de 9 de outubro de 2013, que estabelece o Código Aduaneiro da União.</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C 363 de 13.12.2011, p. 6.</w:t>
      </w:r>
    </w:p>
  </w:footnote>
  <w:footnote w:id="3">
    <w:p>
      <w:pPr>
        <w:pStyle w:val="FootnoteText"/>
      </w:pPr>
      <w:r>
        <w:rPr>
          <w:rStyle w:val="FootnoteReference"/>
        </w:rPr>
        <w:footnoteRef/>
      </w:r>
      <w:r>
        <w:tab/>
        <w:t>Regulamento (UE) n.º </w:t>
      </w:r>
      <w:r>
        <w:rPr>
          <w:rStyle w:val="highlight"/>
        </w:rPr>
        <w:t>1387/2013</w:t>
      </w:r>
      <w:r>
        <w:t xml:space="preserve"> do Conselho, de 17 de dezembro de 2013, que suspende os direitos autónomos da pauta aduaneira comum para certos produtos agrícolas e industriais e que revoga o Regulamento (UE) n.º 1344/2011 (JO L 354 de 28.12.2013, p. 201).</w:t>
      </w:r>
    </w:p>
  </w:footnote>
  <w:footnote w:id="4">
    <w:p>
      <w:pPr>
        <w:pStyle w:val="FootnoteText"/>
      </w:pPr>
      <w:r>
        <w:rPr>
          <w:rStyle w:val="FootnoteReference"/>
        </w:rPr>
        <w:footnoteRef/>
      </w:r>
      <w:r>
        <w:tab/>
        <w:t>COM(2018) 293 final.</w:t>
      </w:r>
    </w:p>
  </w:footnote>
  <w:footnote w:id="5">
    <w:p>
      <w:pPr>
        <w:pStyle w:val="FootnoteText"/>
      </w:pPr>
      <w:r>
        <w:rPr>
          <w:rStyle w:val="FootnoteReference"/>
        </w:rPr>
        <w:footnoteRef/>
      </w:r>
      <w:r>
        <w:tab/>
        <w:t>JO C 363 de 13.12.2011, p. 6.</w:t>
      </w:r>
    </w:p>
  </w:footnote>
  <w:footnote w:id="6">
    <w:p>
      <w:pPr>
        <w:pStyle w:val="FootnoteText"/>
      </w:pPr>
      <w:r>
        <w:rPr>
          <w:rStyle w:val="FootnoteReference"/>
        </w:rPr>
        <w:footnoteRef/>
      </w:r>
      <w:r>
        <w:tab/>
      </w:r>
      <w:hyperlink r:id="rId1" w:history="1">
        <w:r>
          <w:rPr>
            <w:rStyle w:val="Hyperlink"/>
            <w:szCs w:val="19"/>
            <w:u w:val="none"/>
            <w:shd w:val="clear" w:color="auto" w:fill="FFFFFF"/>
          </w:rPr>
          <w:t>JO L 161 de 18.6.2016, p. 4</w:t>
        </w:r>
      </w:hyperlink>
      <w:r>
        <w:rPr>
          <w:szCs w:val="19"/>
          <w:shd w:val="clear" w:color="auto" w:fill="FFFFFF"/>
        </w:rPr>
        <w:t>.</w:t>
      </w:r>
    </w:p>
  </w:footnote>
  <w:footnote w:id="7">
    <w:p>
      <w:pPr>
        <w:pStyle w:val="FootnoteText"/>
      </w:pPr>
      <w:r>
        <w:rPr>
          <w:rStyle w:val="FootnoteReference"/>
        </w:rPr>
        <w:footnoteRef/>
      </w:r>
      <w:r>
        <w:tab/>
        <w:t>Os montantes anuais devem corresponder a uma estimativa baseada na fórmula constante da secção 3, sendo apresentados com uma nota de rodapé que indica esse facto, por exemplo, «montante indicativo baseado na fórmula acordada». Para o ano inicial, o montante anual é normalmente pago sem redução ou proporcionalmente.</w:t>
      </w:r>
    </w:p>
  </w:footnote>
  <w:footnote w:id="8">
    <w:p>
      <w:pPr>
        <w:pStyle w:val="FootnoteText"/>
      </w:pPr>
      <w:r>
        <w:rPr>
          <w:rStyle w:val="FootnoteReference"/>
        </w:rPr>
        <w:footnoteRef/>
      </w:r>
      <w:r>
        <w:tab/>
        <w:t>No que diz respeito aos recursos próprios tradicionais (direitos agrícolas, quotizações sobre o açúcar e direitos aduaneiros), os montantes indicados devem ser valores líquidos, isto é, os montantes brutos deduzidos de 25 %, a título de despesas de cobrança.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059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D24B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52D1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65F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8ED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24"/>
    <w:lvlOverride w:ilvl="0">
      <w:startOverride w:val="1"/>
    </w:lvlOverride>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 w:numId="28">
    <w:abstractNumId w:val="18"/>
  </w:num>
  <w:num w:numId="29">
    <w:abstractNumId w:val="10"/>
  </w:num>
  <w:num w:numId="30">
    <w:abstractNumId w:val="21"/>
  </w:num>
  <w:num w:numId="31">
    <w:abstractNumId w:val="9"/>
  </w:num>
  <w:num w:numId="32">
    <w:abstractNumId w:val="11"/>
  </w:num>
  <w:num w:numId="33">
    <w:abstractNumId w:val="7"/>
  </w:num>
  <w:num w:numId="34">
    <w:abstractNumId w:val="20"/>
  </w:num>
  <w:num w:numId="35">
    <w:abstractNumId w:val="6"/>
  </w:num>
  <w:num w:numId="36">
    <w:abstractNumId w:val="12"/>
  </w:num>
  <w:num w:numId="37">
    <w:abstractNumId w:val="16"/>
  </w:num>
  <w:num w:numId="38">
    <w:abstractNumId w:val="17"/>
  </w:num>
  <w:num w:numId="39">
    <w:abstractNumId w:val="8"/>
  </w:num>
  <w:num w:numId="40">
    <w:abstractNumId w:val="15"/>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0 12:43: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2F5265D-F894-4DD3-9EFB-8363FECF1192"/>
    <w:docVar w:name="LW_COVERPAGE_TYPE" w:val="1"/>
    <w:docVar w:name="LW_CROSSREFERENCE" w:val="&lt;UNUSED&gt;"/>
    <w:docVar w:name="LW_DocType" w:val="COM"/>
    <w:docVar w:name="LW_EMISSION" w:val="21.11.2019"/>
    <w:docVar w:name="LW_EMISSION_ISODATE" w:val="2019-11-21"/>
    <w:docVar w:name="LW_EMISSION_LOCATION" w:val="BRX"/>
    <w:docVar w:name="LW_EMISSION_PREFIX" w:val="Bruxela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265"/>
    <w:docVar w:name="LW_REF.II.NEW.CP_YEAR" w:val="2019"/>
    <w:docVar w:name="LW_REF.INST.NEW" w:val="COM"/>
    <w:docVar w:name="LW_REF.INST.NEW_ADOPTED" w:val="final"/>
    <w:docVar w:name="LW_REF.INST.NEW_TEXT" w:val="(2019) 5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altera o Regulamento (UE) n.º 1387/2013 que suspende os direitos autónomos da pauta aduaneira comum para certos produtos agrícolas e industriais"/>
    <w:docVar w:name="LW_TYPE.DOC.CP" w:val="REGULAMENT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lang w:eastAsia="en-GB"/>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lang w:eastAsia="en-GB"/>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610">
      <w:bodyDiv w:val="1"/>
      <w:marLeft w:val="0"/>
      <w:marRight w:val="0"/>
      <w:marTop w:val="0"/>
      <w:marBottom w:val="0"/>
      <w:divBdr>
        <w:top w:val="none" w:sz="0" w:space="0" w:color="auto"/>
        <w:left w:val="none" w:sz="0" w:space="0" w:color="auto"/>
        <w:bottom w:val="none" w:sz="0" w:space="0" w:color="auto"/>
        <w:right w:val="none" w:sz="0" w:space="0" w:color="auto"/>
      </w:divBdr>
      <w:divsChild>
        <w:div w:id="870608553">
          <w:marLeft w:val="0"/>
          <w:marRight w:val="0"/>
          <w:marTop w:val="0"/>
          <w:marBottom w:val="0"/>
          <w:divBdr>
            <w:top w:val="none" w:sz="0" w:space="0" w:color="auto"/>
            <w:left w:val="none" w:sz="0" w:space="0" w:color="auto"/>
            <w:bottom w:val="none" w:sz="0" w:space="0" w:color="auto"/>
            <w:right w:val="none" w:sz="0" w:space="0" w:color="auto"/>
          </w:divBdr>
          <w:divsChild>
            <w:div w:id="469858113">
              <w:marLeft w:val="0"/>
              <w:marRight w:val="0"/>
              <w:marTop w:val="0"/>
              <w:marBottom w:val="0"/>
              <w:divBdr>
                <w:top w:val="none" w:sz="0" w:space="0" w:color="auto"/>
                <w:left w:val="none" w:sz="0" w:space="0" w:color="auto"/>
                <w:bottom w:val="none" w:sz="0" w:space="0" w:color="auto"/>
                <w:right w:val="none" w:sz="0" w:space="0" w:color="auto"/>
              </w:divBdr>
              <w:divsChild>
                <w:div w:id="348458442">
                  <w:marLeft w:val="0"/>
                  <w:marRight w:val="0"/>
                  <w:marTop w:val="0"/>
                  <w:marBottom w:val="0"/>
                  <w:divBdr>
                    <w:top w:val="none" w:sz="0" w:space="0" w:color="auto"/>
                    <w:left w:val="none" w:sz="0" w:space="0" w:color="auto"/>
                    <w:bottom w:val="none" w:sz="0" w:space="0" w:color="auto"/>
                    <w:right w:val="none" w:sz="0" w:space="0" w:color="auto"/>
                  </w:divBdr>
                  <w:divsChild>
                    <w:div w:id="1439835553">
                      <w:marLeft w:val="1"/>
                      <w:marRight w:val="1"/>
                      <w:marTop w:val="0"/>
                      <w:marBottom w:val="0"/>
                      <w:divBdr>
                        <w:top w:val="none" w:sz="0" w:space="0" w:color="auto"/>
                        <w:left w:val="none" w:sz="0" w:space="0" w:color="auto"/>
                        <w:bottom w:val="none" w:sz="0" w:space="0" w:color="auto"/>
                        <w:right w:val="none" w:sz="0" w:space="0" w:color="auto"/>
                      </w:divBdr>
                      <w:divsChild>
                        <w:div w:id="1596787558">
                          <w:marLeft w:val="0"/>
                          <w:marRight w:val="0"/>
                          <w:marTop w:val="0"/>
                          <w:marBottom w:val="0"/>
                          <w:divBdr>
                            <w:top w:val="none" w:sz="0" w:space="0" w:color="auto"/>
                            <w:left w:val="none" w:sz="0" w:space="0" w:color="auto"/>
                            <w:bottom w:val="none" w:sz="0" w:space="0" w:color="auto"/>
                            <w:right w:val="none" w:sz="0" w:space="0" w:color="auto"/>
                          </w:divBdr>
                          <w:divsChild>
                            <w:div w:id="1005090943">
                              <w:marLeft w:val="0"/>
                              <w:marRight w:val="0"/>
                              <w:marTop w:val="0"/>
                              <w:marBottom w:val="360"/>
                              <w:divBdr>
                                <w:top w:val="none" w:sz="0" w:space="0" w:color="auto"/>
                                <w:left w:val="none" w:sz="0" w:space="0" w:color="auto"/>
                                <w:bottom w:val="none" w:sz="0" w:space="0" w:color="auto"/>
                                <w:right w:val="none" w:sz="0" w:space="0" w:color="auto"/>
                              </w:divBdr>
                              <w:divsChild>
                                <w:div w:id="956060776">
                                  <w:marLeft w:val="0"/>
                                  <w:marRight w:val="0"/>
                                  <w:marTop w:val="0"/>
                                  <w:marBottom w:val="0"/>
                                  <w:divBdr>
                                    <w:top w:val="none" w:sz="0" w:space="0" w:color="auto"/>
                                    <w:left w:val="none" w:sz="0" w:space="0" w:color="auto"/>
                                    <w:bottom w:val="none" w:sz="0" w:space="0" w:color="auto"/>
                                    <w:right w:val="none" w:sz="0" w:space="0" w:color="auto"/>
                                  </w:divBdr>
                                  <w:divsChild>
                                    <w:div w:id="992880060">
                                      <w:marLeft w:val="0"/>
                                      <w:marRight w:val="0"/>
                                      <w:marTop w:val="0"/>
                                      <w:marBottom w:val="0"/>
                                      <w:divBdr>
                                        <w:top w:val="none" w:sz="0" w:space="0" w:color="auto"/>
                                        <w:left w:val="none" w:sz="0" w:space="0" w:color="auto"/>
                                        <w:bottom w:val="none" w:sz="0" w:space="0" w:color="auto"/>
                                        <w:right w:val="none" w:sz="0" w:space="0" w:color="auto"/>
                                      </w:divBdr>
                                      <w:divsChild>
                                        <w:div w:id="1032998542">
                                          <w:marLeft w:val="0"/>
                                          <w:marRight w:val="0"/>
                                          <w:marTop w:val="0"/>
                                          <w:marBottom w:val="0"/>
                                          <w:divBdr>
                                            <w:top w:val="none" w:sz="0" w:space="0" w:color="auto"/>
                                            <w:left w:val="none" w:sz="0" w:space="0" w:color="auto"/>
                                            <w:bottom w:val="none" w:sz="0" w:space="0" w:color="auto"/>
                                            <w:right w:val="none" w:sz="0" w:space="0" w:color="auto"/>
                                          </w:divBdr>
                                          <w:divsChild>
                                            <w:div w:id="567107782">
                                              <w:marLeft w:val="0"/>
                                              <w:marRight w:val="0"/>
                                              <w:marTop w:val="0"/>
                                              <w:marBottom w:val="0"/>
                                              <w:divBdr>
                                                <w:top w:val="none" w:sz="0" w:space="0" w:color="auto"/>
                                                <w:left w:val="none" w:sz="0" w:space="0" w:color="auto"/>
                                                <w:bottom w:val="none" w:sz="0" w:space="0" w:color="auto"/>
                                                <w:right w:val="none" w:sz="0" w:space="0" w:color="auto"/>
                                              </w:divBdr>
                                              <w:divsChild>
                                                <w:div w:id="65037580">
                                                  <w:marLeft w:val="0"/>
                                                  <w:marRight w:val="0"/>
                                                  <w:marTop w:val="0"/>
                                                  <w:marBottom w:val="0"/>
                                                  <w:divBdr>
                                                    <w:top w:val="none" w:sz="0" w:space="0" w:color="auto"/>
                                                    <w:left w:val="none" w:sz="0" w:space="0" w:color="auto"/>
                                                    <w:bottom w:val="none" w:sz="0" w:space="0" w:color="auto"/>
                                                    <w:right w:val="none" w:sz="0" w:space="0" w:color="auto"/>
                                                  </w:divBdr>
                                                  <w:divsChild>
                                                    <w:div w:id="616373303">
                                                      <w:marLeft w:val="0"/>
                                                      <w:marRight w:val="0"/>
                                                      <w:marTop w:val="0"/>
                                                      <w:marBottom w:val="0"/>
                                                      <w:divBdr>
                                                        <w:top w:val="none" w:sz="0" w:space="0" w:color="auto"/>
                                                        <w:left w:val="none" w:sz="0" w:space="0" w:color="auto"/>
                                                        <w:bottom w:val="none" w:sz="0" w:space="0" w:color="auto"/>
                                                        <w:right w:val="none" w:sz="0" w:space="0" w:color="auto"/>
                                                      </w:divBdr>
                                                      <w:divsChild>
                                                        <w:div w:id="1683358307">
                                                          <w:marLeft w:val="0"/>
                                                          <w:marRight w:val="0"/>
                                                          <w:marTop w:val="0"/>
                                                          <w:marBottom w:val="0"/>
                                                          <w:divBdr>
                                                            <w:top w:val="none" w:sz="0" w:space="0" w:color="auto"/>
                                                            <w:left w:val="none" w:sz="0" w:space="0" w:color="auto"/>
                                                            <w:bottom w:val="none" w:sz="0" w:space="0" w:color="auto"/>
                                                            <w:right w:val="none" w:sz="0" w:space="0" w:color="auto"/>
                                                          </w:divBdr>
                                                          <w:divsChild>
                                                            <w:div w:id="1570731546">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40443003">
      <w:bodyDiv w:val="1"/>
      <w:marLeft w:val="0"/>
      <w:marRight w:val="0"/>
      <w:marTop w:val="0"/>
      <w:marBottom w:val="0"/>
      <w:divBdr>
        <w:top w:val="none" w:sz="0" w:space="0" w:color="auto"/>
        <w:left w:val="none" w:sz="0" w:space="0" w:color="auto"/>
        <w:bottom w:val="none" w:sz="0" w:space="0" w:color="auto"/>
        <w:right w:val="none" w:sz="0" w:space="0" w:color="auto"/>
      </w:divBdr>
      <w:divsChild>
        <w:div w:id="123617481">
          <w:marLeft w:val="0"/>
          <w:marRight w:val="0"/>
          <w:marTop w:val="0"/>
          <w:marBottom w:val="0"/>
          <w:divBdr>
            <w:top w:val="none" w:sz="0" w:space="0" w:color="auto"/>
            <w:left w:val="none" w:sz="0" w:space="0" w:color="auto"/>
            <w:bottom w:val="none" w:sz="0" w:space="0" w:color="auto"/>
            <w:right w:val="none" w:sz="0" w:space="0" w:color="auto"/>
          </w:divBdr>
          <w:divsChild>
            <w:div w:id="1642466502">
              <w:marLeft w:val="0"/>
              <w:marRight w:val="0"/>
              <w:marTop w:val="0"/>
              <w:marBottom w:val="0"/>
              <w:divBdr>
                <w:top w:val="none" w:sz="0" w:space="0" w:color="auto"/>
                <w:left w:val="none" w:sz="0" w:space="0" w:color="auto"/>
                <w:bottom w:val="none" w:sz="0" w:space="0" w:color="auto"/>
                <w:right w:val="none" w:sz="0" w:space="0" w:color="auto"/>
              </w:divBdr>
              <w:divsChild>
                <w:div w:id="207497411">
                  <w:marLeft w:val="0"/>
                  <w:marRight w:val="0"/>
                  <w:marTop w:val="0"/>
                  <w:marBottom w:val="0"/>
                  <w:divBdr>
                    <w:top w:val="none" w:sz="0" w:space="0" w:color="auto"/>
                    <w:left w:val="none" w:sz="0" w:space="0" w:color="auto"/>
                    <w:bottom w:val="none" w:sz="0" w:space="0" w:color="auto"/>
                    <w:right w:val="none" w:sz="0" w:space="0" w:color="auto"/>
                  </w:divBdr>
                  <w:divsChild>
                    <w:div w:id="1970740336">
                      <w:marLeft w:val="1"/>
                      <w:marRight w:val="1"/>
                      <w:marTop w:val="0"/>
                      <w:marBottom w:val="0"/>
                      <w:divBdr>
                        <w:top w:val="none" w:sz="0" w:space="0" w:color="auto"/>
                        <w:left w:val="none" w:sz="0" w:space="0" w:color="auto"/>
                        <w:bottom w:val="none" w:sz="0" w:space="0" w:color="auto"/>
                        <w:right w:val="none" w:sz="0" w:space="0" w:color="auto"/>
                      </w:divBdr>
                      <w:divsChild>
                        <w:div w:id="1484588182">
                          <w:marLeft w:val="0"/>
                          <w:marRight w:val="0"/>
                          <w:marTop w:val="0"/>
                          <w:marBottom w:val="0"/>
                          <w:divBdr>
                            <w:top w:val="none" w:sz="0" w:space="0" w:color="auto"/>
                            <w:left w:val="none" w:sz="0" w:space="0" w:color="auto"/>
                            <w:bottom w:val="none" w:sz="0" w:space="0" w:color="auto"/>
                            <w:right w:val="none" w:sz="0" w:space="0" w:color="auto"/>
                          </w:divBdr>
                          <w:divsChild>
                            <w:div w:id="1671788007">
                              <w:marLeft w:val="0"/>
                              <w:marRight w:val="0"/>
                              <w:marTop w:val="0"/>
                              <w:marBottom w:val="360"/>
                              <w:divBdr>
                                <w:top w:val="none" w:sz="0" w:space="0" w:color="auto"/>
                                <w:left w:val="none" w:sz="0" w:space="0" w:color="auto"/>
                                <w:bottom w:val="none" w:sz="0" w:space="0" w:color="auto"/>
                                <w:right w:val="none" w:sz="0" w:space="0" w:color="auto"/>
                              </w:divBdr>
                              <w:divsChild>
                                <w:div w:id="1934238648">
                                  <w:marLeft w:val="0"/>
                                  <w:marRight w:val="0"/>
                                  <w:marTop w:val="0"/>
                                  <w:marBottom w:val="0"/>
                                  <w:divBdr>
                                    <w:top w:val="none" w:sz="0" w:space="0" w:color="auto"/>
                                    <w:left w:val="none" w:sz="0" w:space="0" w:color="auto"/>
                                    <w:bottom w:val="none" w:sz="0" w:space="0" w:color="auto"/>
                                    <w:right w:val="none" w:sz="0" w:space="0" w:color="auto"/>
                                  </w:divBdr>
                                  <w:divsChild>
                                    <w:div w:id="840438064">
                                      <w:marLeft w:val="0"/>
                                      <w:marRight w:val="0"/>
                                      <w:marTop w:val="0"/>
                                      <w:marBottom w:val="0"/>
                                      <w:divBdr>
                                        <w:top w:val="none" w:sz="0" w:space="0" w:color="auto"/>
                                        <w:left w:val="none" w:sz="0" w:space="0" w:color="auto"/>
                                        <w:bottom w:val="none" w:sz="0" w:space="0" w:color="auto"/>
                                        <w:right w:val="none" w:sz="0" w:space="0" w:color="auto"/>
                                      </w:divBdr>
                                      <w:divsChild>
                                        <w:div w:id="279192780">
                                          <w:marLeft w:val="0"/>
                                          <w:marRight w:val="0"/>
                                          <w:marTop w:val="0"/>
                                          <w:marBottom w:val="0"/>
                                          <w:divBdr>
                                            <w:top w:val="none" w:sz="0" w:space="0" w:color="auto"/>
                                            <w:left w:val="none" w:sz="0" w:space="0" w:color="auto"/>
                                            <w:bottom w:val="none" w:sz="0" w:space="0" w:color="auto"/>
                                            <w:right w:val="none" w:sz="0" w:space="0" w:color="auto"/>
                                          </w:divBdr>
                                          <w:divsChild>
                                            <w:div w:id="951741341">
                                              <w:marLeft w:val="0"/>
                                              <w:marRight w:val="0"/>
                                              <w:marTop w:val="0"/>
                                              <w:marBottom w:val="0"/>
                                              <w:divBdr>
                                                <w:top w:val="none" w:sz="0" w:space="0" w:color="auto"/>
                                                <w:left w:val="none" w:sz="0" w:space="0" w:color="auto"/>
                                                <w:bottom w:val="none" w:sz="0" w:space="0" w:color="auto"/>
                                                <w:right w:val="none" w:sz="0" w:space="0" w:color="auto"/>
                                              </w:divBdr>
                                              <w:divsChild>
                                                <w:div w:id="1320186085">
                                                  <w:marLeft w:val="0"/>
                                                  <w:marRight w:val="0"/>
                                                  <w:marTop w:val="0"/>
                                                  <w:marBottom w:val="0"/>
                                                  <w:divBdr>
                                                    <w:top w:val="none" w:sz="0" w:space="0" w:color="auto"/>
                                                    <w:left w:val="none" w:sz="0" w:space="0" w:color="auto"/>
                                                    <w:bottom w:val="none" w:sz="0" w:space="0" w:color="auto"/>
                                                    <w:right w:val="none" w:sz="0" w:space="0" w:color="auto"/>
                                                  </w:divBdr>
                                                  <w:divsChild>
                                                    <w:div w:id="292829287">
                                                      <w:marLeft w:val="0"/>
                                                      <w:marRight w:val="0"/>
                                                      <w:marTop w:val="0"/>
                                                      <w:marBottom w:val="0"/>
                                                      <w:divBdr>
                                                        <w:top w:val="none" w:sz="0" w:space="0" w:color="auto"/>
                                                        <w:left w:val="none" w:sz="0" w:space="0" w:color="auto"/>
                                                        <w:bottom w:val="none" w:sz="0" w:space="0" w:color="auto"/>
                                                        <w:right w:val="none" w:sz="0" w:space="0" w:color="auto"/>
                                                      </w:divBdr>
                                                      <w:divsChild>
                                                        <w:div w:id="1982688315">
                                                          <w:marLeft w:val="0"/>
                                                          <w:marRight w:val="0"/>
                                                          <w:marTop w:val="0"/>
                                                          <w:marBottom w:val="0"/>
                                                          <w:divBdr>
                                                            <w:top w:val="none" w:sz="0" w:space="0" w:color="auto"/>
                                                            <w:left w:val="none" w:sz="0" w:space="0" w:color="auto"/>
                                                            <w:bottom w:val="none" w:sz="0" w:space="0" w:color="auto"/>
                                                            <w:right w:val="none" w:sz="0" w:space="0" w:color="auto"/>
                                                          </w:divBdr>
                                                        </w:div>
                                                        <w:div w:id="7575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11197">
      <w:bodyDiv w:val="1"/>
      <w:marLeft w:val="0"/>
      <w:marRight w:val="0"/>
      <w:marTop w:val="0"/>
      <w:marBottom w:val="0"/>
      <w:divBdr>
        <w:top w:val="none" w:sz="0" w:space="0" w:color="auto"/>
        <w:left w:val="none" w:sz="0" w:space="0" w:color="auto"/>
        <w:bottom w:val="none" w:sz="0" w:space="0" w:color="auto"/>
        <w:right w:val="none" w:sz="0" w:space="0" w:color="auto"/>
      </w:divBdr>
      <w:divsChild>
        <w:div w:id="1594318115">
          <w:marLeft w:val="0"/>
          <w:marRight w:val="0"/>
          <w:marTop w:val="0"/>
          <w:marBottom w:val="0"/>
          <w:divBdr>
            <w:top w:val="none" w:sz="0" w:space="0" w:color="auto"/>
            <w:left w:val="none" w:sz="0" w:space="0" w:color="auto"/>
            <w:bottom w:val="none" w:sz="0" w:space="0" w:color="auto"/>
            <w:right w:val="none" w:sz="0" w:space="0" w:color="auto"/>
          </w:divBdr>
          <w:divsChild>
            <w:div w:id="541328176">
              <w:marLeft w:val="0"/>
              <w:marRight w:val="0"/>
              <w:marTop w:val="0"/>
              <w:marBottom w:val="0"/>
              <w:divBdr>
                <w:top w:val="none" w:sz="0" w:space="0" w:color="auto"/>
                <w:left w:val="none" w:sz="0" w:space="0" w:color="auto"/>
                <w:bottom w:val="none" w:sz="0" w:space="0" w:color="auto"/>
                <w:right w:val="none" w:sz="0" w:space="0" w:color="auto"/>
              </w:divBdr>
              <w:divsChild>
                <w:div w:id="588656507">
                  <w:marLeft w:val="0"/>
                  <w:marRight w:val="0"/>
                  <w:marTop w:val="0"/>
                  <w:marBottom w:val="0"/>
                  <w:divBdr>
                    <w:top w:val="none" w:sz="0" w:space="0" w:color="auto"/>
                    <w:left w:val="none" w:sz="0" w:space="0" w:color="auto"/>
                    <w:bottom w:val="none" w:sz="0" w:space="0" w:color="auto"/>
                    <w:right w:val="none" w:sz="0" w:space="0" w:color="auto"/>
                  </w:divBdr>
                  <w:divsChild>
                    <w:div w:id="290136567">
                      <w:marLeft w:val="1"/>
                      <w:marRight w:val="1"/>
                      <w:marTop w:val="0"/>
                      <w:marBottom w:val="0"/>
                      <w:divBdr>
                        <w:top w:val="none" w:sz="0" w:space="0" w:color="auto"/>
                        <w:left w:val="none" w:sz="0" w:space="0" w:color="auto"/>
                        <w:bottom w:val="none" w:sz="0" w:space="0" w:color="auto"/>
                        <w:right w:val="none" w:sz="0" w:space="0" w:color="auto"/>
                      </w:divBdr>
                      <w:divsChild>
                        <w:div w:id="1376393091">
                          <w:marLeft w:val="0"/>
                          <w:marRight w:val="0"/>
                          <w:marTop w:val="0"/>
                          <w:marBottom w:val="0"/>
                          <w:divBdr>
                            <w:top w:val="none" w:sz="0" w:space="0" w:color="auto"/>
                            <w:left w:val="none" w:sz="0" w:space="0" w:color="auto"/>
                            <w:bottom w:val="none" w:sz="0" w:space="0" w:color="auto"/>
                            <w:right w:val="none" w:sz="0" w:space="0" w:color="auto"/>
                          </w:divBdr>
                          <w:divsChild>
                            <w:div w:id="208995554">
                              <w:marLeft w:val="0"/>
                              <w:marRight w:val="0"/>
                              <w:marTop w:val="0"/>
                              <w:marBottom w:val="360"/>
                              <w:divBdr>
                                <w:top w:val="none" w:sz="0" w:space="0" w:color="auto"/>
                                <w:left w:val="none" w:sz="0" w:space="0" w:color="auto"/>
                                <w:bottom w:val="none" w:sz="0" w:space="0" w:color="auto"/>
                                <w:right w:val="none" w:sz="0" w:space="0" w:color="auto"/>
                              </w:divBdr>
                              <w:divsChild>
                                <w:div w:id="1794209277">
                                  <w:marLeft w:val="0"/>
                                  <w:marRight w:val="0"/>
                                  <w:marTop w:val="0"/>
                                  <w:marBottom w:val="0"/>
                                  <w:divBdr>
                                    <w:top w:val="none" w:sz="0" w:space="0" w:color="auto"/>
                                    <w:left w:val="none" w:sz="0" w:space="0" w:color="auto"/>
                                    <w:bottom w:val="none" w:sz="0" w:space="0" w:color="auto"/>
                                    <w:right w:val="none" w:sz="0" w:space="0" w:color="auto"/>
                                  </w:divBdr>
                                  <w:divsChild>
                                    <w:div w:id="1839879867">
                                      <w:marLeft w:val="0"/>
                                      <w:marRight w:val="0"/>
                                      <w:marTop w:val="0"/>
                                      <w:marBottom w:val="0"/>
                                      <w:divBdr>
                                        <w:top w:val="none" w:sz="0" w:space="0" w:color="auto"/>
                                        <w:left w:val="none" w:sz="0" w:space="0" w:color="auto"/>
                                        <w:bottom w:val="none" w:sz="0" w:space="0" w:color="auto"/>
                                        <w:right w:val="none" w:sz="0" w:space="0" w:color="auto"/>
                                      </w:divBdr>
                                      <w:divsChild>
                                        <w:div w:id="1242986911">
                                          <w:marLeft w:val="0"/>
                                          <w:marRight w:val="0"/>
                                          <w:marTop w:val="0"/>
                                          <w:marBottom w:val="0"/>
                                          <w:divBdr>
                                            <w:top w:val="none" w:sz="0" w:space="0" w:color="auto"/>
                                            <w:left w:val="none" w:sz="0" w:space="0" w:color="auto"/>
                                            <w:bottom w:val="none" w:sz="0" w:space="0" w:color="auto"/>
                                            <w:right w:val="none" w:sz="0" w:space="0" w:color="auto"/>
                                          </w:divBdr>
                                          <w:divsChild>
                                            <w:div w:id="1938635632">
                                              <w:marLeft w:val="0"/>
                                              <w:marRight w:val="0"/>
                                              <w:marTop w:val="0"/>
                                              <w:marBottom w:val="0"/>
                                              <w:divBdr>
                                                <w:top w:val="none" w:sz="0" w:space="0" w:color="auto"/>
                                                <w:left w:val="none" w:sz="0" w:space="0" w:color="auto"/>
                                                <w:bottom w:val="none" w:sz="0" w:space="0" w:color="auto"/>
                                                <w:right w:val="none" w:sz="0" w:space="0" w:color="auto"/>
                                              </w:divBdr>
                                              <w:divsChild>
                                                <w:div w:id="125902049">
                                                  <w:marLeft w:val="0"/>
                                                  <w:marRight w:val="0"/>
                                                  <w:marTop w:val="0"/>
                                                  <w:marBottom w:val="0"/>
                                                  <w:divBdr>
                                                    <w:top w:val="none" w:sz="0" w:space="0" w:color="auto"/>
                                                    <w:left w:val="none" w:sz="0" w:space="0" w:color="auto"/>
                                                    <w:bottom w:val="none" w:sz="0" w:space="0" w:color="auto"/>
                                                    <w:right w:val="none" w:sz="0" w:space="0" w:color="auto"/>
                                                  </w:divBdr>
                                                  <w:divsChild>
                                                    <w:div w:id="2111121257">
                                                      <w:marLeft w:val="0"/>
                                                      <w:marRight w:val="0"/>
                                                      <w:marTop w:val="0"/>
                                                      <w:marBottom w:val="0"/>
                                                      <w:divBdr>
                                                        <w:top w:val="none" w:sz="0" w:space="0" w:color="auto"/>
                                                        <w:left w:val="none" w:sz="0" w:space="0" w:color="auto"/>
                                                        <w:bottom w:val="none" w:sz="0" w:space="0" w:color="auto"/>
                                                        <w:right w:val="none" w:sz="0" w:space="0" w:color="auto"/>
                                                      </w:divBdr>
                                                      <w:divsChild>
                                                        <w:div w:id="1627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665751">
      <w:bodyDiv w:val="1"/>
      <w:marLeft w:val="0"/>
      <w:marRight w:val="0"/>
      <w:marTop w:val="0"/>
      <w:marBottom w:val="0"/>
      <w:divBdr>
        <w:top w:val="none" w:sz="0" w:space="0" w:color="auto"/>
        <w:left w:val="none" w:sz="0" w:space="0" w:color="auto"/>
        <w:bottom w:val="none" w:sz="0" w:space="0" w:color="auto"/>
        <w:right w:val="none" w:sz="0" w:space="0" w:color="auto"/>
      </w:divBdr>
    </w:div>
    <w:div w:id="969091523">
      <w:bodyDiv w:val="1"/>
      <w:marLeft w:val="0"/>
      <w:marRight w:val="0"/>
      <w:marTop w:val="0"/>
      <w:marBottom w:val="0"/>
      <w:divBdr>
        <w:top w:val="none" w:sz="0" w:space="0" w:color="auto"/>
        <w:left w:val="none" w:sz="0" w:space="0" w:color="auto"/>
        <w:bottom w:val="none" w:sz="0" w:space="0" w:color="auto"/>
        <w:right w:val="none" w:sz="0" w:space="0" w:color="auto"/>
      </w:divBdr>
      <w:divsChild>
        <w:div w:id="168251472">
          <w:marLeft w:val="0"/>
          <w:marRight w:val="0"/>
          <w:marTop w:val="0"/>
          <w:marBottom w:val="0"/>
          <w:divBdr>
            <w:top w:val="none" w:sz="0" w:space="0" w:color="auto"/>
            <w:left w:val="none" w:sz="0" w:space="0" w:color="auto"/>
            <w:bottom w:val="none" w:sz="0" w:space="0" w:color="auto"/>
            <w:right w:val="none" w:sz="0" w:space="0" w:color="auto"/>
          </w:divBdr>
          <w:divsChild>
            <w:div w:id="1723669543">
              <w:marLeft w:val="0"/>
              <w:marRight w:val="0"/>
              <w:marTop w:val="0"/>
              <w:marBottom w:val="0"/>
              <w:divBdr>
                <w:top w:val="none" w:sz="0" w:space="0" w:color="auto"/>
                <w:left w:val="none" w:sz="0" w:space="0" w:color="auto"/>
                <w:bottom w:val="none" w:sz="0" w:space="0" w:color="auto"/>
                <w:right w:val="none" w:sz="0" w:space="0" w:color="auto"/>
              </w:divBdr>
              <w:divsChild>
                <w:div w:id="1787581652">
                  <w:marLeft w:val="0"/>
                  <w:marRight w:val="0"/>
                  <w:marTop w:val="0"/>
                  <w:marBottom w:val="0"/>
                  <w:divBdr>
                    <w:top w:val="none" w:sz="0" w:space="0" w:color="auto"/>
                    <w:left w:val="none" w:sz="0" w:space="0" w:color="auto"/>
                    <w:bottom w:val="none" w:sz="0" w:space="0" w:color="auto"/>
                    <w:right w:val="none" w:sz="0" w:space="0" w:color="auto"/>
                  </w:divBdr>
                  <w:divsChild>
                    <w:div w:id="1250848091">
                      <w:marLeft w:val="1"/>
                      <w:marRight w:val="1"/>
                      <w:marTop w:val="0"/>
                      <w:marBottom w:val="0"/>
                      <w:divBdr>
                        <w:top w:val="none" w:sz="0" w:space="0" w:color="auto"/>
                        <w:left w:val="none" w:sz="0" w:space="0" w:color="auto"/>
                        <w:bottom w:val="none" w:sz="0" w:space="0" w:color="auto"/>
                        <w:right w:val="none" w:sz="0" w:space="0" w:color="auto"/>
                      </w:divBdr>
                      <w:divsChild>
                        <w:div w:id="606159388">
                          <w:marLeft w:val="0"/>
                          <w:marRight w:val="0"/>
                          <w:marTop w:val="0"/>
                          <w:marBottom w:val="0"/>
                          <w:divBdr>
                            <w:top w:val="none" w:sz="0" w:space="0" w:color="auto"/>
                            <w:left w:val="none" w:sz="0" w:space="0" w:color="auto"/>
                            <w:bottom w:val="none" w:sz="0" w:space="0" w:color="auto"/>
                            <w:right w:val="none" w:sz="0" w:space="0" w:color="auto"/>
                          </w:divBdr>
                          <w:divsChild>
                            <w:div w:id="2077899324">
                              <w:marLeft w:val="0"/>
                              <w:marRight w:val="0"/>
                              <w:marTop w:val="0"/>
                              <w:marBottom w:val="360"/>
                              <w:divBdr>
                                <w:top w:val="none" w:sz="0" w:space="0" w:color="auto"/>
                                <w:left w:val="none" w:sz="0" w:space="0" w:color="auto"/>
                                <w:bottom w:val="none" w:sz="0" w:space="0" w:color="auto"/>
                                <w:right w:val="none" w:sz="0" w:space="0" w:color="auto"/>
                              </w:divBdr>
                              <w:divsChild>
                                <w:div w:id="440538560">
                                  <w:marLeft w:val="0"/>
                                  <w:marRight w:val="0"/>
                                  <w:marTop w:val="0"/>
                                  <w:marBottom w:val="0"/>
                                  <w:divBdr>
                                    <w:top w:val="none" w:sz="0" w:space="0" w:color="auto"/>
                                    <w:left w:val="none" w:sz="0" w:space="0" w:color="auto"/>
                                    <w:bottom w:val="none" w:sz="0" w:space="0" w:color="auto"/>
                                    <w:right w:val="none" w:sz="0" w:space="0" w:color="auto"/>
                                  </w:divBdr>
                                  <w:divsChild>
                                    <w:div w:id="739254575">
                                      <w:marLeft w:val="0"/>
                                      <w:marRight w:val="0"/>
                                      <w:marTop w:val="0"/>
                                      <w:marBottom w:val="0"/>
                                      <w:divBdr>
                                        <w:top w:val="none" w:sz="0" w:space="0" w:color="auto"/>
                                        <w:left w:val="none" w:sz="0" w:space="0" w:color="auto"/>
                                        <w:bottom w:val="none" w:sz="0" w:space="0" w:color="auto"/>
                                        <w:right w:val="none" w:sz="0" w:space="0" w:color="auto"/>
                                      </w:divBdr>
                                      <w:divsChild>
                                        <w:div w:id="394551911">
                                          <w:marLeft w:val="0"/>
                                          <w:marRight w:val="0"/>
                                          <w:marTop w:val="0"/>
                                          <w:marBottom w:val="0"/>
                                          <w:divBdr>
                                            <w:top w:val="none" w:sz="0" w:space="0" w:color="auto"/>
                                            <w:left w:val="none" w:sz="0" w:space="0" w:color="auto"/>
                                            <w:bottom w:val="none" w:sz="0" w:space="0" w:color="auto"/>
                                            <w:right w:val="none" w:sz="0" w:space="0" w:color="auto"/>
                                          </w:divBdr>
                                          <w:divsChild>
                                            <w:div w:id="1748187547">
                                              <w:marLeft w:val="0"/>
                                              <w:marRight w:val="0"/>
                                              <w:marTop w:val="0"/>
                                              <w:marBottom w:val="0"/>
                                              <w:divBdr>
                                                <w:top w:val="none" w:sz="0" w:space="0" w:color="auto"/>
                                                <w:left w:val="none" w:sz="0" w:space="0" w:color="auto"/>
                                                <w:bottom w:val="none" w:sz="0" w:space="0" w:color="auto"/>
                                                <w:right w:val="none" w:sz="0" w:space="0" w:color="auto"/>
                                              </w:divBdr>
                                              <w:divsChild>
                                                <w:div w:id="3103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48975">
      <w:bodyDiv w:val="1"/>
      <w:marLeft w:val="0"/>
      <w:marRight w:val="0"/>
      <w:marTop w:val="0"/>
      <w:marBottom w:val="0"/>
      <w:divBdr>
        <w:top w:val="none" w:sz="0" w:space="0" w:color="auto"/>
        <w:left w:val="none" w:sz="0" w:space="0" w:color="auto"/>
        <w:bottom w:val="none" w:sz="0" w:space="0" w:color="auto"/>
        <w:right w:val="none" w:sz="0" w:space="0" w:color="auto"/>
      </w:divBdr>
      <w:divsChild>
        <w:div w:id="254285967">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sChild>
                <w:div w:id="1609387115">
                  <w:marLeft w:val="0"/>
                  <w:marRight w:val="0"/>
                  <w:marTop w:val="0"/>
                  <w:marBottom w:val="0"/>
                  <w:divBdr>
                    <w:top w:val="none" w:sz="0" w:space="0" w:color="auto"/>
                    <w:left w:val="none" w:sz="0" w:space="0" w:color="auto"/>
                    <w:bottom w:val="none" w:sz="0" w:space="0" w:color="auto"/>
                    <w:right w:val="none" w:sz="0" w:space="0" w:color="auto"/>
                  </w:divBdr>
                  <w:divsChild>
                    <w:div w:id="171997608">
                      <w:marLeft w:val="1"/>
                      <w:marRight w:val="1"/>
                      <w:marTop w:val="0"/>
                      <w:marBottom w:val="0"/>
                      <w:divBdr>
                        <w:top w:val="none" w:sz="0" w:space="0" w:color="auto"/>
                        <w:left w:val="none" w:sz="0" w:space="0" w:color="auto"/>
                        <w:bottom w:val="none" w:sz="0" w:space="0" w:color="auto"/>
                        <w:right w:val="none" w:sz="0" w:space="0" w:color="auto"/>
                      </w:divBdr>
                      <w:divsChild>
                        <w:div w:id="1060447748">
                          <w:marLeft w:val="0"/>
                          <w:marRight w:val="0"/>
                          <w:marTop w:val="0"/>
                          <w:marBottom w:val="0"/>
                          <w:divBdr>
                            <w:top w:val="none" w:sz="0" w:space="0" w:color="auto"/>
                            <w:left w:val="none" w:sz="0" w:space="0" w:color="auto"/>
                            <w:bottom w:val="none" w:sz="0" w:space="0" w:color="auto"/>
                            <w:right w:val="none" w:sz="0" w:space="0" w:color="auto"/>
                          </w:divBdr>
                          <w:divsChild>
                            <w:div w:id="744298422">
                              <w:marLeft w:val="0"/>
                              <w:marRight w:val="0"/>
                              <w:marTop w:val="0"/>
                              <w:marBottom w:val="360"/>
                              <w:divBdr>
                                <w:top w:val="none" w:sz="0" w:space="0" w:color="auto"/>
                                <w:left w:val="none" w:sz="0" w:space="0" w:color="auto"/>
                                <w:bottom w:val="none" w:sz="0" w:space="0" w:color="auto"/>
                                <w:right w:val="none" w:sz="0" w:space="0" w:color="auto"/>
                              </w:divBdr>
                              <w:divsChild>
                                <w:div w:id="1258366132">
                                  <w:marLeft w:val="0"/>
                                  <w:marRight w:val="0"/>
                                  <w:marTop w:val="0"/>
                                  <w:marBottom w:val="0"/>
                                  <w:divBdr>
                                    <w:top w:val="none" w:sz="0" w:space="0" w:color="auto"/>
                                    <w:left w:val="none" w:sz="0" w:space="0" w:color="auto"/>
                                    <w:bottom w:val="none" w:sz="0" w:space="0" w:color="auto"/>
                                    <w:right w:val="none" w:sz="0" w:space="0" w:color="auto"/>
                                  </w:divBdr>
                                  <w:divsChild>
                                    <w:div w:id="1764496030">
                                      <w:marLeft w:val="0"/>
                                      <w:marRight w:val="0"/>
                                      <w:marTop w:val="0"/>
                                      <w:marBottom w:val="0"/>
                                      <w:divBdr>
                                        <w:top w:val="none" w:sz="0" w:space="0" w:color="auto"/>
                                        <w:left w:val="none" w:sz="0" w:space="0" w:color="auto"/>
                                        <w:bottom w:val="none" w:sz="0" w:space="0" w:color="auto"/>
                                        <w:right w:val="none" w:sz="0" w:space="0" w:color="auto"/>
                                      </w:divBdr>
                                      <w:divsChild>
                                        <w:div w:id="545410360">
                                          <w:marLeft w:val="0"/>
                                          <w:marRight w:val="0"/>
                                          <w:marTop w:val="0"/>
                                          <w:marBottom w:val="0"/>
                                          <w:divBdr>
                                            <w:top w:val="none" w:sz="0" w:space="0" w:color="auto"/>
                                            <w:left w:val="none" w:sz="0" w:space="0" w:color="auto"/>
                                            <w:bottom w:val="none" w:sz="0" w:space="0" w:color="auto"/>
                                            <w:right w:val="none" w:sz="0" w:space="0" w:color="auto"/>
                                          </w:divBdr>
                                          <w:divsChild>
                                            <w:div w:id="323552574">
                                              <w:marLeft w:val="0"/>
                                              <w:marRight w:val="0"/>
                                              <w:marTop w:val="0"/>
                                              <w:marBottom w:val="0"/>
                                              <w:divBdr>
                                                <w:top w:val="none" w:sz="0" w:space="0" w:color="auto"/>
                                                <w:left w:val="none" w:sz="0" w:space="0" w:color="auto"/>
                                                <w:bottom w:val="none" w:sz="0" w:space="0" w:color="auto"/>
                                                <w:right w:val="none" w:sz="0" w:space="0" w:color="auto"/>
                                              </w:divBdr>
                                              <w:divsChild>
                                                <w:div w:id="1083189108">
                                                  <w:marLeft w:val="0"/>
                                                  <w:marRight w:val="0"/>
                                                  <w:marTop w:val="0"/>
                                                  <w:marBottom w:val="0"/>
                                                  <w:divBdr>
                                                    <w:top w:val="none" w:sz="0" w:space="0" w:color="auto"/>
                                                    <w:left w:val="none" w:sz="0" w:space="0" w:color="auto"/>
                                                    <w:bottom w:val="none" w:sz="0" w:space="0" w:color="auto"/>
                                                    <w:right w:val="none" w:sz="0" w:space="0" w:color="auto"/>
                                                  </w:divBdr>
                                                  <w:divsChild>
                                                    <w:div w:id="1162626214">
                                                      <w:marLeft w:val="0"/>
                                                      <w:marRight w:val="0"/>
                                                      <w:marTop w:val="0"/>
                                                      <w:marBottom w:val="0"/>
                                                      <w:divBdr>
                                                        <w:top w:val="none" w:sz="0" w:space="0" w:color="auto"/>
                                                        <w:left w:val="none" w:sz="0" w:space="0" w:color="auto"/>
                                                        <w:bottom w:val="none" w:sz="0" w:space="0" w:color="auto"/>
                                                        <w:right w:val="none" w:sz="0" w:space="0" w:color="auto"/>
                                                      </w:divBdr>
                                                      <w:divsChild>
                                                        <w:div w:id="796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730939">
      <w:bodyDiv w:val="1"/>
      <w:marLeft w:val="0"/>
      <w:marRight w:val="0"/>
      <w:marTop w:val="0"/>
      <w:marBottom w:val="0"/>
      <w:divBdr>
        <w:top w:val="none" w:sz="0" w:space="0" w:color="auto"/>
        <w:left w:val="none" w:sz="0" w:space="0" w:color="auto"/>
        <w:bottom w:val="none" w:sz="0" w:space="0" w:color="auto"/>
        <w:right w:val="none" w:sz="0" w:space="0" w:color="auto"/>
      </w:divBdr>
    </w:div>
    <w:div w:id="1131217148">
      <w:bodyDiv w:val="1"/>
      <w:marLeft w:val="0"/>
      <w:marRight w:val="0"/>
      <w:marTop w:val="0"/>
      <w:marBottom w:val="0"/>
      <w:divBdr>
        <w:top w:val="none" w:sz="0" w:space="0" w:color="auto"/>
        <w:left w:val="none" w:sz="0" w:space="0" w:color="auto"/>
        <w:bottom w:val="none" w:sz="0" w:space="0" w:color="auto"/>
        <w:right w:val="none" w:sz="0" w:space="0" w:color="auto"/>
      </w:divBdr>
      <w:divsChild>
        <w:div w:id="1907296558">
          <w:marLeft w:val="0"/>
          <w:marRight w:val="0"/>
          <w:marTop w:val="0"/>
          <w:marBottom w:val="0"/>
          <w:divBdr>
            <w:top w:val="none" w:sz="0" w:space="0" w:color="auto"/>
            <w:left w:val="none" w:sz="0" w:space="0" w:color="auto"/>
            <w:bottom w:val="none" w:sz="0" w:space="0" w:color="auto"/>
            <w:right w:val="none" w:sz="0" w:space="0" w:color="auto"/>
          </w:divBdr>
          <w:divsChild>
            <w:div w:id="1762604526">
              <w:marLeft w:val="0"/>
              <w:marRight w:val="0"/>
              <w:marTop w:val="0"/>
              <w:marBottom w:val="0"/>
              <w:divBdr>
                <w:top w:val="none" w:sz="0" w:space="0" w:color="auto"/>
                <w:left w:val="none" w:sz="0" w:space="0" w:color="auto"/>
                <w:bottom w:val="none" w:sz="0" w:space="0" w:color="auto"/>
                <w:right w:val="none" w:sz="0" w:space="0" w:color="auto"/>
              </w:divBdr>
              <w:divsChild>
                <w:div w:id="1087845476">
                  <w:marLeft w:val="0"/>
                  <w:marRight w:val="0"/>
                  <w:marTop w:val="0"/>
                  <w:marBottom w:val="0"/>
                  <w:divBdr>
                    <w:top w:val="none" w:sz="0" w:space="0" w:color="auto"/>
                    <w:left w:val="none" w:sz="0" w:space="0" w:color="auto"/>
                    <w:bottom w:val="none" w:sz="0" w:space="0" w:color="auto"/>
                    <w:right w:val="none" w:sz="0" w:space="0" w:color="auto"/>
                  </w:divBdr>
                  <w:divsChild>
                    <w:div w:id="503516936">
                      <w:marLeft w:val="1"/>
                      <w:marRight w:val="1"/>
                      <w:marTop w:val="0"/>
                      <w:marBottom w:val="0"/>
                      <w:divBdr>
                        <w:top w:val="none" w:sz="0" w:space="0" w:color="auto"/>
                        <w:left w:val="none" w:sz="0" w:space="0" w:color="auto"/>
                        <w:bottom w:val="none" w:sz="0" w:space="0" w:color="auto"/>
                        <w:right w:val="none" w:sz="0" w:space="0" w:color="auto"/>
                      </w:divBdr>
                      <w:divsChild>
                        <w:div w:id="832333528">
                          <w:marLeft w:val="0"/>
                          <w:marRight w:val="0"/>
                          <w:marTop w:val="0"/>
                          <w:marBottom w:val="0"/>
                          <w:divBdr>
                            <w:top w:val="none" w:sz="0" w:space="0" w:color="auto"/>
                            <w:left w:val="none" w:sz="0" w:space="0" w:color="auto"/>
                            <w:bottom w:val="none" w:sz="0" w:space="0" w:color="auto"/>
                            <w:right w:val="none" w:sz="0" w:space="0" w:color="auto"/>
                          </w:divBdr>
                          <w:divsChild>
                            <w:div w:id="1070156503">
                              <w:marLeft w:val="0"/>
                              <w:marRight w:val="0"/>
                              <w:marTop w:val="0"/>
                              <w:marBottom w:val="360"/>
                              <w:divBdr>
                                <w:top w:val="none" w:sz="0" w:space="0" w:color="auto"/>
                                <w:left w:val="none" w:sz="0" w:space="0" w:color="auto"/>
                                <w:bottom w:val="none" w:sz="0" w:space="0" w:color="auto"/>
                                <w:right w:val="none" w:sz="0" w:space="0" w:color="auto"/>
                              </w:divBdr>
                              <w:divsChild>
                                <w:div w:id="372073370">
                                  <w:marLeft w:val="0"/>
                                  <w:marRight w:val="0"/>
                                  <w:marTop w:val="0"/>
                                  <w:marBottom w:val="0"/>
                                  <w:divBdr>
                                    <w:top w:val="none" w:sz="0" w:space="0" w:color="auto"/>
                                    <w:left w:val="none" w:sz="0" w:space="0" w:color="auto"/>
                                    <w:bottom w:val="none" w:sz="0" w:space="0" w:color="auto"/>
                                    <w:right w:val="none" w:sz="0" w:space="0" w:color="auto"/>
                                  </w:divBdr>
                                  <w:divsChild>
                                    <w:div w:id="114369295">
                                      <w:marLeft w:val="0"/>
                                      <w:marRight w:val="0"/>
                                      <w:marTop w:val="0"/>
                                      <w:marBottom w:val="0"/>
                                      <w:divBdr>
                                        <w:top w:val="none" w:sz="0" w:space="0" w:color="auto"/>
                                        <w:left w:val="none" w:sz="0" w:space="0" w:color="auto"/>
                                        <w:bottom w:val="none" w:sz="0" w:space="0" w:color="auto"/>
                                        <w:right w:val="none" w:sz="0" w:space="0" w:color="auto"/>
                                      </w:divBdr>
                                      <w:divsChild>
                                        <w:div w:id="933124376">
                                          <w:marLeft w:val="0"/>
                                          <w:marRight w:val="0"/>
                                          <w:marTop w:val="0"/>
                                          <w:marBottom w:val="0"/>
                                          <w:divBdr>
                                            <w:top w:val="none" w:sz="0" w:space="0" w:color="auto"/>
                                            <w:left w:val="none" w:sz="0" w:space="0" w:color="auto"/>
                                            <w:bottom w:val="none" w:sz="0" w:space="0" w:color="auto"/>
                                            <w:right w:val="none" w:sz="0" w:space="0" w:color="auto"/>
                                          </w:divBdr>
                                          <w:divsChild>
                                            <w:div w:id="385877351">
                                              <w:marLeft w:val="0"/>
                                              <w:marRight w:val="0"/>
                                              <w:marTop w:val="0"/>
                                              <w:marBottom w:val="0"/>
                                              <w:divBdr>
                                                <w:top w:val="none" w:sz="0" w:space="0" w:color="auto"/>
                                                <w:left w:val="none" w:sz="0" w:space="0" w:color="auto"/>
                                                <w:bottom w:val="none" w:sz="0" w:space="0" w:color="auto"/>
                                                <w:right w:val="none" w:sz="0" w:space="0" w:color="auto"/>
                                              </w:divBdr>
                                              <w:divsChild>
                                                <w:div w:id="1780100480">
                                                  <w:marLeft w:val="0"/>
                                                  <w:marRight w:val="0"/>
                                                  <w:marTop w:val="0"/>
                                                  <w:marBottom w:val="0"/>
                                                  <w:divBdr>
                                                    <w:top w:val="none" w:sz="0" w:space="0" w:color="auto"/>
                                                    <w:left w:val="none" w:sz="0" w:space="0" w:color="auto"/>
                                                    <w:bottom w:val="none" w:sz="0" w:space="0" w:color="auto"/>
                                                    <w:right w:val="none" w:sz="0" w:space="0" w:color="auto"/>
                                                  </w:divBdr>
                                                  <w:divsChild>
                                                    <w:div w:id="1626043079">
                                                      <w:marLeft w:val="0"/>
                                                      <w:marRight w:val="0"/>
                                                      <w:marTop w:val="0"/>
                                                      <w:marBottom w:val="0"/>
                                                      <w:divBdr>
                                                        <w:top w:val="none" w:sz="0" w:space="0" w:color="auto"/>
                                                        <w:left w:val="none" w:sz="0" w:space="0" w:color="auto"/>
                                                        <w:bottom w:val="none" w:sz="0" w:space="0" w:color="auto"/>
                                                        <w:right w:val="none" w:sz="0" w:space="0" w:color="auto"/>
                                                      </w:divBdr>
                                                      <w:divsChild>
                                                        <w:div w:id="21056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34229">
      <w:bodyDiv w:val="1"/>
      <w:marLeft w:val="0"/>
      <w:marRight w:val="0"/>
      <w:marTop w:val="0"/>
      <w:marBottom w:val="0"/>
      <w:divBdr>
        <w:top w:val="none" w:sz="0" w:space="0" w:color="auto"/>
        <w:left w:val="none" w:sz="0" w:space="0" w:color="auto"/>
        <w:bottom w:val="none" w:sz="0" w:space="0" w:color="auto"/>
        <w:right w:val="none" w:sz="0" w:space="0" w:color="auto"/>
      </w:divBdr>
      <w:divsChild>
        <w:div w:id="1815953444">
          <w:marLeft w:val="0"/>
          <w:marRight w:val="0"/>
          <w:marTop w:val="0"/>
          <w:marBottom w:val="0"/>
          <w:divBdr>
            <w:top w:val="none" w:sz="0" w:space="0" w:color="auto"/>
            <w:left w:val="none" w:sz="0" w:space="0" w:color="auto"/>
            <w:bottom w:val="none" w:sz="0" w:space="0" w:color="auto"/>
            <w:right w:val="none" w:sz="0" w:space="0" w:color="auto"/>
          </w:divBdr>
          <w:divsChild>
            <w:div w:id="393628660">
              <w:marLeft w:val="0"/>
              <w:marRight w:val="0"/>
              <w:marTop w:val="0"/>
              <w:marBottom w:val="0"/>
              <w:divBdr>
                <w:top w:val="none" w:sz="0" w:space="0" w:color="auto"/>
                <w:left w:val="none" w:sz="0" w:space="0" w:color="auto"/>
                <w:bottom w:val="none" w:sz="0" w:space="0" w:color="auto"/>
                <w:right w:val="none" w:sz="0" w:space="0" w:color="auto"/>
              </w:divBdr>
              <w:divsChild>
                <w:div w:id="790367907">
                  <w:marLeft w:val="0"/>
                  <w:marRight w:val="0"/>
                  <w:marTop w:val="0"/>
                  <w:marBottom w:val="0"/>
                  <w:divBdr>
                    <w:top w:val="none" w:sz="0" w:space="0" w:color="auto"/>
                    <w:left w:val="none" w:sz="0" w:space="0" w:color="auto"/>
                    <w:bottom w:val="none" w:sz="0" w:space="0" w:color="auto"/>
                    <w:right w:val="none" w:sz="0" w:space="0" w:color="auto"/>
                  </w:divBdr>
                  <w:divsChild>
                    <w:div w:id="2028746587">
                      <w:marLeft w:val="1"/>
                      <w:marRight w:val="1"/>
                      <w:marTop w:val="0"/>
                      <w:marBottom w:val="0"/>
                      <w:divBdr>
                        <w:top w:val="none" w:sz="0" w:space="0" w:color="auto"/>
                        <w:left w:val="none" w:sz="0" w:space="0" w:color="auto"/>
                        <w:bottom w:val="none" w:sz="0" w:space="0" w:color="auto"/>
                        <w:right w:val="none" w:sz="0" w:space="0" w:color="auto"/>
                      </w:divBdr>
                      <w:divsChild>
                        <w:div w:id="1943026622">
                          <w:marLeft w:val="0"/>
                          <w:marRight w:val="0"/>
                          <w:marTop w:val="0"/>
                          <w:marBottom w:val="0"/>
                          <w:divBdr>
                            <w:top w:val="none" w:sz="0" w:space="0" w:color="auto"/>
                            <w:left w:val="none" w:sz="0" w:space="0" w:color="auto"/>
                            <w:bottom w:val="none" w:sz="0" w:space="0" w:color="auto"/>
                            <w:right w:val="none" w:sz="0" w:space="0" w:color="auto"/>
                          </w:divBdr>
                          <w:divsChild>
                            <w:div w:id="1064567548">
                              <w:marLeft w:val="0"/>
                              <w:marRight w:val="0"/>
                              <w:marTop w:val="0"/>
                              <w:marBottom w:val="360"/>
                              <w:divBdr>
                                <w:top w:val="none" w:sz="0" w:space="0" w:color="auto"/>
                                <w:left w:val="none" w:sz="0" w:space="0" w:color="auto"/>
                                <w:bottom w:val="none" w:sz="0" w:space="0" w:color="auto"/>
                                <w:right w:val="none" w:sz="0" w:space="0" w:color="auto"/>
                              </w:divBdr>
                              <w:divsChild>
                                <w:div w:id="157156434">
                                  <w:marLeft w:val="0"/>
                                  <w:marRight w:val="0"/>
                                  <w:marTop w:val="0"/>
                                  <w:marBottom w:val="0"/>
                                  <w:divBdr>
                                    <w:top w:val="none" w:sz="0" w:space="0" w:color="auto"/>
                                    <w:left w:val="none" w:sz="0" w:space="0" w:color="auto"/>
                                    <w:bottom w:val="none" w:sz="0" w:space="0" w:color="auto"/>
                                    <w:right w:val="none" w:sz="0" w:space="0" w:color="auto"/>
                                  </w:divBdr>
                                  <w:divsChild>
                                    <w:div w:id="435444672">
                                      <w:marLeft w:val="0"/>
                                      <w:marRight w:val="0"/>
                                      <w:marTop w:val="0"/>
                                      <w:marBottom w:val="0"/>
                                      <w:divBdr>
                                        <w:top w:val="none" w:sz="0" w:space="0" w:color="auto"/>
                                        <w:left w:val="none" w:sz="0" w:space="0" w:color="auto"/>
                                        <w:bottom w:val="none" w:sz="0" w:space="0" w:color="auto"/>
                                        <w:right w:val="none" w:sz="0" w:space="0" w:color="auto"/>
                                      </w:divBdr>
                                      <w:divsChild>
                                        <w:div w:id="795222139">
                                          <w:marLeft w:val="0"/>
                                          <w:marRight w:val="0"/>
                                          <w:marTop w:val="0"/>
                                          <w:marBottom w:val="0"/>
                                          <w:divBdr>
                                            <w:top w:val="none" w:sz="0" w:space="0" w:color="auto"/>
                                            <w:left w:val="none" w:sz="0" w:space="0" w:color="auto"/>
                                            <w:bottom w:val="none" w:sz="0" w:space="0" w:color="auto"/>
                                            <w:right w:val="none" w:sz="0" w:space="0" w:color="auto"/>
                                          </w:divBdr>
                                          <w:divsChild>
                                            <w:div w:id="1972976895">
                                              <w:marLeft w:val="0"/>
                                              <w:marRight w:val="0"/>
                                              <w:marTop w:val="0"/>
                                              <w:marBottom w:val="0"/>
                                              <w:divBdr>
                                                <w:top w:val="none" w:sz="0" w:space="0" w:color="auto"/>
                                                <w:left w:val="none" w:sz="0" w:space="0" w:color="auto"/>
                                                <w:bottom w:val="none" w:sz="0" w:space="0" w:color="auto"/>
                                                <w:right w:val="none" w:sz="0" w:space="0" w:color="auto"/>
                                              </w:divBdr>
                                              <w:divsChild>
                                                <w:div w:id="611674012">
                                                  <w:marLeft w:val="0"/>
                                                  <w:marRight w:val="0"/>
                                                  <w:marTop w:val="0"/>
                                                  <w:marBottom w:val="0"/>
                                                  <w:divBdr>
                                                    <w:top w:val="none" w:sz="0" w:space="0" w:color="auto"/>
                                                    <w:left w:val="none" w:sz="0" w:space="0" w:color="auto"/>
                                                    <w:bottom w:val="none" w:sz="0" w:space="0" w:color="auto"/>
                                                    <w:right w:val="none" w:sz="0" w:space="0" w:color="auto"/>
                                                  </w:divBdr>
                                                  <w:divsChild>
                                                    <w:div w:id="1592591127">
                                                      <w:marLeft w:val="0"/>
                                                      <w:marRight w:val="0"/>
                                                      <w:marTop w:val="0"/>
                                                      <w:marBottom w:val="0"/>
                                                      <w:divBdr>
                                                        <w:top w:val="none" w:sz="0" w:space="0" w:color="auto"/>
                                                        <w:left w:val="none" w:sz="0" w:space="0" w:color="auto"/>
                                                        <w:bottom w:val="none" w:sz="0" w:space="0" w:color="auto"/>
                                                        <w:right w:val="none" w:sz="0" w:space="0" w:color="auto"/>
                                                      </w:divBdr>
                                                      <w:divsChild>
                                                        <w:div w:id="491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03430">
      <w:bodyDiv w:val="1"/>
      <w:marLeft w:val="0"/>
      <w:marRight w:val="0"/>
      <w:marTop w:val="0"/>
      <w:marBottom w:val="0"/>
      <w:divBdr>
        <w:top w:val="none" w:sz="0" w:space="0" w:color="auto"/>
        <w:left w:val="none" w:sz="0" w:space="0" w:color="auto"/>
        <w:bottom w:val="none" w:sz="0" w:space="0" w:color="auto"/>
        <w:right w:val="none" w:sz="0" w:space="0" w:color="auto"/>
      </w:divBdr>
    </w:div>
    <w:div w:id="1506019174">
      <w:bodyDiv w:val="1"/>
      <w:marLeft w:val="0"/>
      <w:marRight w:val="0"/>
      <w:marTop w:val="0"/>
      <w:marBottom w:val="0"/>
      <w:divBdr>
        <w:top w:val="none" w:sz="0" w:space="0" w:color="auto"/>
        <w:left w:val="none" w:sz="0" w:space="0" w:color="auto"/>
        <w:bottom w:val="none" w:sz="0" w:space="0" w:color="auto"/>
        <w:right w:val="none" w:sz="0" w:space="0" w:color="auto"/>
      </w:divBdr>
      <w:divsChild>
        <w:div w:id="1942182550">
          <w:marLeft w:val="0"/>
          <w:marRight w:val="0"/>
          <w:marTop w:val="0"/>
          <w:marBottom w:val="0"/>
          <w:divBdr>
            <w:top w:val="none" w:sz="0" w:space="0" w:color="auto"/>
            <w:left w:val="none" w:sz="0" w:space="0" w:color="auto"/>
            <w:bottom w:val="none" w:sz="0" w:space="0" w:color="auto"/>
            <w:right w:val="none" w:sz="0" w:space="0" w:color="auto"/>
          </w:divBdr>
          <w:divsChild>
            <w:div w:id="1114133176">
              <w:marLeft w:val="0"/>
              <w:marRight w:val="0"/>
              <w:marTop w:val="0"/>
              <w:marBottom w:val="0"/>
              <w:divBdr>
                <w:top w:val="none" w:sz="0" w:space="0" w:color="auto"/>
                <w:left w:val="none" w:sz="0" w:space="0" w:color="auto"/>
                <w:bottom w:val="none" w:sz="0" w:space="0" w:color="auto"/>
                <w:right w:val="none" w:sz="0" w:space="0" w:color="auto"/>
              </w:divBdr>
              <w:divsChild>
                <w:div w:id="300577785">
                  <w:marLeft w:val="0"/>
                  <w:marRight w:val="0"/>
                  <w:marTop w:val="0"/>
                  <w:marBottom w:val="0"/>
                  <w:divBdr>
                    <w:top w:val="none" w:sz="0" w:space="0" w:color="auto"/>
                    <w:left w:val="none" w:sz="0" w:space="0" w:color="auto"/>
                    <w:bottom w:val="none" w:sz="0" w:space="0" w:color="auto"/>
                    <w:right w:val="none" w:sz="0" w:space="0" w:color="auto"/>
                  </w:divBdr>
                  <w:divsChild>
                    <w:div w:id="1280407581">
                      <w:marLeft w:val="1"/>
                      <w:marRight w:val="1"/>
                      <w:marTop w:val="0"/>
                      <w:marBottom w:val="0"/>
                      <w:divBdr>
                        <w:top w:val="none" w:sz="0" w:space="0" w:color="auto"/>
                        <w:left w:val="none" w:sz="0" w:space="0" w:color="auto"/>
                        <w:bottom w:val="none" w:sz="0" w:space="0" w:color="auto"/>
                        <w:right w:val="none" w:sz="0" w:space="0" w:color="auto"/>
                      </w:divBdr>
                      <w:divsChild>
                        <w:div w:id="207761447">
                          <w:marLeft w:val="0"/>
                          <w:marRight w:val="0"/>
                          <w:marTop w:val="0"/>
                          <w:marBottom w:val="0"/>
                          <w:divBdr>
                            <w:top w:val="none" w:sz="0" w:space="0" w:color="auto"/>
                            <w:left w:val="none" w:sz="0" w:space="0" w:color="auto"/>
                            <w:bottom w:val="none" w:sz="0" w:space="0" w:color="auto"/>
                            <w:right w:val="none" w:sz="0" w:space="0" w:color="auto"/>
                          </w:divBdr>
                          <w:divsChild>
                            <w:div w:id="835345138">
                              <w:marLeft w:val="0"/>
                              <w:marRight w:val="0"/>
                              <w:marTop w:val="0"/>
                              <w:marBottom w:val="360"/>
                              <w:divBdr>
                                <w:top w:val="none" w:sz="0" w:space="0" w:color="auto"/>
                                <w:left w:val="none" w:sz="0" w:space="0" w:color="auto"/>
                                <w:bottom w:val="none" w:sz="0" w:space="0" w:color="auto"/>
                                <w:right w:val="none" w:sz="0" w:space="0" w:color="auto"/>
                              </w:divBdr>
                              <w:divsChild>
                                <w:div w:id="1452892388">
                                  <w:marLeft w:val="0"/>
                                  <w:marRight w:val="0"/>
                                  <w:marTop w:val="0"/>
                                  <w:marBottom w:val="0"/>
                                  <w:divBdr>
                                    <w:top w:val="none" w:sz="0" w:space="0" w:color="auto"/>
                                    <w:left w:val="none" w:sz="0" w:space="0" w:color="auto"/>
                                    <w:bottom w:val="none" w:sz="0" w:space="0" w:color="auto"/>
                                    <w:right w:val="none" w:sz="0" w:space="0" w:color="auto"/>
                                  </w:divBdr>
                                  <w:divsChild>
                                    <w:div w:id="1229880104">
                                      <w:marLeft w:val="0"/>
                                      <w:marRight w:val="0"/>
                                      <w:marTop w:val="0"/>
                                      <w:marBottom w:val="0"/>
                                      <w:divBdr>
                                        <w:top w:val="none" w:sz="0" w:space="0" w:color="auto"/>
                                        <w:left w:val="none" w:sz="0" w:space="0" w:color="auto"/>
                                        <w:bottom w:val="none" w:sz="0" w:space="0" w:color="auto"/>
                                        <w:right w:val="none" w:sz="0" w:space="0" w:color="auto"/>
                                      </w:divBdr>
                                      <w:divsChild>
                                        <w:div w:id="1827167674">
                                          <w:marLeft w:val="0"/>
                                          <w:marRight w:val="0"/>
                                          <w:marTop w:val="0"/>
                                          <w:marBottom w:val="0"/>
                                          <w:divBdr>
                                            <w:top w:val="none" w:sz="0" w:space="0" w:color="auto"/>
                                            <w:left w:val="none" w:sz="0" w:space="0" w:color="auto"/>
                                            <w:bottom w:val="none" w:sz="0" w:space="0" w:color="auto"/>
                                            <w:right w:val="none" w:sz="0" w:space="0" w:color="auto"/>
                                          </w:divBdr>
                                          <w:divsChild>
                                            <w:div w:id="664895173">
                                              <w:marLeft w:val="0"/>
                                              <w:marRight w:val="0"/>
                                              <w:marTop w:val="0"/>
                                              <w:marBottom w:val="0"/>
                                              <w:divBdr>
                                                <w:top w:val="none" w:sz="0" w:space="0" w:color="auto"/>
                                                <w:left w:val="none" w:sz="0" w:space="0" w:color="auto"/>
                                                <w:bottom w:val="none" w:sz="0" w:space="0" w:color="auto"/>
                                                <w:right w:val="none" w:sz="0" w:space="0" w:color="auto"/>
                                              </w:divBdr>
                                              <w:divsChild>
                                                <w:div w:id="1352414840">
                                                  <w:marLeft w:val="0"/>
                                                  <w:marRight w:val="0"/>
                                                  <w:marTop w:val="0"/>
                                                  <w:marBottom w:val="0"/>
                                                  <w:divBdr>
                                                    <w:top w:val="none" w:sz="0" w:space="0" w:color="auto"/>
                                                    <w:left w:val="none" w:sz="0" w:space="0" w:color="auto"/>
                                                    <w:bottom w:val="none" w:sz="0" w:space="0" w:color="auto"/>
                                                    <w:right w:val="none" w:sz="0" w:space="0" w:color="auto"/>
                                                  </w:divBdr>
                                                  <w:divsChild>
                                                    <w:div w:id="401487734">
                                                      <w:marLeft w:val="0"/>
                                                      <w:marRight w:val="0"/>
                                                      <w:marTop w:val="0"/>
                                                      <w:marBottom w:val="0"/>
                                                      <w:divBdr>
                                                        <w:top w:val="none" w:sz="0" w:space="0" w:color="auto"/>
                                                        <w:left w:val="none" w:sz="0" w:space="0" w:color="auto"/>
                                                        <w:bottom w:val="none" w:sz="0" w:space="0" w:color="auto"/>
                                                        <w:right w:val="none" w:sz="0" w:space="0" w:color="auto"/>
                                                      </w:divBdr>
                                                      <w:divsChild>
                                                        <w:div w:id="1789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7420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43">
          <w:marLeft w:val="0"/>
          <w:marRight w:val="0"/>
          <w:marTop w:val="0"/>
          <w:marBottom w:val="0"/>
          <w:divBdr>
            <w:top w:val="none" w:sz="0" w:space="0" w:color="auto"/>
            <w:left w:val="none" w:sz="0" w:space="0" w:color="auto"/>
            <w:bottom w:val="none" w:sz="0" w:space="0" w:color="auto"/>
            <w:right w:val="none" w:sz="0" w:space="0" w:color="auto"/>
          </w:divBdr>
          <w:divsChild>
            <w:div w:id="2027097901">
              <w:marLeft w:val="0"/>
              <w:marRight w:val="0"/>
              <w:marTop w:val="0"/>
              <w:marBottom w:val="0"/>
              <w:divBdr>
                <w:top w:val="none" w:sz="0" w:space="0" w:color="auto"/>
                <w:left w:val="none" w:sz="0" w:space="0" w:color="auto"/>
                <w:bottom w:val="none" w:sz="0" w:space="0" w:color="auto"/>
                <w:right w:val="none" w:sz="0" w:space="0" w:color="auto"/>
              </w:divBdr>
              <w:divsChild>
                <w:div w:id="1169826678">
                  <w:marLeft w:val="0"/>
                  <w:marRight w:val="0"/>
                  <w:marTop w:val="0"/>
                  <w:marBottom w:val="0"/>
                  <w:divBdr>
                    <w:top w:val="none" w:sz="0" w:space="0" w:color="auto"/>
                    <w:left w:val="none" w:sz="0" w:space="0" w:color="auto"/>
                    <w:bottom w:val="none" w:sz="0" w:space="0" w:color="auto"/>
                    <w:right w:val="none" w:sz="0" w:space="0" w:color="auto"/>
                  </w:divBdr>
                  <w:divsChild>
                    <w:div w:id="1819683194">
                      <w:marLeft w:val="1"/>
                      <w:marRight w:val="1"/>
                      <w:marTop w:val="0"/>
                      <w:marBottom w:val="0"/>
                      <w:divBdr>
                        <w:top w:val="none" w:sz="0" w:space="0" w:color="auto"/>
                        <w:left w:val="none" w:sz="0" w:space="0" w:color="auto"/>
                        <w:bottom w:val="none" w:sz="0" w:space="0" w:color="auto"/>
                        <w:right w:val="none" w:sz="0" w:space="0" w:color="auto"/>
                      </w:divBdr>
                      <w:divsChild>
                        <w:div w:id="314258545">
                          <w:marLeft w:val="0"/>
                          <w:marRight w:val="0"/>
                          <w:marTop w:val="0"/>
                          <w:marBottom w:val="0"/>
                          <w:divBdr>
                            <w:top w:val="none" w:sz="0" w:space="0" w:color="auto"/>
                            <w:left w:val="none" w:sz="0" w:space="0" w:color="auto"/>
                            <w:bottom w:val="none" w:sz="0" w:space="0" w:color="auto"/>
                            <w:right w:val="none" w:sz="0" w:space="0" w:color="auto"/>
                          </w:divBdr>
                          <w:divsChild>
                            <w:div w:id="792138010">
                              <w:marLeft w:val="0"/>
                              <w:marRight w:val="0"/>
                              <w:marTop w:val="0"/>
                              <w:marBottom w:val="360"/>
                              <w:divBdr>
                                <w:top w:val="none" w:sz="0" w:space="0" w:color="auto"/>
                                <w:left w:val="none" w:sz="0" w:space="0" w:color="auto"/>
                                <w:bottom w:val="none" w:sz="0" w:space="0" w:color="auto"/>
                                <w:right w:val="none" w:sz="0" w:space="0" w:color="auto"/>
                              </w:divBdr>
                              <w:divsChild>
                                <w:div w:id="1871062947">
                                  <w:marLeft w:val="0"/>
                                  <w:marRight w:val="0"/>
                                  <w:marTop w:val="0"/>
                                  <w:marBottom w:val="0"/>
                                  <w:divBdr>
                                    <w:top w:val="none" w:sz="0" w:space="0" w:color="auto"/>
                                    <w:left w:val="none" w:sz="0" w:space="0" w:color="auto"/>
                                    <w:bottom w:val="none" w:sz="0" w:space="0" w:color="auto"/>
                                    <w:right w:val="none" w:sz="0" w:space="0" w:color="auto"/>
                                  </w:divBdr>
                                  <w:divsChild>
                                    <w:div w:id="1840002608">
                                      <w:marLeft w:val="0"/>
                                      <w:marRight w:val="0"/>
                                      <w:marTop w:val="0"/>
                                      <w:marBottom w:val="0"/>
                                      <w:divBdr>
                                        <w:top w:val="none" w:sz="0" w:space="0" w:color="auto"/>
                                        <w:left w:val="none" w:sz="0" w:space="0" w:color="auto"/>
                                        <w:bottom w:val="none" w:sz="0" w:space="0" w:color="auto"/>
                                        <w:right w:val="none" w:sz="0" w:space="0" w:color="auto"/>
                                      </w:divBdr>
                                      <w:divsChild>
                                        <w:div w:id="539128182">
                                          <w:marLeft w:val="0"/>
                                          <w:marRight w:val="0"/>
                                          <w:marTop w:val="0"/>
                                          <w:marBottom w:val="0"/>
                                          <w:divBdr>
                                            <w:top w:val="none" w:sz="0" w:space="0" w:color="auto"/>
                                            <w:left w:val="none" w:sz="0" w:space="0" w:color="auto"/>
                                            <w:bottom w:val="none" w:sz="0" w:space="0" w:color="auto"/>
                                            <w:right w:val="none" w:sz="0" w:space="0" w:color="auto"/>
                                          </w:divBdr>
                                          <w:divsChild>
                                            <w:div w:id="1410806001">
                                              <w:marLeft w:val="0"/>
                                              <w:marRight w:val="0"/>
                                              <w:marTop w:val="0"/>
                                              <w:marBottom w:val="0"/>
                                              <w:divBdr>
                                                <w:top w:val="none" w:sz="0" w:space="0" w:color="auto"/>
                                                <w:left w:val="none" w:sz="0" w:space="0" w:color="auto"/>
                                                <w:bottom w:val="none" w:sz="0" w:space="0" w:color="auto"/>
                                                <w:right w:val="none" w:sz="0" w:space="0" w:color="auto"/>
                                              </w:divBdr>
                                              <w:divsChild>
                                                <w:div w:id="1723287426">
                                                  <w:marLeft w:val="0"/>
                                                  <w:marRight w:val="0"/>
                                                  <w:marTop w:val="0"/>
                                                  <w:marBottom w:val="0"/>
                                                  <w:divBdr>
                                                    <w:top w:val="none" w:sz="0" w:space="0" w:color="auto"/>
                                                    <w:left w:val="none" w:sz="0" w:space="0" w:color="auto"/>
                                                    <w:bottom w:val="none" w:sz="0" w:space="0" w:color="auto"/>
                                                    <w:right w:val="none" w:sz="0" w:space="0" w:color="auto"/>
                                                  </w:divBdr>
                                                  <w:divsChild>
                                                    <w:div w:id="2110814943">
                                                      <w:marLeft w:val="0"/>
                                                      <w:marRight w:val="0"/>
                                                      <w:marTop w:val="0"/>
                                                      <w:marBottom w:val="0"/>
                                                      <w:divBdr>
                                                        <w:top w:val="none" w:sz="0" w:space="0" w:color="auto"/>
                                                        <w:left w:val="none" w:sz="0" w:space="0" w:color="auto"/>
                                                        <w:bottom w:val="none" w:sz="0" w:space="0" w:color="auto"/>
                                                        <w:right w:val="none" w:sz="0" w:space="0" w:color="auto"/>
                                                      </w:divBdr>
                                                      <w:divsChild>
                                                        <w:div w:id="740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173786">
      <w:bodyDiv w:val="1"/>
      <w:marLeft w:val="0"/>
      <w:marRight w:val="0"/>
      <w:marTop w:val="0"/>
      <w:marBottom w:val="0"/>
      <w:divBdr>
        <w:top w:val="none" w:sz="0" w:space="0" w:color="auto"/>
        <w:left w:val="none" w:sz="0" w:space="0" w:color="auto"/>
        <w:bottom w:val="none" w:sz="0" w:space="0" w:color="auto"/>
        <w:right w:val="none" w:sz="0" w:space="0" w:color="auto"/>
      </w:divBdr>
      <w:divsChild>
        <w:div w:id="1149126990">
          <w:marLeft w:val="0"/>
          <w:marRight w:val="0"/>
          <w:marTop w:val="0"/>
          <w:marBottom w:val="0"/>
          <w:divBdr>
            <w:top w:val="none" w:sz="0" w:space="0" w:color="auto"/>
            <w:left w:val="none" w:sz="0" w:space="0" w:color="auto"/>
            <w:bottom w:val="none" w:sz="0" w:space="0" w:color="auto"/>
            <w:right w:val="none" w:sz="0" w:space="0" w:color="auto"/>
          </w:divBdr>
          <w:divsChild>
            <w:div w:id="700284331">
              <w:marLeft w:val="0"/>
              <w:marRight w:val="0"/>
              <w:marTop w:val="0"/>
              <w:marBottom w:val="0"/>
              <w:divBdr>
                <w:top w:val="none" w:sz="0" w:space="0" w:color="auto"/>
                <w:left w:val="none" w:sz="0" w:space="0" w:color="auto"/>
                <w:bottom w:val="none" w:sz="0" w:space="0" w:color="auto"/>
                <w:right w:val="none" w:sz="0" w:space="0" w:color="auto"/>
              </w:divBdr>
              <w:divsChild>
                <w:div w:id="421415695">
                  <w:marLeft w:val="0"/>
                  <w:marRight w:val="0"/>
                  <w:marTop w:val="0"/>
                  <w:marBottom w:val="0"/>
                  <w:divBdr>
                    <w:top w:val="none" w:sz="0" w:space="0" w:color="auto"/>
                    <w:left w:val="none" w:sz="0" w:space="0" w:color="auto"/>
                    <w:bottom w:val="none" w:sz="0" w:space="0" w:color="auto"/>
                    <w:right w:val="none" w:sz="0" w:space="0" w:color="auto"/>
                  </w:divBdr>
                  <w:divsChild>
                    <w:div w:id="1660693377">
                      <w:marLeft w:val="1"/>
                      <w:marRight w:val="1"/>
                      <w:marTop w:val="0"/>
                      <w:marBottom w:val="0"/>
                      <w:divBdr>
                        <w:top w:val="none" w:sz="0" w:space="0" w:color="auto"/>
                        <w:left w:val="none" w:sz="0" w:space="0" w:color="auto"/>
                        <w:bottom w:val="none" w:sz="0" w:space="0" w:color="auto"/>
                        <w:right w:val="none" w:sz="0" w:space="0" w:color="auto"/>
                      </w:divBdr>
                      <w:divsChild>
                        <w:div w:id="1751808465">
                          <w:marLeft w:val="0"/>
                          <w:marRight w:val="0"/>
                          <w:marTop w:val="0"/>
                          <w:marBottom w:val="0"/>
                          <w:divBdr>
                            <w:top w:val="none" w:sz="0" w:space="0" w:color="auto"/>
                            <w:left w:val="none" w:sz="0" w:space="0" w:color="auto"/>
                            <w:bottom w:val="none" w:sz="0" w:space="0" w:color="auto"/>
                            <w:right w:val="none" w:sz="0" w:space="0" w:color="auto"/>
                          </w:divBdr>
                          <w:divsChild>
                            <w:div w:id="809635790">
                              <w:marLeft w:val="0"/>
                              <w:marRight w:val="0"/>
                              <w:marTop w:val="0"/>
                              <w:marBottom w:val="360"/>
                              <w:divBdr>
                                <w:top w:val="none" w:sz="0" w:space="0" w:color="auto"/>
                                <w:left w:val="none" w:sz="0" w:space="0" w:color="auto"/>
                                <w:bottom w:val="none" w:sz="0" w:space="0" w:color="auto"/>
                                <w:right w:val="none" w:sz="0" w:space="0" w:color="auto"/>
                              </w:divBdr>
                              <w:divsChild>
                                <w:div w:id="1484545962">
                                  <w:marLeft w:val="0"/>
                                  <w:marRight w:val="0"/>
                                  <w:marTop w:val="0"/>
                                  <w:marBottom w:val="0"/>
                                  <w:divBdr>
                                    <w:top w:val="none" w:sz="0" w:space="0" w:color="auto"/>
                                    <w:left w:val="none" w:sz="0" w:space="0" w:color="auto"/>
                                    <w:bottom w:val="none" w:sz="0" w:space="0" w:color="auto"/>
                                    <w:right w:val="none" w:sz="0" w:space="0" w:color="auto"/>
                                  </w:divBdr>
                                  <w:divsChild>
                                    <w:div w:id="2032800188">
                                      <w:marLeft w:val="0"/>
                                      <w:marRight w:val="0"/>
                                      <w:marTop w:val="0"/>
                                      <w:marBottom w:val="0"/>
                                      <w:divBdr>
                                        <w:top w:val="none" w:sz="0" w:space="0" w:color="auto"/>
                                        <w:left w:val="none" w:sz="0" w:space="0" w:color="auto"/>
                                        <w:bottom w:val="none" w:sz="0" w:space="0" w:color="auto"/>
                                        <w:right w:val="none" w:sz="0" w:space="0" w:color="auto"/>
                                      </w:divBdr>
                                      <w:divsChild>
                                        <w:div w:id="358553051">
                                          <w:marLeft w:val="0"/>
                                          <w:marRight w:val="0"/>
                                          <w:marTop w:val="0"/>
                                          <w:marBottom w:val="0"/>
                                          <w:divBdr>
                                            <w:top w:val="none" w:sz="0" w:space="0" w:color="auto"/>
                                            <w:left w:val="none" w:sz="0" w:space="0" w:color="auto"/>
                                            <w:bottom w:val="none" w:sz="0" w:space="0" w:color="auto"/>
                                            <w:right w:val="none" w:sz="0" w:space="0" w:color="auto"/>
                                          </w:divBdr>
                                          <w:divsChild>
                                            <w:div w:id="749621478">
                                              <w:marLeft w:val="0"/>
                                              <w:marRight w:val="0"/>
                                              <w:marTop w:val="0"/>
                                              <w:marBottom w:val="0"/>
                                              <w:divBdr>
                                                <w:top w:val="none" w:sz="0" w:space="0" w:color="auto"/>
                                                <w:left w:val="none" w:sz="0" w:space="0" w:color="auto"/>
                                                <w:bottom w:val="none" w:sz="0" w:space="0" w:color="auto"/>
                                                <w:right w:val="none" w:sz="0" w:space="0" w:color="auto"/>
                                              </w:divBdr>
                                              <w:divsChild>
                                                <w:div w:id="1164591346">
                                                  <w:marLeft w:val="0"/>
                                                  <w:marRight w:val="0"/>
                                                  <w:marTop w:val="0"/>
                                                  <w:marBottom w:val="0"/>
                                                  <w:divBdr>
                                                    <w:top w:val="none" w:sz="0" w:space="0" w:color="auto"/>
                                                    <w:left w:val="none" w:sz="0" w:space="0" w:color="auto"/>
                                                    <w:bottom w:val="none" w:sz="0" w:space="0" w:color="auto"/>
                                                    <w:right w:val="none" w:sz="0" w:space="0" w:color="auto"/>
                                                  </w:divBdr>
                                                  <w:divsChild>
                                                    <w:div w:id="999382448">
                                                      <w:marLeft w:val="0"/>
                                                      <w:marRight w:val="0"/>
                                                      <w:marTop w:val="0"/>
                                                      <w:marBottom w:val="0"/>
                                                      <w:divBdr>
                                                        <w:top w:val="none" w:sz="0" w:space="0" w:color="auto"/>
                                                        <w:left w:val="none" w:sz="0" w:space="0" w:color="auto"/>
                                                        <w:bottom w:val="none" w:sz="0" w:space="0" w:color="auto"/>
                                                        <w:right w:val="none" w:sz="0" w:space="0" w:color="auto"/>
                                                      </w:divBdr>
                                                      <w:divsChild>
                                                        <w:div w:id="65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154701">
      <w:bodyDiv w:val="1"/>
      <w:marLeft w:val="0"/>
      <w:marRight w:val="0"/>
      <w:marTop w:val="0"/>
      <w:marBottom w:val="0"/>
      <w:divBdr>
        <w:top w:val="none" w:sz="0" w:space="0" w:color="auto"/>
        <w:left w:val="none" w:sz="0" w:space="0" w:color="auto"/>
        <w:bottom w:val="none" w:sz="0" w:space="0" w:color="auto"/>
        <w:right w:val="none" w:sz="0" w:space="0" w:color="auto"/>
      </w:divBdr>
      <w:divsChild>
        <w:div w:id="968972707">
          <w:marLeft w:val="0"/>
          <w:marRight w:val="0"/>
          <w:marTop w:val="0"/>
          <w:marBottom w:val="0"/>
          <w:divBdr>
            <w:top w:val="none" w:sz="0" w:space="0" w:color="auto"/>
            <w:left w:val="none" w:sz="0" w:space="0" w:color="auto"/>
            <w:bottom w:val="none" w:sz="0" w:space="0" w:color="auto"/>
            <w:right w:val="none" w:sz="0" w:space="0" w:color="auto"/>
          </w:divBdr>
          <w:divsChild>
            <w:div w:id="1841431340">
              <w:marLeft w:val="0"/>
              <w:marRight w:val="0"/>
              <w:marTop w:val="0"/>
              <w:marBottom w:val="0"/>
              <w:divBdr>
                <w:top w:val="none" w:sz="0" w:space="0" w:color="auto"/>
                <w:left w:val="none" w:sz="0" w:space="0" w:color="auto"/>
                <w:bottom w:val="none" w:sz="0" w:space="0" w:color="auto"/>
                <w:right w:val="none" w:sz="0" w:space="0" w:color="auto"/>
              </w:divBdr>
              <w:divsChild>
                <w:div w:id="576743454">
                  <w:marLeft w:val="0"/>
                  <w:marRight w:val="0"/>
                  <w:marTop w:val="0"/>
                  <w:marBottom w:val="0"/>
                  <w:divBdr>
                    <w:top w:val="none" w:sz="0" w:space="0" w:color="auto"/>
                    <w:left w:val="none" w:sz="0" w:space="0" w:color="auto"/>
                    <w:bottom w:val="none" w:sz="0" w:space="0" w:color="auto"/>
                    <w:right w:val="none" w:sz="0" w:space="0" w:color="auto"/>
                  </w:divBdr>
                  <w:divsChild>
                    <w:div w:id="1719041073">
                      <w:marLeft w:val="1"/>
                      <w:marRight w:val="1"/>
                      <w:marTop w:val="0"/>
                      <w:marBottom w:val="0"/>
                      <w:divBdr>
                        <w:top w:val="none" w:sz="0" w:space="0" w:color="auto"/>
                        <w:left w:val="none" w:sz="0" w:space="0" w:color="auto"/>
                        <w:bottom w:val="none" w:sz="0" w:space="0" w:color="auto"/>
                        <w:right w:val="none" w:sz="0" w:space="0" w:color="auto"/>
                      </w:divBdr>
                      <w:divsChild>
                        <w:div w:id="1667316910">
                          <w:marLeft w:val="0"/>
                          <w:marRight w:val="0"/>
                          <w:marTop w:val="0"/>
                          <w:marBottom w:val="0"/>
                          <w:divBdr>
                            <w:top w:val="none" w:sz="0" w:space="0" w:color="auto"/>
                            <w:left w:val="none" w:sz="0" w:space="0" w:color="auto"/>
                            <w:bottom w:val="none" w:sz="0" w:space="0" w:color="auto"/>
                            <w:right w:val="none" w:sz="0" w:space="0" w:color="auto"/>
                          </w:divBdr>
                          <w:divsChild>
                            <w:div w:id="1460369492">
                              <w:marLeft w:val="0"/>
                              <w:marRight w:val="0"/>
                              <w:marTop w:val="0"/>
                              <w:marBottom w:val="360"/>
                              <w:divBdr>
                                <w:top w:val="none" w:sz="0" w:space="0" w:color="auto"/>
                                <w:left w:val="none" w:sz="0" w:space="0" w:color="auto"/>
                                <w:bottom w:val="none" w:sz="0" w:space="0" w:color="auto"/>
                                <w:right w:val="none" w:sz="0" w:space="0" w:color="auto"/>
                              </w:divBdr>
                              <w:divsChild>
                                <w:div w:id="866407942">
                                  <w:marLeft w:val="0"/>
                                  <w:marRight w:val="0"/>
                                  <w:marTop w:val="0"/>
                                  <w:marBottom w:val="0"/>
                                  <w:divBdr>
                                    <w:top w:val="none" w:sz="0" w:space="0" w:color="auto"/>
                                    <w:left w:val="none" w:sz="0" w:space="0" w:color="auto"/>
                                    <w:bottom w:val="none" w:sz="0" w:space="0" w:color="auto"/>
                                    <w:right w:val="none" w:sz="0" w:space="0" w:color="auto"/>
                                  </w:divBdr>
                                  <w:divsChild>
                                    <w:div w:id="516312978">
                                      <w:marLeft w:val="0"/>
                                      <w:marRight w:val="0"/>
                                      <w:marTop w:val="0"/>
                                      <w:marBottom w:val="0"/>
                                      <w:divBdr>
                                        <w:top w:val="none" w:sz="0" w:space="0" w:color="auto"/>
                                        <w:left w:val="none" w:sz="0" w:space="0" w:color="auto"/>
                                        <w:bottom w:val="none" w:sz="0" w:space="0" w:color="auto"/>
                                        <w:right w:val="none" w:sz="0" w:space="0" w:color="auto"/>
                                      </w:divBdr>
                                      <w:divsChild>
                                        <w:div w:id="360322527">
                                          <w:marLeft w:val="0"/>
                                          <w:marRight w:val="0"/>
                                          <w:marTop w:val="0"/>
                                          <w:marBottom w:val="0"/>
                                          <w:divBdr>
                                            <w:top w:val="none" w:sz="0" w:space="0" w:color="auto"/>
                                            <w:left w:val="none" w:sz="0" w:space="0" w:color="auto"/>
                                            <w:bottom w:val="none" w:sz="0" w:space="0" w:color="auto"/>
                                            <w:right w:val="none" w:sz="0" w:space="0" w:color="auto"/>
                                          </w:divBdr>
                                          <w:divsChild>
                                            <w:div w:id="2070881850">
                                              <w:marLeft w:val="0"/>
                                              <w:marRight w:val="0"/>
                                              <w:marTop w:val="0"/>
                                              <w:marBottom w:val="0"/>
                                              <w:divBdr>
                                                <w:top w:val="none" w:sz="0" w:space="0" w:color="auto"/>
                                                <w:left w:val="none" w:sz="0" w:space="0" w:color="auto"/>
                                                <w:bottom w:val="none" w:sz="0" w:space="0" w:color="auto"/>
                                                <w:right w:val="none" w:sz="0" w:space="0" w:color="auto"/>
                                              </w:divBdr>
                                              <w:divsChild>
                                                <w:div w:id="2009090260">
                                                  <w:marLeft w:val="0"/>
                                                  <w:marRight w:val="0"/>
                                                  <w:marTop w:val="0"/>
                                                  <w:marBottom w:val="0"/>
                                                  <w:divBdr>
                                                    <w:top w:val="none" w:sz="0" w:space="0" w:color="auto"/>
                                                    <w:left w:val="none" w:sz="0" w:space="0" w:color="auto"/>
                                                    <w:bottom w:val="none" w:sz="0" w:space="0" w:color="auto"/>
                                                    <w:right w:val="none" w:sz="0" w:space="0" w:color="auto"/>
                                                  </w:divBdr>
                                                  <w:divsChild>
                                                    <w:div w:id="1645352925">
                                                      <w:marLeft w:val="0"/>
                                                      <w:marRight w:val="0"/>
                                                      <w:marTop w:val="0"/>
                                                      <w:marBottom w:val="0"/>
                                                      <w:divBdr>
                                                        <w:top w:val="none" w:sz="0" w:space="0" w:color="auto"/>
                                                        <w:left w:val="none" w:sz="0" w:space="0" w:color="auto"/>
                                                        <w:bottom w:val="none" w:sz="0" w:space="0" w:color="auto"/>
                                                        <w:right w:val="none" w:sz="0" w:space="0" w:color="auto"/>
                                                      </w:divBdr>
                                                      <w:divsChild>
                                                        <w:div w:id="1152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7683">
      <w:bodyDiv w:val="1"/>
      <w:marLeft w:val="0"/>
      <w:marRight w:val="0"/>
      <w:marTop w:val="0"/>
      <w:marBottom w:val="0"/>
      <w:divBdr>
        <w:top w:val="none" w:sz="0" w:space="0" w:color="auto"/>
        <w:left w:val="none" w:sz="0" w:space="0" w:color="auto"/>
        <w:bottom w:val="none" w:sz="0" w:space="0" w:color="auto"/>
        <w:right w:val="none" w:sz="0" w:space="0" w:color="auto"/>
      </w:divBdr>
    </w:div>
    <w:div w:id="2014063174">
      <w:bodyDiv w:val="1"/>
      <w:marLeft w:val="0"/>
      <w:marRight w:val="0"/>
      <w:marTop w:val="0"/>
      <w:marBottom w:val="0"/>
      <w:divBdr>
        <w:top w:val="none" w:sz="0" w:space="0" w:color="auto"/>
        <w:left w:val="none" w:sz="0" w:space="0" w:color="auto"/>
        <w:bottom w:val="none" w:sz="0" w:space="0" w:color="auto"/>
        <w:right w:val="none" w:sz="0" w:space="0" w:color="auto"/>
      </w:divBdr>
      <w:divsChild>
        <w:div w:id="2055150944">
          <w:marLeft w:val="0"/>
          <w:marRight w:val="0"/>
          <w:marTop w:val="0"/>
          <w:marBottom w:val="0"/>
          <w:divBdr>
            <w:top w:val="none" w:sz="0" w:space="0" w:color="auto"/>
            <w:left w:val="none" w:sz="0" w:space="0" w:color="auto"/>
            <w:bottom w:val="none" w:sz="0" w:space="0" w:color="auto"/>
            <w:right w:val="none" w:sz="0" w:space="0" w:color="auto"/>
          </w:divBdr>
          <w:divsChild>
            <w:div w:id="1303386100">
              <w:marLeft w:val="0"/>
              <w:marRight w:val="0"/>
              <w:marTop w:val="0"/>
              <w:marBottom w:val="0"/>
              <w:divBdr>
                <w:top w:val="none" w:sz="0" w:space="0" w:color="auto"/>
                <w:left w:val="none" w:sz="0" w:space="0" w:color="auto"/>
                <w:bottom w:val="none" w:sz="0" w:space="0" w:color="auto"/>
                <w:right w:val="none" w:sz="0" w:space="0" w:color="auto"/>
              </w:divBdr>
              <w:divsChild>
                <w:div w:id="382677421">
                  <w:marLeft w:val="0"/>
                  <w:marRight w:val="0"/>
                  <w:marTop w:val="0"/>
                  <w:marBottom w:val="0"/>
                  <w:divBdr>
                    <w:top w:val="none" w:sz="0" w:space="0" w:color="auto"/>
                    <w:left w:val="none" w:sz="0" w:space="0" w:color="auto"/>
                    <w:bottom w:val="none" w:sz="0" w:space="0" w:color="auto"/>
                    <w:right w:val="none" w:sz="0" w:space="0" w:color="auto"/>
                  </w:divBdr>
                  <w:divsChild>
                    <w:div w:id="1218400849">
                      <w:marLeft w:val="1"/>
                      <w:marRight w:val="1"/>
                      <w:marTop w:val="0"/>
                      <w:marBottom w:val="0"/>
                      <w:divBdr>
                        <w:top w:val="none" w:sz="0" w:space="0" w:color="auto"/>
                        <w:left w:val="none" w:sz="0" w:space="0" w:color="auto"/>
                        <w:bottom w:val="none" w:sz="0" w:space="0" w:color="auto"/>
                        <w:right w:val="none" w:sz="0" w:space="0" w:color="auto"/>
                      </w:divBdr>
                      <w:divsChild>
                        <w:div w:id="2138837792">
                          <w:marLeft w:val="0"/>
                          <w:marRight w:val="0"/>
                          <w:marTop w:val="0"/>
                          <w:marBottom w:val="0"/>
                          <w:divBdr>
                            <w:top w:val="none" w:sz="0" w:space="0" w:color="auto"/>
                            <w:left w:val="none" w:sz="0" w:space="0" w:color="auto"/>
                            <w:bottom w:val="none" w:sz="0" w:space="0" w:color="auto"/>
                            <w:right w:val="none" w:sz="0" w:space="0" w:color="auto"/>
                          </w:divBdr>
                          <w:divsChild>
                            <w:div w:id="150174959">
                              <w:marLeft w:val="0"/>
                              <w:marRight w:val="0"/>
                              <w:marTop w:val="0"/>
                              <w:marBottom w:val="360"/>
                              <w:divBdr>
                                <w:top w:val="none" w:sz="0" w:space="0" w:color="auto"/>
                                <w:left w:val="none" w:sz="0" w:space="0" w:color="auto"/>
                                <w:bottom w:val="none" w:sz="0" w:space="0" w:color="auto"/>
                                <w:right w:val="none" w:sz="0" w:space="0" w:color="auto"/>
                              </w:divBdr>
                              <w:divsChild>
                                <w:div w:id="1422407177">
                                  <w:marLeft w:val="0"/>
                                  <w:marRight w:val="0"/>
                                  <w:marTop w:val="0"/>
                                  <w:marBottom w:val="0"/>
                                  <w:divBdr>
                                    <w:top w:val="none" w:sz="0" w:space="0" w:color="auto"/>
                                    <w:left w:val="none" w:sz="0" w:space="0" w:color="auto"/>
                                    <w:bottom w:val="none" w:sz="0" w:space="0" w:color="auto"/>
                                    <w:right w:val="none" w:sz="0" w:space="0" w:color="auto"/>
                                  </w:divBdr>
                                  <w:divsChild>
                                    <w:div w:id="1641613261">
                                      <w:marLeft w:val="0"/>
                                      <w:marRight w:val="0"/>
                                      <w:marTop w:val="0"/>
                                      <w:marBottom w:val="0"/>
                                      <w:divBdr>
                                        <w:top w:val="none" w:sz="0" w:space="0" w:color="auto"/>
                                        <w:left w:val="none" w:sz="0" w:space="0" w:color="auto"/>
                                        <w:bottom w:val="none" w:sz="0" w:space="0" w:color="auto"/>
                                        <w:right w:val="none" w:sz="0" w:space="0" w:color="auto"/>
                                      </w:divBdr>
                                      <w:divsChild>
                                        <w:div w:id="2128116600">
                                          <w:marLeft w:val="0"/>
                                          <w:marRight w:val="0"/>
                                          <w:marTop w:val="0"/>
                                          <w:marBottom w:val="0"/>
                                          <w:divBdr>
                                            <w:top w:val="none" w:sz="0" w:space="0" w:color="auto"/>
                                            <w:left w:val="none" w:sz="0" w:space="0" w:color="auto"/>
                                            <w:bottom w:val="none" w:sz="0" w:space="0" w:color="auto"/>
                                            <w:right w:val="none" w:sz="0" w:space="0" w:color="auto"/>
                                          </w:divBdr>
                                          <w:divsChild>
                                            <w:div w:id="416748202">
                                              <w:marLeft w:val="0"/>
                                              <w:marRight w:val="0"/>
                                              <w:marTop w:val="0"/>
                                              <w:marBottom w:val="0"/>
                                              <w:divBdr>
                                                <w:top w:val="none" w:sz="0" w:space="0" w:color="auto"/>
                                                <w:left w:val="none" w:sz="0" w:space="0" w:color="auto"/>
                                                <w:bottom w:val="none" w:sz="0" w:space="0" w:color="auto"/>
                                                <w:right w:val="none" w:sz="0" w:space="0" w:color="auto"/>
                                              </w:divBdr>
                                              <w:divsChild>
                                                <w:div w:id="2043742199">
                                                  <w:marLeft w:val="0"/>
                                                  <w:marRight w:val="0"/>
                                                  <w:marTop w:val="0"/>
                                                  <w:marBottom w:val="0"/>
                                                  <w:divBdr>
                                                    <w:top w:val="none" w:sz="0" w:space="0" w:color="auto"/>
                                                    <w:left w:val="none" w:sz="0" w:space="0" w:color="auto"/>
                                                    <w:bottom w:val="none" w:sz="0" w:space="0" w:color="auto"/>
                                                    <w:right w:val="none" w:sz="0" w:space="0" w:color="auto"/>
                                                  </w:divBdr>
                                                  <w:divsChild>
                                                    <w:div w:id="613098428">
                                                      <w:marLeft w:val="0"/>
                                                      <w:marRight w:val="0"/>
                                                      <w:marTop w:val="0"/>
                                                      <w:marBottom w:val="0"/>
                                                      <w:divBdr>
                                                        <w:top w:val="none" w:sz="0" w:space="0" w:color="auto"/>
                                                        <w:left w:val="none" w:sz="0" w:space="0" w:color="auto"/>
                                                        <w:bottom w:val="none" w:sz="0" w:space="0" w:color="auto"/>
                                                        <w:right w:val="none" w:sz="0" w:space="0" w:color="auto"/>
                                                      </w:divBdr>
                                                      <w:divsChild>
                                                        <w:div w:id="6800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6:161: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426C-9CC7-4386-B069-36679C9D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2086</Words>
  <Characters>11478</Characters>
  <Application>Microsoft Office Word</Application>
  <DocSecurity>0</DocSecurity>
  <Lines>234</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2019-09-17T08:50:00Z</cp:lastPrinted>
  <dcterms:created xsi:type="dcterms:W3CDTF">2019-11-15T15:54:00Z</dcterms:created>
  <dcterms:modified xsi:type="dcterms:W3CDTF">2019-11-20T11:43:00Z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