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D7FB92-C2C4-4C98-96B0-514AAB6A7671" style="width:450.75pt;height:307.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jc w:val="both"/>
        <w:rPr>
          <w:rFonts w:ascii="Times New Roman" w:hAnsi="Times New Roman" w:cs="Times New Roman"/>
          <w:noProof/>
        </w:rPr>
      </w:pPr>
      <w:bookmarkStart w:id="1" w:name="_GoBack"/>
      <w:bookmarkEnd w:id="1"/>
      <w:r>
        <w:rPr>
          <w:rFonts w:ascii="Times New Roman" w:hAnsi="Times New Roman"/>
          <w:noProof/>
        </w:rPr>
        <w:lastRenderedPageBreak/>
        <w:t>Ši ataskaita dėl griežtesnės priežiūros vizito Vengrijoje Tarybai teikiama pagal Reglamento (EB) Nr. 1466/97 -11 straipsnio 4 dalį</w:t>
      </w:r>
      <w:r>
        <w:rPr>
          <w:rStyle w:val="FootnoteReference"/>
          <w:rFonts w:eastAsiaTheme="minorEastAsia"/>
          <w:noProof/>
        </w:rPr>
        <w:footnoteReference w:id="1"/>
      </w:r>
      <w:r>
        <w:rPr>
          <w:noProof/>
        </w:rPr>
        <w:t>.</w:t>
      </w:r>
      <w:r>
        <w:rPr>
          <w:rFonts w:ascii="Times New Roman" w:hAnsi="Times New Roman"/>
          <w:noProof/>
        </w:rPr>
        <w:t xml:space="preserve"> Kaip numatyta Reglamento (EB) Nr. 1466/97 -11 straipsnio 5 dalyje, prieš tai Vengrijos valdžios institucijoms buvo perduotos preliminarios to vizito išvados, kad jos galėtų pateikti savo pastabas.</w:t>
      </w:r>
    </w:p>
    <w:p>
      <w:pPr>
        <w:spacing w:after="120"/>
        <w:jc w:val="center"/>
        <w:rPr>
          <w:rFonts w:ascii="Times New Roman" w:hAnsi="Times New Roman" w:cs="Times New Roman"/>
          <w:b/>
          <w:noProof/>
        </w:rPr>
      </w:pPr>
      <w:r>
        <w:rPr>
          <w:rFonts w:ascii="Times New Roman" w:hAnsi="Times New Roman"/>
          <w:b/>
          <w:noProof/>
        </w:rPr>
        <w:t xml:space="preserve">Vengrija. Procedūra dėl didelio nukrypimo </w:t>
      </w:r>
    </w:p>
    <w:p>
      <w:pPr>
        <w:spacing w:after="120"/>
        <w:jc w:val="center"/>
        <w:rPr>
          <w:rFonts w:ascii="Times New Roman" w:hAnsi="Times New Roman" w:cs="Times New Roman"/>
          <w:b/>
          <w:noProof/>
        </w:rPr>
      </w:pPr>
      <w:r>
        <w:rPr>
          <w:rFonts w:ascii="Times New Roman" w:hAnsi="Times New Roman"/>
          <w:b/>
          <w:noProof/>
        </w:rPr>
        <w:t>Griežtesnės priežiūros vizitas 2019 m. rugsėjo 26 d.</w:t>
      </w:r>
    </w:p>
    <w:p>
      <w:pPr>
        <w:spacing w:after="120"/>
        <w:jc w:val="center"/>
        <w:rPr>
          <w:rFonts w:ascii="Times New Roman" w:hAnsi="Times New Roman" w:cs="Times New Roman"/>
          <w:b/>
          <w:noProof/>
        </w:rPr>
      </w:pPr>
      <w:r>
        <w:rPr>
          <w:rFonts w:ascii="Times New Roman" w:hAnsi="Times New Roman"/>
          <w:b/>
          <w:noProof/>
        </w:rPr>
        <w:t>Ataskaita</w:t>
      </w:r>
    </w:p>
    <w:p>
      <w:pPr>
        <w:spacing w:after="120"/>
        <w:jc w:val="center"/>
        <w:rPr>
          <w:rFonts w:ascii="Times New Roman" w:hAnsi="Times New Roman" w:cs="Times New Roman"/>
          <w:b/>
          <w:noProof/>
        </w:rPr>
      </w:pPr>
    </w:p>
    <w:p>
      <w:pPr>
        <w:spacing w:after="120"/>
        <w:jc w:val="both"/>
        <w:rPr>
          <w:rFonts w:ascii="Times New Roman" w:hAnsi="Times New Roman" w:cs="Times New Roman"/>
          <w:b/>
          <w:noProof/>
        </w:rPr>
      </w:pPr>
      <w:r>
        <w:rPr>
          <w:rFonts w:ascii="Times New Roman" w:hAnsi="Times New Roman"/>
          <w:b/>
          <w:noProof/>
        </w:rPr>
        <w:t>1. Įvadas</w:t>
      </w:r>
    </w:p>
    <w:p>
      <w:pPr>
        <w:spacing w:after="120"/>
        <w:jc w:val="both"/>
        <w:rPr>
          <w:rFonts w:ascii="Times New Roman" w:eastAsiaTheme="minorEastAsia" w:hAnsi="Times New Roman" w:cs="Times New Roman"/>
          <w:noProof/>
        </w:rPr>
      </w:pPr>
      <w:r>
        <w:rPr>
          <w:rFonts w:ascii="Times New Roman" w:hAnsi="Times New Roman"/>
          <w:b/>
          <w:noProof/>
        </w:rPr>
        <w:t xml:space="preserve">Procedūros dėl didelio nukrypimo Vengrijai taikomos nuo 2018 m. pavasario. </w:t>
      </w:r>
      <w:r>
        <w:rPr>
          <w:rFonts w:ascii="Times New Roman" w:hAnsi="Times New Roman"/>
          <w:noProof/>
        </w:rPr>
        <w:t>2018 m. birželio mėn. Taryba pagal Sutarties 121 straipsnio 4 dalį nustatė, kad 2017 m. buvo labai nukrypta nuo vidutinio laikotarpio biudžeto tikslo. Taryba pateikė rekomendaciją Vengrijai imtis būtinų politikos priemonių nukrypimui ištaisyti. 2018 m. gruodžio mėn. Taryba padarė išvadą, kad Vengrija nesiėmė veiksmingų priemonių, ir pateikė patikslintą rekomendaciją. Tačiau Vengrija nesiėmė veiksmingų priemonių ir patikslintai rekomendacijai įgyvendinti</w:t>
      </w:r>
      <w:r>
        <w:rPr>
          <w:rStyle w:val="FootnoteReference"/>
          <w:rFonts w:ascii="Times New Roman" w:eastAsiaTheme="minorEastAsia" w:hAnsi="Times New Roman" w:cs="Times New Roman"/>
          <w:noProof/>
        </w:rPr>
        <w:footnoteReference w:id="2"/>
      </w:r>
      <w:r>
        <w:rPr>
          <w:rFonts w:ascii="Times New Roman" w:hAnsi="Times New Roman"/>
          <w:noProof/>
        </w:rPr>
        <w:t>.</w:t>
      </w:r>
    </w:p>
    <w:p>
      <w:pPr>
        <w:spacing w:after="120"/>
        <w:jc w:val="both"/>
        <w:rPr>
          <w:rFonts w:ascii="Times New Roman" w:eastAsia="Times New Roman" w:hAnsi="Times New Roman" w:cs="Times New Roman"/>
          <w:noProof/>
        </w:rPr>
      </w:pPr>
      <w:r>
        <w:rPr>
          <w:rFonts w:ascii="Times New Roman" w:hAnsi="Times New Roman"/>
          <w:b/>
          <w:noProof/>
        </w:rPr>
        <w:t>Stabilumo ir augimo pakto prevencinės dalies nesilaikymas 2018 m. paskatino 2019 m. birželio mėn. pradėti taikyti naują procedūrą dėl didelio nukrypimo.</w:t>
      </w:r>
      <w:r>
        <w:rPr>
          <w:rFonts w:ascii="Times New Roman" w:hAnsi="Times New Roman"/>
          <w:noProof/>
        </w:rPr>
        <w:t xml:space="preserve"> 2019 m. birželio 5 d. Komisija įspėjo Vengriją, kad 2018 m. ji vėl nukrypo nuo koregavimo plano siekiant vidutinio laikotarpio biudžeto tikslo ir pasiūlė Tarybai pradėti taikyti naują procedūrą dėl didelio nukrypimo. Taryba paprašė Vengrijos imtis priemonių užtikrinti, kad grynųjų pirminių valdžios sektoriaus išlaidų nominalus augimas 2019 m. neviršytų 3,3 %, o 2020 m. – 4,7 %, o tai atitinka 1,0 % BVP metinį struktūrinį koregavimą 2019 m. ir 0,75 % BVP 2020 m., o rekomenduojamos struktūrinės pastangos 2020 m. </w:t>
      </w:r>
      <w:r>
        <w:rPr>
          <w:rFonts w:ascii="Times New Roman" w:hAnsi="Times New Roman"/>
          <w:i/>
          <w:noProof/>
        </w:rPr>
        <w:t>priklausys nuo prašomo koregavimo laikymosi 2019 m.</w:t>
      </w:r>
    </w:p>
    <w:p>
      <w:pPr>
        <w:spacing w:after="120"/>
        <w:jc w:val="both"/>
        <w:rPr>
          <w:rFonts w:ascii="Times New Roman" w:hAnsi="Times New Roman" w:cs="Times New Roman"/>
          <w:noProof/>
        </w:rPr>
      </w:pPr>
      <w:r>
        <w:rPr>
          <w:rFonts w:ascii="Times New Roman" w:hAnsi="Times New Roman"/>
          <w:b/>
          <w:noProof/>
        </w:rPr>
        <w:t>Iki šiol nėra jokių ženklų, kad valdžios institucijos imtųsi papildomų taisomųjų veiksmų atsižvelgdamos į 2019 m. Tarybos rekomendaciją.</w:t>
      </w:r>
      <w:r>
        <w:rPr>
          <w:rFonts w:ascii="Times New Roman" w:hAnsi="Times New Roman"/>
          <w:noProof/>
        </w:rPr>
        <w:t xml:space="preserve"> Komisijos 2019 m. pavasario prognozėje numatoma, kad 2019 m. deficitas sumažės nuo 2,2 % BVP 2018 m. iki 1,8 % BVP, t. y. atitiks 2019 m. konvergencijos programoje nustatytus valdžios institucijų tikslus. Tačiau apskaičiuota 2019 m. fiskalinių pastangų vertė rodė, kad Tarybos rekomendacijos nesilaikoma. 2019 m. pirmąjį pusmetį paskelbti makroekonominiai rodikliai rodo geresnę, nei tikėtasi, makroekonominę aplinką 2019 m., o realiojo ir nominaliojo BVP augimas viršija valdžios institucijų ir Komisijos prognozes. Privačiam vartojimui buvo palanki stipri darbo rinka ir tolesnis darbdavių socialinio draudimo įmokų mažinimas. Tai lėmė palankius 2019 m. biudžeto duomenis, rodančius, kad gali būti pasiektas 1,8 % BVP fiskalinis deficitas, t. y. atitinkantis valdžios institucijų nustatytą tikslą. Tačiau 2019 m. nebuvo imtasi jokių papildomų priemonių Tarybos rekomendacijai įgyvendinti.</w:t>
      </w:r>
    </w:p>
    <w:p>
      <w:pPr>
        <w:spacing w:after="120"/>
        <w:jc w:val="both"/>
        <w:rPr>
          <w:rFonts w:ascii="Times New Roman" w:hAnsi="Times New Roman" w:cs="Times New Roman"/>
          <w:noProof/>
          <w:highlight w:val="cyan"/>
        </w:rPr>
      </w:pPr>
      <w:r>
        <w:rPr>
          <w:rFonts w:ascii="Times New Roman" w:hAnsi="Times New Roman"/>
          <w:b/>
          <w:noProof/>
        </w:rPr>
        <w:t>2019 m. liepos 12 d. priimtame 2020 m. biudžete fiskalinio deficito tikslas patikslintas iki 1 % BVP, palyginti su anksčiau numatytu 1,5 %.</w:t>
      </w:r>
      <w:r>
        <w:rPr>
          <w:rFonts w:ascii="Times New Roman" w:hAnsi="Times New Roman"/>
          <w:noProof/>
        </w:rPr>
        <w:t xml:space="preserve"> Pavasario vertinime nebuvo galima atsižvelgti į biudžetą, nes jis buvo priimtas jau po to, kai Taryba priėmė rekomendacijas. 2020 m. biudžete nustatytas 1 % BVP deficito tikslas yra 0,5 procentinio punkto mažesnis už balandžio mėn. pabaigoje paskelbtoje 2019 m. konvergencijos programoje numatytą 1,5 % BVP tikslą. Šis mažesnis deficito tikslas iš esmės pasiektas gavus didesnes, nei anksčiau prognozuota, mokestines pajamas ir patyrus mažiau išlaidų, daugiausia dėl investicijų sumažinimo. Į 2020 m. biudžetą taip pat įtrauktos ekspansinės priemonės, numatytos 2019 m. gegužės 30 d. vyriausybės priimtame „Ekonomikos apsaugos veiksmų plane“. </w:t>
      </w:r>
    </w:p>
    <w:p>
      <w:pPr>
        <w:spacing w:after="120"/>
        <w:jc w:val="both"/>
        <w:rPr>
          <w:rFonts w:ascii="Times New Roman" w:hAnsi="Times New Roman" w:cs="Times New Roman"/>
          <w:noProof/>
        </w:rPr>
      </w:pPr>
      <w:r>
        <w:rPr>
          <w:rFonts w:ascii="Times New Roman" w:hAnsi="Times New Roman"/>
          <w:b/>
          <w:noProof/>
        </w:rPr>
        <w:t>Komisijos griežtesnės priežiūros vizitas vyko 2019 m. rugsėjo 26 d.</w:t>
      </w:r>
      <w:r>
        <w:rPr>
          <w:rFonts w:ascii="Times New Roman" w:hAnsi="Times New Roman"/>
          <w:noProof/>
        </w:rPr>
        <w:t xml:space="preserve"> Vizitas vyko remiantis Reglamento (EB) Nr. 1466/97 -11 straipsnio 2 dalimi. Finansų ministerijoje vizito dalyviai susitiko su už viešuosius finansus atsakingu valstybės sekretoriumi Peteriu Beno Banai, banko „Magyar Nemzeti Bank“ vykdomuoju direktoriumi, atsakingu už ekonomikos mokslus ir prioritetinius klausimus, Danieliu Palotai ir Fiskalinės tarybos pirmininku Arpadu Kovacsu. Vizito tikslas buvo gauti išsamios informacijos apie fiskalinius pokyčius 2019 m., 2019 m. liepos mėnesį valdžios institucijų priimtą 2020 m. biudžetą ir valdžios institucijų planuojamus fiskalinius veiksmus, nurodyti su numatomu ekonomikos augimo sulėtėjimu susijusią fiskalinę riziką ir skatinti laikytis rekomendacijos taikyti procedūrą dėl didelio nukrypimo. Ši ataskaita grindžiama iki vizito ir jo metu gauta informacija.</w:t>
      </w:r>
    </w:p>
    <w:p>
      <w:pPr>
        <w:spacing w:after="120"/>
        <w:jc w:val="both"/>
        <w:rPr>
          <w:rFonts w:ascii="Times New Roman" w:hAnsi="Times New Roman" w:cs="Times New Roman"/>
          <w:b/>
          <w:noProof/>
        </w:rPr>
      </w:pPr>
      <w:r>
        <w:rPr>
          <w:rFonts w:ascii="Times New Roman" w:hAnsi="Times New Roman"/>
          <w:b/>
          <w:noProof/>
        </w:rPr>
        <w:t>2. Vizito išvados</w:t>
      </w:r>
    </w:p>
    <w:p>
      <w:pPr>
        <w:spacing w:after="120"/>
        <w:jc w:val="both"/>
        <w:rPr>
          <w:rFonts w:ascii="Times New Roman" w:hAnsi="Times New Roman" w:cs="Times New Roman"/>
          <w:noProof/>
        </w:rPr>
      </w:pPr>
      <w:r>
        <w:rPr>
          <w:rFonts w:ascii="Times New Roman" w:hAnsi="Times New Roman"/>
          <w:b/>
          <w:noProof/>
        </w:rPr>
        <w:t>Komisijos delegacija pažymėjo, kad ekonominės sąlygos yra geros ir bendra fiskalinė padėtis pagerėjo (tiek valdžios sektoriaus deficitas, tiek skola mažėja).</w:t>
      </w:r>
      <w:r>
        <w:rPr>
          <w:rFonts w:ascii="Times New Roman" w:hAnsi="Times New Roman"/>
          <w:noProof/>
        </w:rPr>
        <w:t xml:space="preserve"> Vizito metu buvo pripažinti geri 2018 m. ir 2019 m. pirmojo pusmečio Vengrijos makroekonominiai rezultatai. Kartu su naujuoju plataus užmojo 2020 m. fiskaliniu tikslu šie pokyčiai rodo pagerėjimą, palyginti su pastaraisiais metais. Tačiau žvelgiant į ateitį manoma, kad, sulėtėjus augimui kai kuriose didžiosiose Vakarų valstybėse ir sektoriuose, kurių vaidmuo Vengrijos ekonomikoje vis didėja, tiek išorės, tiek cikliški veiksniai, lėmę augimą pastaraisiais metais, laipsniškai susilpnės. Vengrijos valdžios institucijos sutiko, kad, lėtėjant ES augimui, Vengrijai bus sunku išlaikyti pastarųjų metų augimo tempą, ir pripažino, kad didžiausias Vengrijos vyriausybės rūpestis – ekonomikos augimas ateityje, o ne fiskalinė politika. Galiausiai, vizito metu buvo prisiminta Vengrijai skirta Tarybos rekomendacija, nurodant, kad šalis turėtų pasinaudoti palankiu momentu, kad užtikrintų tinkamą fiskalinę būklę ir dar labiau sumažintų valdžios sektoriaus skolą.</w:t>
      </w:r>
    </w:p>
    <w:p>
      <w:pPr>
        <w:spacing w:after="120"/>
        <w:jc w:val="both"/>
        <w:rPr>
          <w:rFonts w:ascii="Times New Roman" w:hAnsi="Times New Roman" w:cs="Times New Roman"/>
          <w:noProof/>
        </w:rPr>
      </w:pPr>
      <w:r>
        <w:rPr>
          <w:rFonts w:ascii="Times New Roman" w:hAnsi="Times New Roman"/>
          <w:b/>
          <w:noProof/>
        </w:rPr>
        <w:t>Nepaisant geresnių, nei tikėtasi, ligšiolinių makroekonominių ir fiskalinių rodiklių, valdžios institucijos patvirtino neketinančios peržiūrėti 2019 m. deficito tikslo ar toliau mažinti valstybės skolos.</w:t>
      </w:r>
      <w:r>
        <w:rPr>
          <w:rFonts w:ascii="Times New Roman" w:hAnsi="Times New Roman"/>
          <w:noProof/>
        </w:rPr>
        <w:t xml:space="preserve"> 2019 m. valdžios institucijos ketina laikytis savo pirminio valdžios sektoriaus deficito tikslo – 1,8 % BVP, kaip nustatyta 2018 m. liepos mėn. priimtame 2019 m. biudžete ir patvirtinta 2019 m. konvergencijos programoje. Palyginti su iš pradžių patvirtintu 2019 m. biudžetu, gaunama daug papildomų pajamų. Kartu manoma, kad jos visos bus panaudotos padengti padidėjusioms išlaidoms, visų pirma susijusioms su ES lėšų finansine pataisa, dėl kurios neseniai susitarta su Komisija ir kuri susijusi su nesąžiningu ES lėšų panaudojimu. 2019 m. pataisa susijusi su 2017–2019 m. įgyvendintais projektais ir numatoma, kad dėl jos biudžeto balansas pablogės 0,3 % BVP. Likusi finansinės pataisos suma, t. y. apie 0,3 % BVP, teks vėlesniems metams. Be to, numatoma, kad lėšų panaudojimas demografinei programai (atsižvelgiant į didesnį skaičių prašymų ir didesnę vidutinę reikalaujamos prenatalinės paskolos vertę) bus didesnis, nei planuota. Valdžios institucijos taip pat padidino šios programos kitų metų įvertį.</w:t>
      </w:r>
    </w:p>
    <w:p>
      <w:pPr>
        <w:spacing w:after="120"/>
        <w:jc w:val="both"/>
        <w:rPr>
          <w:rFonts w:ascii="Times New Roman" w:hAnsi="Times New Roman" w:cs="Times New Roman"/>
          <w:noProof/>
        </w:rPr>
      </w:pPr>
      <w:r>
        <w:rPr>
          <w:rFonts w:ascii="Times New Roman" w:hAnsi="Times New Roman"/>
          <w:b/>
          <w:noProof/>
        </w:rPr>
        <w:t>Valdžios institucijos pripažino pasikartojantį išlaidų padidėjimą metų pabaigoje, tačiau atkreipė dėmesį į tai, kad, atsižvelgus į rekomendaciją taikyti procedūrą dėl didelio nukrypimo, jų dydis praėjusiais metais sumažėjo.</w:t>
      </w:r>
      <w:r>
        <w:rPr>
          <w:rFonts w:ascii="Times New Roman" w:hAnsi="Times New Roman"/>
          <w:noProof/>
        </w:rPr>
        <w:t xml:space="preserve"> Per pastaruosius trejus metus (2016–2018 m.) valdžios institucijos savo biudžetą grindė sistemingai atsargiomis fiskalinėmis projekcijomis ir per metus susikaupusias fiskalinio manevravimo galimybes panaudojo biudžete nenumatytoms metų pabaigos išlaidoms padengti. Vengrijos valdžios institucijos nurodė, kad šios metų pabaigos išlaidos buvo nesikartojančios išlaidos investicijoms ir kad 2018 m. pabaigoje, laikydamasi rekomendacijos taikyti procedūrą dėl didelio nukrypimo, vyriausybė nusprendė neišnaudoti visų turimų manevravimo galimybių. Be šių išlaidų fiskalinė būklė galėjo būti geresnė. </w:t>
      </w:r>
    </w:p>
    <w:p>
      <w:pPr>
        <w:spacing w:after="120"/>
        <w:jc w:val="both"/>
        <w:rPr>
          <w:rFonts w:ascii="Times New Roman" w:hAnsi="Times New Roman" w:cs="Times New Roman"/>
          <w:noProof/>
        </w:rPr>
      </w:pPr>
      <w:r>
        <w:rPr>
          <w:rFonts w:ascii="Times New Roman" w:hAnsi="Times New Roman"/>
          <w:b/>
          <w:noProof/>
        </w:rPr>
        <w:t>Pasinaudojant geromis ekonominėmis sąlygomis paspartinti fiskalinį konsolidavimą, kaip rekomendavo Taryba, 2020 m. deficitą numatoma sumažinti daugiau, nei anksčiau planuota.</w:t>
      </w:r>
      <w:r>
        <w:rPr>
          <w:rFonts w:ascii="Times New Roman" w:hAnsi="Times New Roman"/>
          <w:noProof/>
        </w:rPr>
        <w:t xml:space="preserve"> 2020 m. valdžios institucijos patikslino deficito tikslą iki 1 % BVP – šis tikslas yra platesnio užmojo nei 2019 m. konvergencijos programoje nurodyti 1,5 % BVP. Valdžios institucijos pažymėjo, kad pagrindiniai veiksniai, užtikrinsiantys, kad būtų pasiektas platesnio užmojo 2020 m. fiskalinis tikslas, yra geresnis, nei tikėtasi, makroekonominis scenarijus, kol kas neapibrėžtos mokestinių prievolių vykdymą gerinančios priemonės ir išlaidų ribojimas. Tuo pat metu valdžios institucijos ir toliau planuoja, kad nominaliai subalansuotas biudžetas bus pasiektas iki 2023 m. Taigi, patikslintas 2020 m. deficito tikslas reiškia, kad šį tikslą bus galima pasiekti greičiau. Konkrečiai valdžios institucijos siekia 0,7 %, 0,4 % ir 0,0 % deficito atitinkamai 2021, 2022 ir 2023 m. 2019 m. konvergencijos programoje planuota, kad deficito trajektorija tais pačiais metais bus 1,2 %, 0,5 % ir 0,0 % BVP. Apskritai, remiantis Finansų ministerijos skaičiavimais, naujieji pagrindiniai tikslai reiškia, kad 2020 m. struktūrinis pagerėjimas bus didesnis negu Tarybos rekomenduojamos pastangos, ir vidutinio laikotarpio biudžeto tikslas (1,0 % BVP struktūrinis deficitas) bus viršytas jau 2021 m.</w:t>
      </w:r>
    </w:p>
    <w:p>
      <w:pPr>
        <w:spacing w:after="120"/>
        <w:jc w:val="both"/>
        <w:rPr>
          <w:rFonts w:ascii="Times New Roman" w:hAnsi="Times New Roman" w:cs="Times New Roman"/>
          <w:noProof/>
        </w:rPr>
      </w:pPr>
      <w:r>
        <w:rPr>
          <w:rFonts w:ascii="Times New Roman" w:hAnsi="Times New Roman"/>
          <w:b/>
          <w:noProof/>
        </w:rPr>
        <w:t>Valdžios institucijos tikisi, kad 2019 m. pajamos bus gerokai didesnės, nei numatyta biudžete, ir kad 2020 m. bus pasiektas teigiamas bazės efektas.</w:t>
      </w:r>
      <w:r>
        <w:rPr>
          <w:rFonts w:ascii="Times New Roman" w:hAnsi="Times New Roman"/>
          <w:noProof/>
        </w:rPr>
        <w:t xml:space="preserve"> Pajamų projekcijos 2020 m. tik iš dalies pagrįstos diskrecinėmis pajamų ar išlaidų priemonėmis, o vienintelė nauja priemonė – akcizų didinimas. Nors valdžios institucijos makroekonominio scenarijaus nepersvarstė, pajamų augimas apskaičiuotas jau atsižvelgiant į 2019 m. numatomas didesnes pajamas ir didelį teigiamą bazės efektą 2020 m. Tačiau lieka neaišku, ar bus pradėtos taikyti naujos priemonės ir, jei taip, kada tai bus padaryta. </w:t>
      </w:r>
    </w:p>
    <w:p>
      <w:pPr>
        <w:spacing w:after="120"/>
        <w:jc w:val="both"/>
        <w:rPr>
          <w:rFonts w:ascii="Times New Roman" w:hAnsi="Times New Roman" w:cs="Times New Roman"/>
          <w:noProof/>
        </w:rPr>
      </w:pPr>
      <w:r>
        <w:rPr>
          <w:rFonts w:ascii="Times New Roman" w:hAnsi="Times New Roman"/>
          <w:b/>
          <w:noProof/>
        </w:rPr>
        <w:t>Valdžios institucijos rengia naujas priemones mokestinių prievolių vykdymui gerinti ir šešėlinei ekonomikai pažaboti, tačiau nepateikia jokių aiškių jų priėmimo terminų.</w:t>
      </w:r>
      <w:r>
        <w:rPr>
          <w:rFonts w:ascii="Times New Roman" w:hAnsi="Times New Roman"/>
          <w:noProof/>
        </w:rPr>
        <w:t xml:space="preserve"> Naujos priemonės bus paremtos pastarųjų metų panašių priemonių sėkme. Valdžios institucijos pažymėjo įspūdingą PVM nepriemokos sumažinimą: manoma, kad nuo 21 % 2013 m. ji sumažėjo iki 9 % 2018 m. ir yra gerokai mažesnė nei ES vidurkis (apie 10 %) (šaltinis: Europos Komisija). Visų pirma, apskaičiuota, kad PVM nepriemoka sumažėjo, 2018 m. liepos mėn. stambioms įmonėms pradėjus sąskaitas faktūras teikti internetu, ir manoma, kad ši priemonė turės tam tikrą perkeliamąjį poveikį 2019 m. Kalbant apie mažąsias ir vidutines įmones, 2013 m. valdžios institucijos įvedė dvi supaprastintas mokesčių schemas (Kata ir Kiva), skirtas kovoti su šešėline ekonomika; jos kol kas gana sėkmingai padeda surinkti pajamas. Šiuo metu valdžios institucijos dirba dviem kryptimis: i) rengia naujas kovos su šešėline ekonomika priemones, pavyzdžiui, paskatas naudoti elektronines mokėjimo priemones ir ii) siekia supaprastinti įmonėms taikomas administracinių mokesčių prievoles, tikintis, be kita ko, sumažinti valandų, kurias įmonės skiria mokestinėms ataskaitoms teikti, skaičių (nuo dabartinių 277 val. (šaltinis: </w:t>
      </w:r>
      <w:r>
        <w:rPr>
          <w:rFonts w:ascii="Times New Roman" w:hAnsi="Times New Roman"/>
          <w:i/>
          <w:noProof/>
        </w:rPr>
        <w:t>Paying taxes 2019</w:t>
      </w:r>
      <w:r>
        <w:rPr>
          <w:rFonts w:ascii="Times New Roman" w:hAnsi="Times New Roman"/>
          <w:noProof/>
        </w:rPr>
        <w:t>, PwC) iki mažiau nei 100 val.), ir įvesti iš anksto užpildytų PVM formų sistemą (preliminariai 2021 m.) Valdžios institucijos kol kas negalėjo atskleisti daugiau informacijos apie naująsias priemones, bet kalbant apie terminus, jų nuomone, mokėtinų mokesčių modifikavimas galėtų prasidėti 2019 m. rudenį, todėl priemonės įsigaliotų 2020 m. antroje pusėje.</w:t>
      </w:r>
    </w:p>
    <w:p>
      <w:pPr>
        <w:spacing w:after="120"/>
        <w:jc w:val="both"/>
        <w:rPr>
          <w:rFonts w:ascii="Times New Roman" w:hAnsi="Times New Roman" w:cs="Times New Roman"/>
          <w:noProof/>
        </w:rPr>
      </w:pPr>
      <w:r>
        <w:rPr>
          <w:rFonts w:ascii="Times New Roman" w:hAnsi="Times New Roman"/>
          <w:b/>
          <w:noProof/>
        </w:rPr>
        <w:t>Tikimasi, kad 2020 m. fiskalinis konsolidavimas bus pasiektas daugiausia dėl to, kad numatomas ribotas išlaidų didėjimas.</w:t>
      </w:r>
      <w:r>
        <w:rPr>
          <w:rFonts w:ascii="Times New Roman" w:hAnsi="Times New Roman"/>
          <w:noProof/>
        </w:rPr>
        <w:t xml:space="preserve"> 2020 m. biudžete nurodytos viršutinės išlaidų ribos, o pagrindinė išlaidų mažinimo sritis yra valstybės investicijos, visų pirma (pastatų) statybos sektoriuje, kuris šiuo metu klesti. Sumažinus valstybės finansuojamų projektų nesitikima neigiamo poveikio ekonomikos augimui, nes pastebėti pajėgumų apribojimai ekonomikos pasiūlos srityje, be to, tikimasi pritraukti privačių investicijų. Kaip sumažintų išlaidų projekto pavyzdį valdžios institucijos paminėjo „Šiuolaikinio miesto programą“, kurios išlaidos 2020 m. bus mažesnės, nei tikėtasi (nuo pradinių 135 mlrd. HUF sumažės iki 85 mlrd. HUF). Tačiau prognozuojama, kad kitos išlaidos bus dinamiškesnės, pvz., dėl didesnio lėšų panaudojimo demografinei programai ir būsto programos pratęsimo.</w:t>
      </w:r>
    </w:p>
    <w:p>
      <w:pPr>
        <w:spacing w:after="120"/>
        <w:jc w:val="both"/>
        <w:rPr>
          <w:rFonts w:ascii="Times New Roman" w:hAnsi="Times New Roman" w:cs="Times New Roman"/>
          <w:noProof/>
        </w:rPr>
      </w:pPr>
      <w:r>
        <w:rPr>
          <w:rFonts w:ascii="Times New Roman" w:hAnsi="Times New Roman"/>
          <w:b/>
          <w:noProof/>
        </w:rPr>
        <w:t>Valdžios institucijos pabrėžė, kad į 2020 m. biudžetą įtraukta neįprastai daug rezervų ir, jei ne šie rezervai, biudžetas galėtų būti subalansuotas.</w:t>
      </w:r>
      <w:r>
        <w:rPr>
          <w:rFonts w:ascii="Times New Roman" w:hAnsi="Times New Roman"/>
          <w:noProof/>
        </w:rPr>
        <w:t xml:space="preserve"> 2020 m. 1 % BVP deficito tikslas apima didelį biudžeto rezervų lygį, kuris sudaro 1 % BVP (palyginti su 0,5 % BVP 2019 m.). Apskritai nustatyta, kad rezervai iš viso sudarys 1,4 % BVP, palyginti su 0,8 % BVP 2019 m. Šis padidėjimas, palyginti su ankstesniais metais, susijęs su gerokai didesniu vadinamuoju šalies apsaugos fondu, kuris sudaro beveik 0,8 % BVP, palyginti su 0,1 % BVP 2019 m. Valdžios institucijos pabrėžė, kad didelė rezervų suma galėtų padengti galimą papildomą riziką, jei pasitvirtintų rizikos scenarijus. Pagrindinė rizika galėtų kilti dėl galimų prastesnių, nei tikėtasi, makroekonominių pokyčių, taip pat dėl didesnių nei biudžete numatytų išlaidų, pavyzdžiui, susijusių su demografine programa ir (arba) „Ekonominės apsaugos veiksmų plano“ priemonėmis (žr. toliau). Valdžios institucijos taip pat priminė taisykles ir apsaugos priemones, taikomas rezervų panaudojimui per metus. Jei viskas vyktų, kaip prognozuojama, ir jei rezervai nebūtų panaudoti, galiausiai 2020 m. biudžetas galėtų būti nominaliai subalansuotas. Komisijos darbuotojai išreiškė abejonių dėl šios galimybės, ir pažymėjo, kad ne vienus metus yra buvę, kad rezervų metų pabaigoje nebelikdavo, ir atkreipė dėmesį į neoptimalią biudžeto sudarymo praktiką. </w:t>
      </w:r>
    </w:p>
    <w:p>
      <w:pPr>
        <w:spacing w:after="120"/>
        <w:jc w:val="both"/>
        <w:rPr>
          <w:rFonts w:ascii="Times New Roman" w:hAnsi="Times New Roman" w:cs="Times New Roman"/>
          <w:noProof/>
        </w:rPr>
      </w:pPr>
      <w:r>
        <w:rPr>
          <w:rFonts w:ascii="Times New Roman" w:hAnsi="Times New Roman"/>
          <w:b/>
          <w:noProof/>
        </w:rPr>
        <w:t>„Ekonomikos apsaugos veiksmų planu“ siekiama išlaikyti 2 procentiniais punktais ES vidurkį viršijantį ekonomikos augimą.</w:t>
      </w:r>
      <w:r>
        <w:rPr>
          <w:rFonts w:ascii="Times New Roman" w:hAnsi="Times New Roman"/>
          <w:noProof/>
        </w:rPr>
        <w:t xml:space="preserve"> Numatoma, kad dėl 2019 m. gegužės 30 d. vyriausybės patvirtinto „Ekonomikos apsaugos veiksmų plano“ 2020 m. deficitas padidės 1 % BVP. Pagrindinė į šį planą įtraukta priemonė yra tolesnis laipsniškas darbdavių socialinio draudimo įmokų mažinimas, pradėtas 2016 m. lapkričio mėn.: biudžete numatyta jas sumažinti dar 2 procentiniais punktais. Pasak valdžios institucijų, planu siekiama apsaugoti iki šiol pasiektus Vengrijos ekonomikos rezultatus ir išlaikyti 2 procentiniais punktais ES vidurkį viršijantį ekonomikos augimą net ir sulėtėjus augimui euro zonoje ir kitose šalyse partnerėse. Nors valdžios institucijos ir sutinka, kad bendrą makroekonominę sistemą veikia blogėjanti išorės aplinka, jos pabrėžė, kad, priimdamos ekonominės politikos priemones, jos ketina išlaikyti aukštą ekonomikos augimo lygį. Valdžios institucijos pripažino, kad, turint omenyje tai, kad Vengrija yra atviros ekonomikos šalis, glaudžiai susijusi su ES, didelis ES ekonomikos augimo sulėtėjimas negalėtų nepaveikti Vengrijos. Todėl jos neatmeta galimybės 2020 m. priimti papildomą planą, apie kurį jau užsiminė ministras pirmininkas. Taigi delegacija priminė, kad negriežta pastarųjų metų vyriausybės fiskalinė politika veikiausiai prisidėjo prie pernelyg didelės paklausos ekonomikoje, o ši lėmė ilgalaikę infliaciją. Turint omenyje tai, kad Vengrijos išlaidų ir BVP santykis bei investicijų santykis yra vienas didžiausių ES, vizito metu buvo pažymėta infliacinio poveikio, kurį gali sukelti papildomos išlaidos, rizika.</w:t>
      </w:r>
    </w:p>
    <w:p>
      <w:pPr>
        <w:spacing w:after="120"/>
        <w:jc w:val="both"/>
        <w:rPr>
          <w:rFonts w:ascii="Times New Roman" w:hAnsi="Times New Roman" w:cs="Times New Roman"/>
          <w:noProof/>
        </w:rPr>
      </w:pPr>
      <w:r>
        <w:rPr>
          <w:rFonts w:ascii="Times New Roman" w:hAnsi="Times New Roman"/>
          <w:b/>
          <w:noProof/>
        </w:rPr>
        <w:t>Valdžios institucijos atkreipė dėmesį į metodines pastabas dėl kai kurių išlaidų statistinio vertinimo ir pasiskundė dėl dvigubų standartų taikant taisykles.</w:t>
      </w:r>
      <w:r>
        <w:rPr>
          <w:rFonts w:ascii="Times New Roman" w:hAnsi="Times New Roman"/>
          <w:noProof/>
        </w:rPr>
        <w:t xml:space="preserve"> Valdžios institucijų nuomone, metų pabaigos išlaidos turėtų būti laikomos vienkartinėmis išlaidomis. Valdžios institucijos pripažino Europos Komisijos taikomą bendrai sutartą gamybos apimties atotrūkio vertinimo metodiką. Tačiau, turint omenyje jo procikliškumą, panašu, kad Vengrijos finansų ministerijos taikoma metodika šalies ekonomikos padėtį atspindi geriau. Be to, valdžios institucijos taip pat paminėjo Eurostato išlygas dėl tam tikrų įstaigų klasifikavimo: 1) dėl perviršinio deficito procedūros tikslais Vengrijos pateiktų duomenų apie MNB fondų ir jų patronuojamųjų įmonių priskyrimą tam tikram sektoriui kokybės – šis klausimas jau seniai iškeltas, bet vis dar neišspręstas; 2) dėl Vengrijos angliavandenilių kaupimo asociacijos (</w:t>
      </w:r>
      <w:r>
        <w:rPr>
          <w:rFonts w:ascii="Times New Roman" w:hAnsi="Times New Roman"/>
          <w:i/>
          <w:iCs/>
          <w:noProof/>
        </w:rPr>
        <w:t>Magyar Szenhidrogen Keszletezo Szovetseg</w:t>
      </w:r>
      <w:r>
        <w:rPr>
          <w:rFonts w:ascii="Times New Roman" w:hAnsi="Times New Roman"/>
          <w:noProof/>
        </w:rPr>
        <w:t xml:space="preserve">, toliau – MSZKSZ) statuso. Eurostato nuomone, kuriai valdžios institucijos nepritaria, tiek MSKSZ, tiek MNB fondai turėtų būti priskiriami valdžios sektoriui, o tai padidintų valdžios sektoriaus skolą, o deficito rodiklis liktų nepakitęs. Valdžios institucijų nuomone, Eurostatas netaiko klasifikavimo taisyklių skaidriai ir objektyviai, o tai lemia skirtingą požiūrį, palyginti su kitomis valstybėmis narėmis. Galiausiai valdžios institucijos patikino, kad jos atsižvelgs į Eurostato pateiktas klasifikavimo gaires ir taip leis jam iš kito pranešimo pagal PDP išlygas pašalinti. Delegacija atkreipė dėmesį į valdžios institucijų nusiskundimus, tačiau teigė, kad Eurostatas turi aiškias klasifikavimo taisykles, kurios vienodai taikytos visiems, ir pažymėjo, kad tokius techninius klausimus reikia aptarti su Eurostatu. </w:t>
      </w:r>
    </w:p>
    <w:p>
      <w:pPr>
        <w:spacing w:after="120"/>
        <w:jc w:val="both"/>
        <w:rPr>
          <w:rFonts w:ascii="Times New Roman" w:hAnsi="Times New Roman" w:cs="Times New Roman"/>
          <w:noProof/>
        </w:rPr>
      </w:pPr>
      <w:r>
        <w:rPr>
          <w:rFonts w:ascii="Times New Roman" w:hAnsi="Times New Roman"/>
          <w:b/>
          <w:noProof/>
        </w:rPr>
        <w:t>Komisijos darbuotojai atkreipė dėmesį į problemas, susijusias su valdžios sektoriaus skolos finansavimo sąnaudomis, kurios, nors ir mažėja, tebėra didelės.</w:t>
      </w:r>
      <w:r>
        <w:rPr>
          <w:rFonts w:ascii="Times New Roman" w:hAnsi="Times New Roman"/>
          <w:noProof/>
        </w:rPr>
        <w:t xml:space="preserve"> Delegacija pripažino teigiamus pastarųjų metų pokyčius, įskaitant valdžios sektoriaus skolos struktūros pokyčius: pereita prie HUF išreikšto turto ir prisiimta nacionalinė atsakomybė. Tačiau tai pareikalavo santykinai didelių finansavimo sąnaudų, susidariusių ir dėl didelių priedų, siūlomų už mažmenines obligacijas. Tai taip pat daro poveikį pasiskirstymui, nes nauda paprastai atitenka turtingesniems namų ūkiams, o dideles sąnaudas apmoka visi mokesčių mokėtojai. Delegacija paragino valdžios institucijas nepanaudotus biudžeto rezervus skirti kai kurioms brangesnėms obligacijoms išpirkti. Pasak valdžios institucijų, tai yra politinis sprendimas. Jos pabrėžė, kad, nepaisant nukrypimų taikant struktūrines priemones, valstybės skola ir toliau mažėjo, be kita ko, dėl didesnio nominaliojo BVP augimo. Prie skolos ir BVP santykio mažėjimo prisidės ir mažesnis 2020 m. deficito tikslas. </w:t>
      </w:r>
    </w:p>
    <w:p>
      <w:pPr>
        <w:spacing w:after="120"/>
        <w:jc w:val="both"/>
        <w:rPr>
          <w:rFonts w:ascii="Times New Roman" w:hAnsi="Times New Roman" w:cs="Times New Roman"/>
          <w:noProof/>
        </w:rPr>
      </w:pPr>
      <w:r>
        <w:rPr>
          <w:rFonts w:ascii="Times New Roman" w:hAnsi="Times New Roman"/>
          <w:b/>
          <w:noProof/>
        </w:rPr>
        <w:t>Fiskalinė taryba gyrė pastarųjų metų ekonominius laimėjimus.</w:t>
      </w:r>
      <w:r>
        <w:rPr>
          <w:rFonts w:ascii="Times New Roman" w:hAnsi="Times New Roman"/>
          <w:noProof/>
        </w:rPr>
        <w:t xml:space="preserve"> Ekonomikos rezultatai geri – padidėjo tiek viešųjų finansų, tiek ekonomikos tvarumas. Dėl išorės veiksnių (užsienio prekybos ir valiutos kurso) ir ES lėšų potencialus ekonomikos augimo tempas pastaraisiais metais labai išaugo (3–3,5 %). Ateityje potencialus augimas turėtų labiau priklausyti nuo konkurencingumo ir mažiau nuo ES lėšų. Fiskalinės tarybos nuomone, šalis lengviau išgyventų nedidelį augimo sulėtėjimą nei pasaulinę krizę ar didesnį Vokietijos ekonomikos nuosmukį, kuriuos išgyventi būtų sunkiau. Dėl fiskalinės padėties Fiskalinė taryba pabrėžė, kad tai pirmas kartas, kai valdžios institucijos užsiminė apie galimybę pasiekti nominaliai subalansuotą biudžetą. Fiskalinė taryba pakartojo valdžios institucijų argumentus, kad subalansuotam biudžetui pasiekti 2020 m. reikia politinio sprendimo. Paklausta apie aukštą rezervų lygį 2020 m. biudžete, Fiskalinė taryba pabrėžė, kad svarbu išsaugoti socialinę taiką. Jei rezervai nebūtų panaudoti, neišvengiamai nukentėtų kai kurios programos, visų pirma tokiose opiose srityse kaip viešosios investicijos ir sveikatos priežiūros sistema. </w:t>
      </w:r>
    </w:p>
    <w:p>
      <w:pPr>
        <w:spacing w:after="120"/>
        <w:jc w:val="both"/>
        <w:rPr>
          <w:rFonts w:ascii="Times New Roman" w:hAnsi="Times New Roman" w:cs="Times New Roman"/>
          <w:noProof/>
        </w:rPr>
      </w:pPr>
      <w:r>
        <w:rPr>
          <w:rFonts w:ascii="Times New Roman" w:hAnsi="Times New Roman"/>
          <w:b/>
          <w:noProof/>
        </w:rPr>
        <w:t>Diskusijose su centriniu banku daugiausia dėmesio buvo skirta galimiems ekonomikos perkaitimo ženklams.</w:t>
      </w:r>
      <w:r>
        <w:rPr>
          <w:rFonts w:ascii="Times New Roman" w:hAnsi="Times New Roman"/>
          <w:noProof/>
        </w:rPr>
        <w:t xml:space="preserve"> Centrinis bankas su vizito dalyviais aptarė neseniai paskelbtas makroekonomines prognozes. Centrinis bankas teigė, kad, nepaisant spartaus ekonomikos augimo ir darbo jėgos trūkumo, ekonomikoje nematyti perkaitimo ženklų, todėl jis linkęs ekonominę padėtį apibūdinti kaip labai įtemptą. 2020 m. numatoma vis labiau ribojanti fiskalinė politika, o pinigų politikos sąlygos turėtų išlikti palankios. Tuo pačiu metu naujos už patrauklią kainą siūlomos mažmeninės obligacijos paskatino namų ūkių taupymą ir pažabojo ribojančią spekuliacinę būsto paklausą. Maža namų ūkių skola riboja riziką būsto rinkoje. Panašu, kad infliacija pasiekė aukščiausią tašką, o infliaciją mažinantys išorės veiksniai stiprėja. Centrinis bankas teigė, kad dėl produktų struktūros pokyčių automobilių pramonėje Vengrijos pramonei pavyko atsiskirti nuo Vokietijos gamybos pramonės. Centrinis bankas taip pat patvirtino, kad ankstyvas lėšų panaudojimas demografinei programai viršijo lūkesčius, tačiau teigė, kad tai daugiausia susiję su laiku, ir bendras programos dydis negali būti didinamas tokiu pačiu mastu. Be to, pratęstų būsto subsidijų panaudojimas pirmaisiais mėnesiais buvo mažesnis, nei tikėtasi.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9394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1997 m. liepos 7 d. Tarybos reglamentas (EB) Nr. 1466/97 dėl biudžeto būklės priežiūros stiprinimo ir ekonominės politikos priežiūros bei koordinavimo, OL L 209, 1997 8 2, p. 1.</w:t>
      </w:r>
    </w:p>
  </w:footnote>
  <w:footnote w:id="2">
    <w:p>
      <w:pPr>
        <w:pStyle w:val="FootnoteText"/>
      </w:pPr>
      <w:r>
        <w:rPr>
          <w:rStyle w:val="FootnoteReference"/>
        </w:rPr>
        <w:footnoteRef/>
      </w:r>
      <w:r>
        <w:t xml:space="preserve"> Tarybos rekomendacijos ir kiti susiję procedūros dėl didelio nukrypimo dokumentai pateikiami adresu https://ec.europa.eu/info/business-economy-euro/economic-and-fiscal-policy-coordination/eu-economic-governance-monitoring-prevention-correction/stability-and-growth-pact/preventive-arm/significant-deviation-procedure_en#hungary.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90E"/>
    <w:multiLevelType w:val="hybridMultilevel"/>
    <w:tmpl w:val="FE9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43EA9"/>
    <w:multiLevelType w:val="hybridMultilevel"/>
    <w:tmpl w:val="648E3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F060E"/>
    <w:multiLevelType w:val="hybridMultilevel"/>
    <w:tmpl w:val="99C4980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4D7FB92-C2C4-4C98-96B0-514AAB6A7671"/>
    <w:docVar w:name="LW_COVERPAGE_TYPE" w:val="1"/>
    <w:docVar w:name="LW_CROSSREFERENCE" w:val="&lt;UNUSED&gt;"/>
    <w:docVar w:name="LW_DocType" w:val="NORMAL"/>
    <w:docVar w:name="LW_EMISSION" w:val="2019 11 20"/>
    <w:docVar w:name="LW_EMISSION_ISODATE" w:val="2019-11-20"/>
    <w:docVar w:name="LW_EMISSION_LOCATION" w:val="BRX"/>
    <w:docVar w:name="LW_EMISSION_PREFIX" w:val="Briuselis, "/>
    <w:docVar w:name="LW_EMISSION_SUFFIX" w:val=" "/>
    <w:docVar w:name="LW_ID_DOCTYPE_NONLW" w:val="CP-00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9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Komisijos ataskaita Tarybai d\u279?l 2019 m. rugs\u279?jo 26 d. grie\u382?tesn\u279?s prie\u382?i\u363?ros vizito Vengrijoje, teikiama pagal Reglamento (EB) Nr. 1466/97  -11 straipsnio 2 dal\u303?"/>
    <w:docVar w:name="LW_TYPE.DOC.CP" w:val="KOMISIJOS ATASKAITA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E"/>
    <w:link w:val="FootnotesymbolCarZchn"/>
    <w:uiPriority w:val="99"/>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Emphasis">
    <w:name w:val="Emphasis"/>
    <w:basedOn w:val="DefaultParagraphFont"/>
    <w:uiPriority w:val="20"/>
    <w:qFormat/>
    <w:rPr>
      <w:i/>
      <w:iCs/>
    </w:rPr>
  </w:style>
  <w:style w:type="character" w:customStyle="1" w:styleId="normaltextrun">
    <w:name w:val="normaltextrun"/>
    <w:basedOn w:val="DefaultParagraphFont"/>
    <w:rPr>
      <w:rFonts w:ascii="Times New Roman" w:hAnsi="Times New Roman" w:cs="Times New Roman" w:hint="defau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E"/>
    <w:link w:val="FootnotesymbolCarZchn"/>
    <w:uiPriority w:val="99"/>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Emphasis">
    <w:name w:val="Emphasis"/>
    <w:basedOn w:val="DefaultParagraphFont"/>
    <w:uiPriority w:val="20"/>
    <w:qFormat/>
    <w:rPr>
      <w:i/>
      <w:iCs/>
    </w:rPr>
  </w:style>
  <w:style w:type="character" w:customStyle="1" w:styleId="normaltextrun">
    <w:name w:val="normaltextrun"/>
    <w:basedOn w:val="DefaultParagraphFont"/>
    <w:rPr>
      <w:rFonts w:ascii="Times New Roman" w:hAnsi="Times New Roman" w:cs="Times New Roman" w:hint="defau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64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372311070">
      <w:bodyDiv w:val="1"/>
      <w:marLeft w:val="0"/>
      <w:marRight w:val="0"/>
      <w:marTop w:val="0"/>
      <w:marBottom w:val="0"/>
      <w:divBdr>
        <w:top w:val="none" w:sz="0" w:space="0" w:color="auto"/>
        <w:left w:val="none" w:sz="0" w:space="0" w:color="auto"/>
        <w:bottom w:val="none" w:sz="0" w:space="0" w:color="auto"/>
        <w:right w:val="none" w:sz="0" w:space="0" w:color="auto"/>
      </w:divBdr>
    </w:div>
    <w:div w:id="1213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F6DE29-7B38-4933-B37E-C31B796A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2670</Words>
  <Characters>17627</Characters>
  <Application>Microsoft Office Word</Application>
  <DocSecurity>0</DocSecurity>
  <Lines>225</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2019-05-10T10:09:00Z</cp:lastPrinted>
  <dcterms:created xsi:type="dcterms:W3CDTF">2019-11-18T14:05:00Z</dcterms:created>
  <dcterms:modified xsi:type="dcterms:W3CDTF">2019-11-22T16:07:00Z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7.0.1, Build 20190916</vt:lpwstr>
  </property>
  <property fmtid="{D5CDD505-2E9C-101B-9397-08002B2CF9AE}" pid="8" name="Created using">
    <vt:lpwstr>LW 7.0, Build 20190717</vt:lpwstr>
  </property>
</Properties>
</file>