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A62E43E-8748-4A3F-B3C8-556F46DDDC92" style="width:450.75pt;height:379.5pt">
            <v:imagedata r:id="rId9" o:title=""/>
          </v:shape>
        </w:pict>
      </w:r>
    </w:p>
    <w:p>
      <w:pPr>
        <w:rPr>
          <w:noProof/>
          <w:highlight w:val="yellow"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Statut"/>
        <w:rPr>
          <w:noProof/>
        </w:rPr>
      </w:pPr>
      <w:r>
        <w:rPr>
          <w:noProof/>
        </w:rPr>
        <w:t>Doporučení pro</w:t>
      </w:r>
    </w:p>
    <w:p>
      <w:pPr>
        <w:pStyle w:val="Typedudocument"/>
        <w:rPr>
          <w:noProof/>
        </w:rPr>
      </w:pPr>
      <w:r>
        <w:rPr>
          <w:noProof/>
        </w:rPr>
        <w:t>DOPORUČENÍ RADY</w:t>
      </w:r>
    </w:p>
    <w:p>
      <w:pPr>
        <w:pStyle w:val="Titreobjet"/>
        <w:rPr>
          <w:noProof/>
        </w:rPr>
      </w:pPr>
      <w:r>
        <w:rPr>
          <w:noProof/>
        </w:rPr>
        <w:t xml:space="preserve">k nápravě zjištěného závažného odchýlení od postupu korekce k dosažení střednědobého rozpočtového cíle </w:t>
      </w:r>
      <w:r>
        <w:rPr>
          <w:noProof/>
        </w:rPr>
        <w:br/>
      </w:r>
      <w:r>
        <w:rPr>
          <w:noProof/>
        </w:rPr>
        <w:br/>
        <w:t>v Maďarsku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121 odst. 4 této smlouvy,</w:t>
      </w:r>
    </w:p>
    <w:p>
      <w:pPr>
        <w:rPr>
          <w:noProof/>
        </w:rPr>
      </w:pPr>
      <w:r>
        <w:rPr>
          <w:noProof/>
        </w:rPr>
        <w:t>s ohledem na nařízení Rady (ES) č. 1466/97 ze dne 7. července 1997 o posílení dohledu nad stavy rozpočtů a nad hospodářskými politikami a o posílení koordinace hospodářských politik</w:t>
      </w:r>
      <w:r>
        <w:rPr>
          <w:rStyle w:val="FootnoteReference"/>
          <w:noProof/>
        </w:rPr>
        <w:footnoteReference w:id="1"/>
      </w:r>
      <w:r>
        <w:rPr>
          <w:noProof/>
        </w:rPr>
        <w:t>, a zejména na čl. 10 odst. 2 druhý pododstavec uvedeného nařízení,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s ohledem na doporučení Evropské komise,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vzhledem k těmto důvodům: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V souladu s článkem 121 Smlouvy členské státy prosazují zdravé veřejné finance ve střednědobém výhledu prostřednictvím koordinace hospodářských politik a mnohostranného dohledu tak, aby se zabránilo vzniku nadměrných schodků veřejných financí.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Pakt o stabilitě a růstu vychází z cíle zdravých veřejných financí, které jsou prostředkem k posílení podmínek pro cenovou stabilitu a pro silný udržitelný růst, jenž přispívá k vytváření nových pracovních míst.</w:t>
      </w:r>
    </w:p>
    <w:p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V červnu 2018 Rada v souladu s čl. 121 odst. 4 Smlouvy zjistila, že se Maďarsko v roce 2017 významně odchýlilo od svého střednědobého rozpočtového cíle. Vzhledem ke zjištěnému závažnému odchýlení Rada dne 22. června 2018 vydala doporučení</w:t>
      </w:r>
      <w:r>
        <w:rPr>
          <w:rStyle w:val="FootnoteReference"/>
          <w:noProof/>
        </w:rPr>
        <w:footnoteReference w:id="2"/>
      </w:r>
      <w:r>
        <w:rPr>
          <w:noProof/>
        </w:rPr>
        <w:t>, aby Maďarsko přijalo nezbytná politická opatření k nápravě uvedeného odchýlení. Rada následně zjistila, že Maďarsko v reakci na uvedené doporučení účinná opatření nepřijalo, a dne 4. prosince 2018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vydala revidované doporučení. Rada následně zjistila, že Maďarsko ani v reakci na toto doporučení účinná opatření nepřijalo.</w:t>
      </w:r>
    </w:p>
    <w:p>
      <w:pPr>
        <w:pStyle w:val="Point0"/>
        <w:rPr>
          <w:noProof/>
        </w:rPr>
      </w:pPr>
      <w:r>
        <w:rPr>
          <w:noProof/>
        </w:rPr>
        <w:t>(4)</w:t>
      </w:r>
      <w:r>
        <w:rPr>
          <w:noProof/>
        </w:rPr>
        <w:tab/>
        <w:t>Dne 14. června 2019 Rada rozhodla, že v Maďarsku v roce 2018 opětovně došlo k závažnému odchýlení od postupu korekce k dosažení střednědobého rozpočtového cíle, a Maďarsku doporučila, aby přijalo nezbytná opatření k zajištění toho, aby nominální míra růstu čistých primárních výdajů vládních institucí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v roce 2019 </w:t>
      </w:r>
      <w:r>
        <w:rPr>
          <w:noProof/>
        </w:rPr>
        <w:lastRenderedPageBreak/>
        <w:t>nepřesáhla 3,3 % a v roce 2020 4,7 %, což odpovídá roční strukturální korekci ve výši 1 % hrubého domácího produktu (HDP) v roce 2019 a 0,75 % HDP v roce 2020</w:t>
      </w:r>
      <w:r>
        <w:rPr>
          <w:rStyle w:val="FootnoteReference"/>
          <w:noProof/>
        </w:rPr>
        <w:footnoteReference w:id="5"/>
      </w:r>
      <w:r>
        <w:rPr>
          <w:noProof/>
        </w:rPr>
        <w:t>. Rada také Maďarsku doporučila, aby ke snížení schodku využilo všech neočekávaných zisků, zatímco opatření k rozpočtové konsolidaci by měla zajistit trvalé a prorůstově orientované zlepšování strukturálního salda veřejných financí. Rada stanovila Maďarsku lhůtu do 15. října 2019, aby jí podalo zprávu o opatřeních, která v reakci na uvedené doporučení přijalo.</w:t>
      </w:r>
    </w:p>
    <w:p>
      <w:pPr>
        <w:pStyle w:val="Point0"/>
        <w:rPr>
          <w:noProof/>
        </w:rPr>
      </w:pPr>
      <w:r>
        <w:rPr>
          <w:noProof/>
        </w:rPr>
        <w:t>(5)</w:t>
      </w:r>
      <w:r>
        <w:rPr>
          <w:noProof/>
        </w:rPr>
        <w:tab/>
        <w:t>Dne 9. července 2019 doporučila Rada Maďarsku, aby v letech 2019 a 2020 zajistilo plnění doporučení Rady ze dne 14. června 2019 k nápravě závažného odchýlení od postupu korekce k dosažení střednědobého rozpočtového cíle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rPr>
          <w:noProof/>
        </w:rPr>
        <w:t>(6)</w:t>
      </w:r>
      <w:r>
        <w:rPr>
          <w:noProof/>
        </w:rPr>
        <w:tab/>
        <w:t>Komise dne 26. září 2019 uskutečnila v Maďarsku posílenou kontrolní misi za účelem dohledu na místě podle čl. -11 odst. 2 nařízení (ES) č. 1466/97. Svá předběžná zjištění Komise předala maďarským orgánům k připomínkám a dne 20. listopadu 2019 o nich podala zprávu Radě. Tato zjištění byla zveřejněna.</w:t>
      </w:r>
    </w:p>
    <w:p>
      <w:pPr>
        <w:pStyle w:val="Point0"/>
        <w:rPr>
          <w:noProof/>
        </w:rPr>
      </w:pPr>
      <w:r>
        <w:rPr>
          <w:noProof/>
        </w:rPr>
        <w:t>(7)</w:t>
      </w:r>
      <w:r>
        <w:rPr>
          <w:noProof/>
        </w:rPr>
        <w:tab/>
        <w:t>Dne 15. října 2019 předložily maďarské orgány zprávu o účinných opatřeních přijatých v reakci na doporučení Rady ze dne 14. června 2019</w:t>
      </w:r>
      <w:r>
        <w:rPr>
          <w:rStyle w:val="FootnoteReference"/>
          <w:noProof/>
        </w:rPr>
        <w:footnoteReference w:id="7"/>
      </w:r>
      <w:r>
        <w:rPr>
          <w:noProof/>
        </w:rPr>
        <w:t>. Na základě informací uvedených maďarskými orgány ve zprávě a celkového posouzení vycházejícího z prognózy Komise z podzimu 2019 dospěla Rada dne 20. listopadu 2019 k závěru, že Maďarsko nepřijalo účinná opatření v reakci na doporučení Rady ze dne 14. června 2019.</w:t>
      </w:r>
    </w:p>
    <w:p>
      <w:pPr>
        <w:pStyle w:val="Point0"/>
        <w:rPr>
          <w:noProof/>
        </w:rPr>
      </w:pPr>
      <w:r>
        <w:rPr>
          <w:noProof/>
        </w:rPr>
        <w:t>(8)</w:t>
      </w:r>
      <w:r>
        <w:rPr>
          <w:noProof/>
        </w:rPr>
        <w:tab/>
        <w:t>S ohledem na absenci účinných opatření a na kumulovanou odchylku od doporučeného postupu korekce k dosažení střednědobého rozpočtového cíle je vhodné Maďarsku zaslat revidované doporučení podle čl. 121 odst. 4 Smlouvy týkající se vhodných opatření, která mají být přijata.</w:t>
      </w:r>
    </w:p>
    <w:p>
      <w:pPr>
        <w:pStyle w:val="Point0"/>
        <w:rPr>
          <w:noProof/>
        </w:rPr>
      </w:pPr>
      <w:r>
        <w:rPr>
          <w:noProof/>
        </w:rPr>
        <w:t>(9)</w:t>
      </w:r>
      <w:r>
        <w:rPr>
          <w:noProof/>
        </w:rPr>
        <w:tab/>
        <w:t>Na základě prognózy Komise z podzimu 2019 se očekává, že strukturální saldo Maďarska se v roce 2019 zlepší o 0,5 % HDP a v roce 2020 o dalších 1,2 % HDP. V důsledku toho se strukturální schodek podle odhadů v roce 2019 odchýlí o 1,8 % HDP a v roce 2020 o 1,1 % HDP od střednědobého rozpočtového cíle ve výši 1,5 %, respektive 1,0 % HDP.</w:t>
      </w:r>
    </w:p>
    <w:p>
      <w:pPr>
        <w:pStyle w:val="Point0"/>
        <w:rPr>
          <w:noProof/>
        </w:rPr>
      </w:pPr>
      <w:r>
        <w:rPr>
          <w:noProof/>
        </w:rPr>
        <w:t>(10)</w:t>
      </w:r>
      <w:r>
        <w:rPr>
          <w:noProof/>
        </w:rPr>
        <w:tab/>
        <w:t>Aby se Maďarsko po dřívějších propadech vrátilo k příslušnému postupu korekce, zdá se být pro rok 2020 přiměřená roční strukturální korekce ve výši 0,75 % HDP doporučená Radou dne 14. června 2019 vzhledem k celkovému makrofiskálnímu vývoji na pozadí očekávaného zpomalení hospodářské činnosti v následujících letech, protože se očekává, že cyklické faktory, jež podporovaly růst v posledních letech, postupně odezní.</w:t>
      </w:r>
    </w:p>
    <w:p>
      <w:pPr>
        <w:pStyle w:val="Point0"/>
        <w:rPr>
          <w:noProof/>
        </w:rPr>
      </w:pPr>
      <w:r>
        <w:rPr>
          <w:noProof/>
        </w:rPr>
        <w:t>(11)</w:t>
      </w:r>
      <w:r>
        <w:rPr>
          <w:noProof/>
        </w:rPr>
        <w:tab/>
        <w:t>Na základě prognózy Komise z podzimu 2019 je požadované zlepšení strukturálního salda v roce 2020 o 0,75 % HDP v souladu s nominální mírou růstu čistých primárních výdajů vládních institucí, která nepřekročí 4,7 %.</w:t>
      </w:r>
    </w:p>
    <w:p>
      <w:pPr>
        <w:pStyle w:val="Point0"/>
        <w:rPr>
          <w:noProof/>
        </w:rPr>
      </w:pPr>
      <w:r>
        <w:rPr>
          <w:noProof/>
        </w:rPr>
        <w:lastRenderedPageBreak/>
        <w:t>(12)</w:t>
      </w:r>
      <w:r>
        <w:rPr>
          <w:noProof/>
        </w:rPr>
        <w:tab/>
      </w:r>
      <w:r>
        <w:rPr>
          <w:rStyle w:val="Strong"/>
          <w:b w:val="0"/>
          <w:noProof/>
        </w:rPr>
        <w:t xml:space="preserve">Podle prognózy Komise z podzimu 2019 by se měl strukturální schodek Maďarska </w:t>
      </w:r>
      <w:r>
        <w:rPr>
          <w:noProof/>
        </w:rPr>
        <w:t xml:space="preserve">v roce 2020 zlepšit o 1,2 % HDP, zatímco výdajové kritérium ukazuje na odchylku od požadované hodnoty. S přihlédnutím k faktorům ovlivňujícím jak strukturální saldo, tak výdajové kritérium, lze na základě současných prognóz očekávat, že rozpočet na rok 2020 přijatý maďarskou vládou přinese kýžený výsledek. </w:t>
      </w:r>
    </w:p>
    <w:p>
      <w:pPr>
        <w:pStyle w:val="Point0"/>
        <w:rPr>
          <w:noProof/>
        </w:rPr>
      </w:pPr>
      <w:r>
        <w:rPr>
          <w:noProof/>
        </w:rPr>
        <w:t>(13)</w:t>
      </w:r>
      <w:r>
        <w:rPr>
          <w:noProof/>
        </w:rPr>
        <w:tab/>
        <w:t>V důsledku nereagování na dřívější doporučení k nápravě zjištěného významného odchýlení je nutné, aby Maďarsko přijalo opatření, která vrátí jeho fiskální politiku zpět na obezřetnou cestu.</w:t>
      </w:r>
    </w:p>
    <w:p>
      <w:pPr>
        <w:pStyle w:val="Point0"/>
        <w:rPr>
          <w:noProof/>
        </w:rPr>
      </w:pPr>
      <w:r>
        <w:rPr>
          <w:noProof/>
        </w:rPr>
        <w:t>(14)</w:t>
      </w:r>
      <w:r>
        <w:rPr>
          <w:noProof/>
        </w:rPr>
        <w:tab/>
        <w:t>Aby Maďarsko dosáhlo doporučovaných rozpočtových cílů, je zásadně důležité, aby důsledně provádělo nezbytná opatření, pozorně sledovalo vývoj běžných výdajů a udrželo na uzdě tendence ke zvýšeným výdajům na konci roku.</w:t>
      </w:r>
    </w:p>
    <w:p>
      <w:pPr>
        <w:pStyle w:val="Point0"/>
        <w:rPr>
          <w:noProof/>
        </w:rPr>
      </w:pPr>
      <w:r>
        <w:rPr>
          <w:noProof/>
        </w:rPr>
        <w:t>(15)</w:t>
      </w:r>
      <w:r>
        <w:rPr>
          <w:noProof/>
        </w:rPr>
        <w:tab/>
        <w:t>Požadavky uvedené v tomto doporučení nahrazují odpovídající prvky stanovené v doporučení Rady ze dne 14. června 2019.</w:t>
      </w:r>
    </w:p>
    <w:p>
      <w:pPr>
        <w:pStyle w:val="Point0"/>
        <w:rPr>
          <w:noProof/>
        </w:rPr>
      </w:pPr>
      <w:r>
        <w:rPr>
          <w:noProof/>
        </w:rPr>
        <w:t>(16)</w:t>
      </w:r>
      <w:r>
        <w:rPr>
          <w:noProof/>
        </w:rPr>
        <w:tab/>
        <w:t>Maďarsko by mělo do 15. dubna 2020 podat Radě zprávu o opatřeních přijatých v reakci na toto doporučení, pokud možno v rámci svého konvergenčního programu předkládaného podle článku 7 nařízení (ES) č. 1466/97.</w:t>
      </w:r>
    </w:p>
    <w:p>
      <w:pPr>
        <w:pStyle w:val="Point0"/>
        <w:rPr>
          <w:noProof/>
        </w:rPr>
      </w:pPr>
      <w:r>
        <w:rPr>
          <w:noProof/>
        </w:rPr>
        <w:t>(17)</w:t>
      </w:r>
      <w:r>
        <w:rPr>
          <w:noProof/>
        </w:rPr>
        <w:tab/>
        <w:t>Je vhodné, aby toto doporučení bylo zveřejněno,</w:t>
      </w:r>
    </w:p>
    <w:p>
      <w:pPr>
        <w:pStyle w:val="Formuledadoption"/>
        <w:spacing w:before="240"/>
        <w:rPr>
          <w:noProof/>
        </w:rPr>
      </w:pPr>
      <w:r>
        <w:rPr>
          <w:noProof/>
        </w:rPr>
        <w:t>DOPORUČUJE MAĎARSKU: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přijmout nezbytná opatření k zajištění toho, aby nominální míra růstu čistých primárních výdajů vládních institucí v roce 2020 nepřekročila 4,7 %, což odpovídá roční strukturální korekci ve výši 0,75 % HDP, a tím zahájilo vhodný postup korekce k dosažení střednědobého rozpočtového cíle; 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využít všech neočekávaných zisků ke snížení schodku; kompenzovat neočekávané výpadky příjmů vysoce kvalitními trvalými fiskálními opatřeními. Opatření k rozpočtové konsolidaci by měla zajistit trvalé a prorůstově orientované zlepšování strukturálního salda veřejných financí;</w:t>
      </w:r>
    </w:p>
    <w:p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podat Radě do 15. dubna 2020 zprávu o opatřeních, která v reakci na toto doporučení přijalo. Zpráva by měla obsahovat dostatečně konkrétní a věrohodně oznámená opatření, včetně rozpočtového dopadu každého z nich, kterými má být dosaženo požadovaného postupu korekce, jakož i aktualizované a podrobné rozpočtové projekce na rok 2020.</w:t>
      </w:r>
    </w:p>
    <w:p>
      <w:pPr>
        <w:ind w:left="130" w:firstLine="720"/>
        <w:rPr>
          <w:noProof/>
        </w:rPr>
      </w:pPr>
      <w:r>
        <w:rPr>
          <w:noProof/>
        </w:rPr>
        <w:t>Toto doporučení je určeno Maďarsku.</w:t>
      </w:r>
    </w:p>
    <w:p>
      <w:pPr>
        <w:pStyle w:val="Fait"/>
        <w:rPr>
          <w:noProof/>
        </w:rPr>
      </w:pPr>
      <w:r>
        <w:rPr>
          <w:noProof/>
        </w:rP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Úř. věst. L 209, 2.8.1997, s. 1.</w:t>
      </w:r>
    </w:p>
  </w:footnote>
  <w:footnote w:id="2">
    <w:p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Úř. věst. C 223, 27.6.2018, s. 1.</w:t>
      </w:r>
    </w:p>
  </w:footnote>
  <w:footnote w:id="3">
    <w:p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Úř. věst. C 460, 21.12.2018, s. 4.</w:t>
      </w:r>
    </w:p>
  </w:footnote>
  <w:footnote w:id="4">
    <w:p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Čisté primární výdaje vládních institucí se skládají z celkových výdajů vládních institucí bez úrokových nákladů, výdajů na programy Unie, které jsou plně kompenzovány příjmy z prostředků Unie, a nediskrečních změn výdajů na podporu v nezaměstnanosti. Vnitrostátně financovaná tvorba hrubého fixního kapitálu je rozložena do čtyřletého období. Zohledněna jsou diskreční opatření na straně příjmů nebo zvýšení příjmů stanovená právními předpisy. Jednorázová opatření na straně příjmů i výdajů jsou kompenzována.</w:t>
      </w:r>
    </w:p>
  </w:footnote>
  <w:footnote w:id="5">
    <w:p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Úř. věst. C 210, 21.6.2019, s. 4.</w:t>
      </w:r>
    </w:p>
  </w:footnote>
  <w:footnote w:id="6">
    <w:p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Doporučení Rady ze dne 9. července 2019 k národnímu programu reforem Maďarska na rok 2019 a stanovisko Rady ke konvergenčnímu programu Maďarska z roku 2019 (Úř. věst. C 301, 5.9.2019, s. 101).</w:t>
      </w:r>
    </w:p>
  </w:footnote>
  <w:footnote w:id="7">
    <w:p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https://ec.europa.eu/info/files/hungary-report-council-recommendations-under-significant-deviation-procedure_en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86C3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3C80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D7097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84C9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96CE9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C2BD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CCE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FE1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22 17:12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A62E43E-8748-4A3F-B3C8-556F46DDDC92"/>
    <w:docVar w:name="LW_COVERPAGE_TYPE" w:val="1"/>
    <w:docVar w:name="LW_CROSSREFERENCE" w:val="{SWD(2019) 941 final}"/>
    <w:docVar w:name="LW_DocType" w:val="COM"/>
    <w:docVar w:name="LW_EMISSION" w:val="20.11.2019"/>
    <w:docVar w:name="LW_EMISSION_ISODATE" w:val="2019-11-20"/>
    <w:docVar w:name="LW_EMISSION_LOCATION" w:val="BRX"/>
    <w:docVar w:name="LW_EMISSION_PREFIX" w:val="V Bruselu dne "/>
    <w:docVar w:name="LW_EMISSION_SUFFIX" w:val=" "/>
    <w:docVar w:name="LW_ID_DOCMODEL" w:val="SG-002"/>
    <w:docVar w:name="LW_ID_DOCSIGNATURE" w:val="SG-002"/>
    <w:docVar w:name="LW_ID_DOCSTRUCTURE" w:val="COM/PL/ORG/NOEEA"/>
    <w:docVar w:name="LW_ID_DOCTYPE" w:val="SG-002"/>
    <w:docVar w:name="LW_ID_STATUT" w:val="SG-002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9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" w:val="Doporu\u269?ení pro"/>
    <w:docVar w:name="LW_STATUT.CP" w:val="Doporu\u269?ení pro"/>
    <w:docVar w:name="LW_SUPERTITRE" w:val="&lt;UNUSED&gt;"/>
    <w:docVar w:name="LW_TITRE.OBJ" w:val="k náprav\u283? zji\u353?t\u283?ného záva\u382?ného odchýlení od postupu korekce k dosa\u382?ení st\u345?edn\u283?dobého rozpo\u269?tového cíle _x000d__x000b__x000d__x000b_v Ma\u271?arsku"/>
    <w:docVar w:name="LW_TITRE.OBJ.CP" w:val="k náprav\u283? zji\u353?t\u283?ného záva\u382?ného odchýlení od postupu korekce k dosa\u382?ení st\u345?edn\u283?dobého rozpo\u269?tového cíle _x000d__x000b__x000d__x000b_v Ma\u271?arsku"/>
    <w:docVar w:name="LW_TYPE.DOC" w:val="DOPORU\u268?ENÍ RADY"/>
    <w:docVar w:name="LW_TYPE.DOC.CP" w:val="DOPORU\u268?EN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077-A3EF-421E-87AC-E4687DB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1041</Words>
  <Characters>5822</Characters>
  <Application>Microsoft Office Word</Application>
  <DocSecurity>0</DocSecurity>
  <Lines>109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2018-10-29T15:56:00Z</cp:lastPrinted>
  <dcterms:created xsi:type="dcterms:W3CDTF">2019-11-22T09:36:00Z</dcterms:created>
  <dcterms:modified xsi:type="dcterms:W3CDTF">2019-11-22T16:12:00Z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SG-002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