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8861967-C24F-480B-8380-2E8B0BCA85C5"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0"/>
        <w:jc w:val="both"/>
        <w:rPr>
          <w:rFonts w:ascii="Times New Roman" w:hAnsi="Times New Roman" w:cs="Times New Roman"/>
          <w:noProof/>
          <w:sz w:val="24"/>
          <w:szCs w:val="24"/>
        </w:rPr>
      </w:pPr>
      <w:bookmarkStart w:id="1" w:name="_GoBack"/>
      <w:bookmarkEnd w:id="1"/>
      <w:r>
        <w:rPr>
          <w:rFonts w:ascii="Times New Roman" w:hAnsi="Times New Roman"/>
          <w:noProof/>
          <w:sz w:val="24"/>
          <w:szCs w:val="24"/>
        </w:rPr>
        <w:lastRenderedPageBreak/>
        <w:t>Šis ziņojums par pastiprinātas uzraudzības misiju Rumānijā tiek nosūtīts Padomei saskaņā ar Regulas (EK) Nr. 1466/97</w:t>
      </w:r>
      <w:r>
        <w:rPr>
          <w:rFonts w:ascii="Times New Roman" w:hAnsi="Times New Roman" w:cs="Times New Roman"/>
          <w:noProof/>
          <w:sz w:val="24"/>
          <w:szCs w:val="24"/>
          <w:vertAlign w:val="superscript"/>
        </w:rPr>
        <w:footnoteReference w:id="2"/>
      </w:r>
      <w:r>
        <w:rPr>
          <w:rFonts w:ascii="Times New Roman" w:hAnsi="Times New Roman"/>
          <w:noProof/>
          <w:sz w:val="24"/>
          <w:szCs w:val="24"/>
        </w:rPr>
        <w:t xml:space="preserve"> 11. panta 4. punktu. Kā paredzēts Regulas (EK) Nr. 1466/97 11. panta 5. punktā, minētās misijas pagaidu secinājumi iepriekš tika nosūtīti Rumānijas iestādēm, lai tās varētu izteikt komentārus.</w:t>
      </w:r>
    </w:p>
    <w:p>
      <w:pPr>
        <w:spacing w:after="120"/>
        <w:jc w:val="both"/>
        <w:rPr>
          <w:rFonts w:ascii="Times New Roman" w:hAnsi="Times New Roman" w:cs="Times New Roman"/>
          <w:noProof/>
          <w:sz w:val="24"/>
          <w:szCs w:val="24"/>
          <w:highlight w:val="yellow"/>
        </w:rPr>
      </w:pPr>
    </w:p>
    <w:p>
      <w:pPr>
        <w:spacing w:after="0" w:line="240" w:lineRule="auto"/>
        <w:jc w:val="center"/>
        <w:rPr>
          <w:rFonts w:ascii="Times New Roman" w:hAnsi="Times New Roman" w:cs="Times New Roman"/>
          <w:b/>
          <w:noProof/>
          <w:sz w:val="24"/>
          <w:szCs w:val="24"/>
        </w:rPr>
      </w:pPr>
      <w:r>
        <w:rPr>
          <w:rFonts w:ascii="Times New Roman" w:hAnsi="Times New Roman"/>
          <w:b/>
          <w:noProof/>
          <w:sz w:val="24"/>
          <w:szCs w:val="24"/>
        </w:rPr>
        <w:t>Rumānija – būtiskas novirzes procedūra</w:t>
      </w:r>
    </w:p>
    <w:p>
      <w:pPr>
        <w:spacing w:after="0" w:line="240" w:lineRule="auto"/>
        <w:jc w:val="center"/>
        <w:rPr>
          <w:rFonts w:ascii="Times New Roman" w:hAnsi="Times New Roman" w:cs="Times New Roman"/>
          <w:b/>
          <w:noProof/>
          <w:sz w:val="24"/>
          <w:szCs w:val="24"/>
        </w:rPr>
      </w:pPr>
      <w:r>
        <w:rPr>
          <w:rFonts w:ascii="Times New Roman" w:hAnsi="Times New Roman"/>
          <w:b/>
          <w:noProof/>
          <w:sz w:val="24"/>
          <w:szCs w:val="24"/>
        </w:rPr>
        <w:t>Pastiprinātas uzraudzības misija, 2019. gada 25. septembris</w:t>
      </w:r>
    </w:p>
    <w:p>
      <w:pPr>
        <w:spacing w:before="120" w:after="0" w:line="240" w:lineRule="auto"/>
        <w:jc w:val="center"/>
        <w:rPr>
          <w:rFonts w:ascii="Times New Roman" w:hAnsi="Times New Roman" w:cs="Times New Roman"/>
          <w:b/>
          <w:noProof/>
          <w:sz w:val="24"/>
          <w:szCs w:val="24"/>
        </w:rPr>
      </w:pPr>
      <w:r>
        <w:rPr>
          <w:rFonts w:ascii="Times New Roman" w:hAnsi="Times New Roman"/>
          <w:b/>
          <w:noProof/>
          <w:sz w:val="24"/>
          <w:szCs w:val="24"/>
        </w:rPr>
        <w:t>Ziņojums</w:t>
      </w:r>
    </w:p>
    <w:p>
      <w:pPr>
        <w:spacing w:after="0"/>
        <w:jc w:val="both"/>
        <w:rPr>
          <w:rFonts w:ascii="Times New Roman" w:hAnsi="Times New Roman" w:cs="Times New Roman"/>
          <w:noProof/>
          <w:sz w:val="24"/>
          <w:szCs w:val="24"/>
          <w:highlight w:val="yellow"/>
        </w:rPr>
      </w:pPr>
    </w:p>
    <w:p>
      <w:pPr>
        <w:spacing w:before="240" w:after="120"/>
        <w:jc w:val="both"/>
        <w:rPr>
          <w:rFonts w:ascii="Times New Roman" w:hAnsi="Times New Roman" w:cs="Times New Roman"/>
          <w:b/>
          <w:noProof/>
          <w:sz w:val="24"/>
          <w:szCs w:val="24"/>
        </w:rPr>
      </w:pPr>
      <w:r>
        <w:rPr>
          <w:rFonts w:ascii="Times New Roman" w:hAnsi="Times New Roman"/>
          <w:b/>
          <w:noProof/>
          <w:sz w:val="24"/>
          <w:szCs w:val="24"/>
        </w:rPr>
        <w:t>1. Ievads</w:t>
      </w:r>
    </w:p>
    <w:p>
      <w:pPr>
        <w:spacing w:after="120"/>
        <w:jc w:val="both"/>
        <w:rPr>
          <w:rFonts w:ascii="Times New Roman" w:eastAsiaTheme="minorEastAsia" w:hAnsi="Times New Roman" w:cs="Times New Roman"/>
          <w:noProof/>
          <w:sz w:val="24"/>
          <w:szCs w:val="24"/>
          <w:highlight w:val="yellow"/>
        </w:rPr>
      </w:pPr>
      <w:r>
        <w:rPr>
          <w:rFonts w:ascii="Times New Roman" w:hAnsi="Times New Roman"/>
          <w:b/>
          <w:noProof/>
          <w:sz w:val="24"/>
          <w:szCs w:val="24"/>
        </w:rPr>
        <w:t xml:space="preserve">Rumānijai būtiskas novirzes procedūra tiek piemērota kopš 2017. gada pavasara. </w:t>
      </w:r>
      <w:r>
        <w:rPr>
          <w:rFonts w:ascii="Times New Roman" w:hAnsi="Times New Roman"/>
          <w:noProof/>
          <w:sz w:val="24"/>
          <w:szCs w:val="24"/>
        </w:rPr>
        <w:t>Gan 2017. gada jūnijā, gan 2018. gada jūnijā Padome saskaņā ar Līguma 121. panta 4. punktu konstatēja, ka attiecīgi 2016. un 2017. gadā bija vērojama būtiska novirze no Rumānijas vidēja termiņa budžeta mērķa vai tā sasniegšanai vajadzīgās korekcijas gaitas. Padome sniedza ieteikumus, lūdzot Rumānijai veikt politikas pasākumus, kas nepieciešami, lai izlabotu minētās novirzes. Abi ieteikumi tika pārskatīti pēc sešiem mēnešiem, kad Padome secināja, ka Rumānija nav veikusi efektīvus pasākumus, reaģējot uz jūnija ieteikumiem. Rumānija neveica nekādus pasākumus, lai reaģētu arī uz pārskatītajiem ieteikumiem</w:t>
      </w:r>
      <w:r>
        <w:rPr>
          <w:rStyle w:val="FootnoteReference"/>
          <w:rFonts w:ascii="Times New Roman" w:eastAsiaTheme="minorEastAsia" w:hAnsi="Times New Roman" w:cs="Times New Roman"/>
          <w:noProof/>
          <w:sz w:val="24"/>
          <w:szCs w:val="24"/>
        </w:rPr>
        <w:footnoteReference w:id="3"/>
      </w:r>
      <w:r>
        <w:rPr>
          <w:rFonts w:ascii="Times New Roman" w:hAnsi="Times New Roman"/>
          <w:noProof/>
          <w:sz w:val="24"/>
          <w:szCs w:val="24"/>
        </w:rPr>
        <w:t>.</w:t>
      </w:r>
      <w:r>
        <w:rPr>
          <w:rFonts w:ascii="Times New Roman" w:hAnsi="Times New Roman"/>
          <w:noProof/>
          <w:sz w:val="24"/>
          <w:szCs w:val="24"/>
          <w:highlight w:val="yellow"/>
        </w:rPr>
        <w:t xml:space="preserve"> </w:t>
      </w:r>
    </w:p>
    <w:p>
      <w:pPr>
        <w:spacing w:after="120"/>
        <w:jc w:val="both"/>
        <w:rPr>
          <w:rFonts w:ascii="Times New Roman" w:eastAsiaTheme="minorEastAsia" w:hAnsi="Times New Roman" w:cs="Times New Roman"/>
          <w:b/>
          <w:noProof/>
          <w:sz w:val="24"/>
          <w:szCs w:val="24"/>
          <w:highlight w:val="yellow"/>
        </w:rPr>
      </w:pPr>
      <w:r>
        <w:rPr>
          <w:rFonts w:ascii="Times New Roman" w:hAnsi="Times New Roman"/>
          <w:b/>
          <w:noProof/>
          <w:sz w:val="24"/>
          <w:szCs w:val="24"/>
        </w:rPr>
        <w:t>Tā kā 2018. gadā tika novērota būtiska novirze, 2019. gada pavasarī tika uzsākta jauna būtiskas novirzes procedūra.</w:t>
      </w:r>
      <w:r>
        <w:rPr>
          <w:rFonts w:ascii="Times New Roman" w:hAnsi="Times New Roman"/>
          <w:noProof/>
          <w:sz w:val="24"/>
          <w:szCs w:val="24"/>
        </w:rPr>
        <w:t xml:space="preserve"> Komisija 2019. gada 5. jūnijā izteica brīdinājumu Rumānijai par to, ka 2018. gadā atkal tika novērota būtiska novirze no korekcijām vidēja termiņa budžeta mērķa sasniegšanai, un ierosināja Padomei sākt jaunu būtiskas novirzes procedūru. Padome savā 14. jūnijā apstiprinātajā jaunajā ieteikumā aicināja Rumāniju veikt nepieciešamos pasākumus, lai nodrošinātu, ka valdības neto primāro izdevumu nominālais pieaugums 2019. gadā nepārsniedz 4,5 % un 2020. gadā — 5,1 %, kas atbilst gada strukturālajai korekcijai 1,0 % no IKP 2019. gadā un 0,75 % 2020. gadā. </w:t>
      </w:r>
    </w:p>
    <w:p>
      <w:pPr>
        <w:spacing w:after="120"/>
        <w:jc w:val="both"/>
        <w:rPr>
          <w:rFonts w:ascii="Times New Roman" w:hAnsi="Times New Roman" w:cs="Times New Roman"/>
          <w:noProof/>
          <w:sz w:val="24"/>
          <w:szCs w:val="24"/>
        </w:rPr>
      </w:pPr>
      <w:r>
        <w:rPr>
          <w:rFonts w:ascii="Times New Roman" w:hAnsi="Times New Roman"/>
          <w:b/>
          <w:noProof/>
          <w:sz w:val="24"/>
          <w:szCs w:val="24"/>
        </w:rPr>
        <w:t xml:space="preserve">Šajā ziņojumā ir izklāstīti Rumānijā 2019. gada 25. septembrī notikušās pastiprinātas uzraudzības misijas konstatējumi. </w:t>
      </w:r>
      <w:r>
        <w:rPr>
          <w:rFonts w:ascii="Times New Roman" w:hAnsi="Times New Roman"/>
          <w:noProof/>
          <w:sz w:val="24"/>
          <w:szCs w:val="24"/>
        </w:rPr>
        <w:t xml:space="preserve">Misija tika rīkota, pamatojoties uz Regulas (EK) 1466/97 11. panta 2. punktu. Misijas dalībnieki tikās ar </w:t>
      </w:r>
      <w:r>
        <w:rPr>
          <w:rFonts w:ascii="Times New Roman" w:hAnsi="Times New Roman"/>
          <w:i/>
          <w:iCs/>
          <w:noProof/>
          <w:sz w:val="24"/>
          <w:szCs w:val="24"/>
        </w:rPr>
        <w:t>Daniela Pescaru</w:t>
      </w:r>
      <w:r>
        <w:rPr>
          <w:rFonts w:ascii="Times New Roman" w:hAnsi="Times New Roman"/>
          <w:noProof/>
          <w:sz w:val="24"/>
          <w:szCs w:val="24"/>
        </w:rPr>
        <w:t xml:space="preserve"> un </w:t>
      </w:r>
      <w:r>
        <w:rPr>
          <w:rFonts w:ascii="Times New Roman" w:hAnsi="Times New Roman"/>
          <w:i/>
          <w:iCs/>
          <w:noProof/>
          <w:sz w:val="24"/>
          <w:szCs w:val="24"/>
        </w:rPr>
        <w:t>Tiberiu Valentin Mavrodin</w:t>
      </w:r>
      <w:r>
        <w:rPr>
          <w:rFonts w:ascii="Times New Roman" w:hAnsi="Times New Roman"/>
          <w:noProof/>
          <w:sz w:val="24"/>
          <w:szCs w:val="24"/>
        </w:rPr>
        <w:t xml:space="preserve">, finanšu ministrijas valsts sekretāriem, </w:t>
      </w:r>
      <w:r>
        <w:rPr>
          <w:rFonts w:ascii="Times New Roman" w:hAnsi="Times New Roman"/>
          <w:i/>
          <w:iCs/>
          <w:noProof/>
          <w:sz w:val="24"/>
          <w:szCs w:val="24"/>
        </w:rPr>
        <w:t>Mirela Călugăreanu</w:t>
      </w:r>
      <w:r>
        <w:rPr>
          <w:rFonts w:ascii="Times New Roman" w:hAnsi="Times New Roman"/>
          <w:noProof/>
          <w:sz w:val="24"/>
          <w:szCs w:val="24"/>
        </w:rPr>
        <w:t>, nodokļu administrācijas vadītāju (</w:t>
      </w:r>
      <w:r>
        <w:rPr>
          <w:rFonts w:ascii="Times New Roman" w:hAnsi="Times New Roman"/>
          <w:i/>
          <w:iCs/>
          <w:noProof/>
          <w:sz w:val="24"/>
          <w:szCs w:val="24"/>
        </w:rPr>
        <w:t>ANAF</w:t>
      </w:r>
      <w:r>
        <w:rPr>
          <w:rFonts w:ascii="Times New Roman" w:hAnsi="Times New Roman"/>
          <w:noProof/>
          <w:sz w:val="24"/>
          <w:szCs w:val="24"/>
        </w:rPr>
        <w:t xml:space="preserve">), Rumānijas valsts bankas pārvaldnieku </w:t>
      </w:r>
      <w:r>
        <w:rPr>
          <w:rFonts w:ascii="Times New Roman" w:hAnsi="Times New Roman"/>
          <w:i/>
          <w:iCs/>
          <w:noProof/>
          <w:sz w:val="24"/>
          <w:szCs w:val="24"/>
        </w:rPr>
        <w:t>Mugur Isărescu</w:t>
      </w:r>
      <w:r>
        <w:rPr>
          <w:rFonts w:ascii="Times New Roman" w:hAnsi="Times New Roman"/>
          <w:noProof/>
          <w:sz w:val="24"/>
          <w:szCs w:val="24"/>
        </w:rPr>
        <w:t xml:space="preserve"> un Rumānijas Fiskālās padomes vadītāju </w:t>
      </w:r>
      <w:r>
        <w:rPr>
          <w:rFonts w:ascii="Times New Roman" w:hAnsi="Times New Roman"/>
          <w:i/>
          <w:iCs/>
          <w:noProof/>
          <w:sz w:val="24"/>
          <w:szCs w:val="24"/>
        </w:rPr>
        <w:t>Daniel Dăianu</w:t>
      </w:r>
      <w:r>
        <w:rPr>
          <w:rFonts w:ascii="Times New Roman" w:hAnsi="Times New Roman"/>
          <w:noProof/>
          <w:sz w:val="24"/>
          <w:szCs w:val="24"/>
        </w:rPr>
        <w:t xml:space="preserve">, kurus pavadīja attiecīgo iestāžu darbinieki. Tāpat kā iepriekšējās līdzīgās misijās nolūks bija apspriest Rumānijas iestāžu plānotos fiskālos pasākumus, uzsvērt to, ka pastāv fiskāli riski, un iedrošināt ievērot atbilstību būtiskas novirzes procedūras ieteikumam. Šā ziņojuma pamatā ir informācija, kas iegūta līdz misijas sākumam un tās laikā. </w:t>
      </w:r>
    </w:p>
    <w:p>
      <w:pPr>
        <w:spacing w:before="360" w:after="120"/>
        <w:jc w:val="both"/>
        <w:rPr>
          <w:rFonts w:ascii="Times New Roman" w:hAnsi="Times New Roman" w:cs="Times New Roman"/>
          <w:b/>
          <w:noProof/>
          <w:sz w:val="24"/>
          <w:szCs w:val="24"/>
        </w:rPr>
      </w:pPr>
      <w:r>
        <w:rPr>
          <w:rFonts w:ascii="Times New Roman" w:hAnsi="Times New Roman"/>
          <w:b/>
          <w:noProof/>
          <w:sz w:val="24"/>
          <w:szCs w:val="24"/>
        </w:rPr>
        <w:t>2. Misijas konstatējumi</w:t>
      </w:r>
    </w:p>
    <w:p>
      <w:pPr>
        <w:spacing w:after="120"/>
        <w:jc w:val="both"/>
        <w:rPr>
          <w:rFonts w:ascii="Times New Roman" w:eastAsiaTheme="minorEastAsia" w:hAnsi="Times New Roman" w:cs="Times New Roman"/>
          <w:noProof/>
          <w:sz w:val="24"/>
          <w:szCs w:val="24"/>
        </w:rPr>
      </w:pPr>
      <w:r>
        <w:rPr>
          <w:rFonts w:ascii="Times New Roman" w:hAnsi="Times New Roman"/>
          <w:b/>
          <w:noProof/>
          <w:sz w:val="24"/>
          <w:szCs w:val="24"/>
        </w:rPr>
        <w:t xml:space="preserve">Iestādes nedomā rīkoties pēc </w:t>
      </w:r>
      <w:r>
        <w:rPr>
          <w:rFonts w:ascii="Times New Roman" w:hAnsi="Times New Roman"/>
          <w:noProof/>
          <w:sz w:val="24"/>
          <w:szCs w:val="24"/>
        </w:rPr>
        <w:t>būtiskas novirzes procedūras</w:t>
      </w:r>
      <w:r>
        <w:rPr>
          <w:rFonts w:ascii="Times New Roman" w:hAnsi="Times New Roman"/>
          <w:b/>
          <w:noProof/>
          <w:sz w:val="24"/>
          <w:szCs w:val="24"/>
        </w:rPr>
        <w:t xml:space="preserve"> ieteikuma. </w:t>
      </w:r>
      <w:r>
        <w:rPr>
          <w:rFonts w:ascii="Times New Roman" w:hAnsi="Times New Roman"/>
          <w:noProof/>
          <w:sz w:val="24"/>
          <w:szCs w:val="24"/>
        </w:rPr>
        <w:t>Finanšu ministrijas pārstāvji paskaidroja, ka valdība neplāno veikt strukturālas korekcijas 2019. vai 2020. gadā. Rumānijas iestādes turpina koncentrēties uz to, lai saglabātu nominālo deficītu zem 3 % no IKP, kas ir Līgumā noteiktā atsauces vērtība, tādējādi cenšoties izvairīties no Stabilitātes un izaugsmes pakta korektīvās daļas. Ar 2019. gada augustā pieņemto 2019. gada budžeta grozījumu tika saglabāts nominālā deficīta mērķis – 2,76 % no IKP naudas izteiksmē (2,78 % no IKP EKS izteiksmē). Rumānijas valdība jau apstiprināja izdevumu maksimālo apjomu nākamajam 2020. gada budžetam un iesniedza aplēses vidējā termiņā. Nominālā deficīta mērķi ir 2,92 % no IKP 2020. gadā, 2,99 % – 2021. gadā, 2,74 % – 2022. gadā un 2,40 % – 2023. gadā. Misijas laikā ministrija nesniedza informāciju par strukturālā budžeta deficīta mērķiem, bet paskaidroja, ka minētie nominālā deficīta mērķi nozīmē to, ka strukturālās korekcijas sāksies tikai 2022. gadā. Nozaru ministrijas gatavo konkrētus izdevumu plānus apstiprināto izdevumu maksimālā apjoma ietvaros.</w:t>
      </w:r>
    </w:p>
    <w:p>
      <w:pPr>
        <w:spacing w:after="120"/>
        <w:jc w:val="both"/>
        <w:rPr>
          <w:rFonts w:ascii="Times New Roman" w:eastAsiaTheme="minorEastAsia" w:hAnsi="Times New Roman" w:cs="Times New Roman"/>
          <w:noProof/>
          <w:sz w:val="24"/>
          <w:szCs w:val="24"/>
          <w:highlight w:val="yellow"/>
        </w:rPr>
      </w:pPr>
      <w:r>
        <w:rPr>
          <w:rFonts w:ascii="Times New Roman" w:hAnsi="Times New Roman"/>
          <w:b/>
          <w:noProof/>
          <w:sz w:val="24"/>
          <w:szCs w:val="24"/>
        </w:rPr>
        <w:t>Iespējams, ka 2019. gada budžeta mērķis netiks sasniegts.</w:t>
      </w:r>
      <w:r>
        <w:rPr>
          <w:rFonts w:ascii="Times New Roman" w:hAnsi="Times New Roman"/>
          <w:noProof/>
          <w:sz w:val="24"/>
          <w:szCs w:val="24"/>
        </w:rPr>
        <w:t xml:space="preserve"> Valsts budžeta deficīts no 2019. gada janvāra līdz augustam naudas izteiksmē bija par 0,6 procentpunktiem no IKP lielāks nekā iepriekšējā gada līdzvērtīgā laikposmā (valsts budžeta deficīts naudas izteiksmē kopumā sasniedza 2,9 % no IKP 2018. gadā). Saskaņā ar Fiskālās padomes sniegto informāciju pastāv ievērojams risks pārsniegt 2019. gada deficīta mērķi un pat Līgumā noteikto atsauces vērtību – 3 % no IKP. Tas ir saistīts ar pārvērtētiem ieņēmumiem (jo īpaši ieņēmumiem no PVN un sociālajām iemaksām) un nepietiekami novērtētiem izdevumiem par sociālajiem pabalstiem un precēm un pakalpojumiem. Fiskālā padome lēš, ka gadījumā, ja netiks pieņemti ticami papildu kompensējoši pasākumi, budžeta deficīts varētu būt robežās no 3,4 % līdz 3,7 % no IKP 2019. gadā. Fiskālā padome novēroja, ka valdība, iespējams, centīsies kontrolēt nominālo deficītu, samazinot publiskos ieguldījumus, kuri jau ir tuvu rekordzemam līmenim, un veicot citus mazākas ietekmes pasākumus.</w:t>
      </w:r>
    </w:p>
    <w:p>
      <w:pPr>
        <w:spacing w:after="120"/>
        <w:jc w:val="both"/>
        <w:rPr>
          <w:rFonts w:ascii="Times New Roman" w:eastAsiaTheme="minorEastAsia" w:hAnsi="Times New Roman" w:cs="Times New Roman"/>
          <w:noProof/>
          <w:sz w:val="24"/>
          <w:szCs w:val="24"/>
          <w:highlight w:val="yellow"/>
        </w:rPr>
      </w:pPr>
      <w:r>
        <w:rPr>
          <w:rFonts w:ascii="Times New Roman" w:hAnsi="Times New Roman"/>
          <w:b/>
          <w:noProof/>
          <w:sz w:val="24"/>
          <w:szCs w:val="24"/>
        </w:rPr>
        <w:t xml:space="preserve">Jaunais pensiju likums attiecībā uz valsts budžeta deficītu 2020. gadā un pēcāk rada nozīmīgu augšupvērstu risku. </w:t>
      </w:r>
      <w:r>
        <w:rPr>
          <w:rFonts w:ascii="Times New Roman" w:hAnsi="Times New Roman"/>
          <w:noProof/>
          <w:sz w:val="24"/>
          <w:szCs w:val="24"/>
        </w:rPr>
        <w:t xml:space="preserve">Šis likums, kas ir spēkā kopš 2019. gada jūnija, ietver būtiskus </w:t>
      </w:r>
      <w:r>
        <w:rPr>
          <w:rFonts w:ascii="Times New Roman" w:hAnsi="Times New Roman"/>
          <w:i/>
          <w:iCs/>
          <w:noProof/>
          <w:sz w:val="24"/>
          <w:szCs w:val="24"/>
        </w:rPr>
        <w:t>ad-hoc</w:t>
      </w:r>
      <w:r>
        <w:rPr>
          <w:rFonts w:ascii="Times New Roman" w:hAnsi="Times New Roman"/>
          <w:noProof/>
          <w:sz w:val="24"/>
          <w:szCs w:val="24"/>
        </w:rPr>
        <w:t xml:space="preserve"> ikgadējos pensijas punkta pieaugumus (galvenais parametrs, ko izmanto vecuma pensiju indeksācijā) 2019.–2021. gadā, tostarp 40 % pieaugumu 2020. gada septembrī. Tas arī ietver plašas izmaiņas standarta pensiju indeksācijas formulā un esošo pensiju augšupēju pārrēķinu no 2022. gada. Saskaņā ar valdības oficiālajām aplēsēm, kas ietvertas pievienotajā paskaidrojuma rakstā, minētais likums palielinās valdības izdevumus par 0,8 % no IKP 2019. gadā, 2,3 % – 2020. gadā un 4,9 % – 2021. gadā salīdzinājumā ar nominālo līmeni 2018. gadā. Finanšu ministrijas darbinieki norādīja, ka nākamajiem gadiem izvēlētā fiskālā stratēģija sniedz pietiekamu fiskālo telpu šo izmaksu segšanai, pateicoties uzlabotai nodokļu saistību izpildei un izdevumu iesaldēšanai. Ministrijas darbinieki piedāvāja dalīties ar informāciju gaidāmajā Komisijas plānotā apmeklējuma laikā. Misijas dalībnieki uzsvēra, ka nav skaidrs, kā var iekļaut jauno pensiju likumu (jo īpaši 40 % pensiju palielinājumu), nemainot tā īstenošanas grafiku. Saskaņā ar Fiskālās padomes un Rumānijas valsts bankas sniegto informāciju pensijas likuma īstenošana tiesību aktos paredzētajā termiņā nav savienojama ar nominālā deficīta saglabāšanu Līgumā noteiktās atsauces vērtības (3 % no IKP) robežās. </w:t>
      </w:r>
    </w:p>
    <w:p>
      <w:pPr>
        <w:spacing w:after="120"/>
        <w:jc w:val="both"/>
        <w:rPr>
          <w:rFonts w:ascii="Times New Roman" w:eastAsiaTheme="minorEastAsia" w:hAnsi="Times New Roman" w:cs="Times New Roman"/>
          <w:noProof/>
          <w:sz w:val="24"/>
          <w:szCs w:val="24"/>
        </w:rPr>
      </w:pPr>
      <w:r>
        <w:rPr>
          <w:rFonts w:ascii="Times New Roman" w:hAnsi="Times New Roman"/>
          <w:b/>
          <w:noProof/>
          <w:sz w:val="24"/>
          <w:szCs w:val="24"/>
        </w:rPr>
        <w:t>Nodokļu administrācijas (</w:t>
      </w:r>
      <w:r>
        <w:rPr>
          <w:rFonts w:ascii="Times New Roman" w:hAnsi="Times New Roman"/>
          <w:b/>
          <w:i/>
          <w:iCs/>
          <w:noProof/>
          <w:sz w:val="24"/>
          <w:szCs w:val="24"/>
        </w:rPr>
        <w:t>ANAF</w:t>
      </w:r>
      <w:r>
        <w:rPr>
          <w:rFonts w:ascii="Times New Roman" w:hAnsi="Times New Roman"/>
          <w:b/>
          <w:noProof/>
          <w:sz w:val="24"/>
          <w:szCs w:val="24"/>
        </w:rPr>
        <w:t>) vadītājs sniedza pārskatu par plānotajiem pasākumiem un mērķiem, lai palielinātu nodokļu iekasēšanu.</w:t>
      </w:r>
      <w:r>
        <w:rPr>
          <w:rFonts w:ascii="Times New Roman" w:hAnsi="Times New Roman"/>
          <w:noProof/>
          <w:sz w:val="24"/>
          <w:szCs w:val="24"/>
        </w:rPr>
        <w:t xml:space="preserve"> Tie ietver jaunas konsultatīvās padomes iecelšanu, nodokļu deklarāciju un maksājumu vienkāršošanu, pasākumus attiecībā uz transfertcenu noteikšanu, kritēriju izstrādi atšķirīgai attieksmei pret nodokļu maksātājiem, balstoties uz fiskālo risku, nodokļu administrācijas (</w:t>
      </w:r>
      <w:r>
        <w:rPr>
          <w:rFonts w:ascii="Times New Roman" w:hAnsi="Times New Roman"/>
          <w:i/>
          <w:iCs/>
          <w:noProof/>
          <w:sz w:val="24"/>
          <w:szCs w:val="24"/>
        </w:rPr>
        <w:t>ANAF</w:t>
      </w:r>
      <w:r>
        <w:rPr>
          <w:rFonts w:ascii="Times New Roman" w:hAnsi="Times New Roman"/>
          <w:noProof/>
          <w:sz w:val="24"/>
          <w:szCs w:val="24"/>
        </w:rPr>
        <w:t>) reorganizāciju, resursu piešķiršanu reģionālajiem birojiem, kuriem tie visvairāk vajadzīgi (piemēram, Bukarestē), jaunas nodokļu revīzijas, balstoties uz integrētu riska analīzi, no elektroniskajiem kases aparātiem iegūto datu apkopošanu un analīzi, nodokļu administrācijas (</w:t>
      </w:r>
      <w:r>
        <w:rPr>
          <w:rFonts w:ascii="Times New Roman" w:hAnsi="Times New Roman"/>
          <w:i/>
          <w:iCs/>
          <w:noProof/>
          <w:sz w:val="24"/>
          <w:szCs w:val="24"/>
        </w:rPr>
        <w:t>ANAF</w:t>
      </w:r>
      <w:r>
        <w:rPr>
          <w:rFonts w:ascii="Times New Roman" w:hAnsi="Times New Roman"/>
          <w:noProof/>
          <w:sz w:val="24"/>
          <w:szCs w:val="24"/>
        </w:rPr>
        <w:t>) lielāku digitalizāciju, transportēto preču uzraudzības sistēmas attīstību un PVN iztrūkuma aplēsi. Misijas dalībnieki atzinīgi novērtēja šos centienus, bet brīdināja, ka nodokļu saistību izpildes uzlabošana prasa laiku un jebkurā gadījumā ar to var nepietikt, lai finansētu ieviesto pensiju palielinājumu. Fiskālā padome uzskata, ka fiskālās piesardzības principa kontekstā to pasākumu potenciālā pozitīvā ietekme uz budžetu, kuru mērķis ir uzlabot nodokļu iekasēšanu, nebūtu jāņem vērā</w:t>
      </w:r>
      <w:r>
        <w:rPr>
          <w:rFonts w:ascii="Times New Roman" w:hAnsi="Times New Roman"/>
          <w:i/>
          <w:iCs/>
          <w:noProof/>
          <w:sz w:val="24"/>
          <w:szCs w:val="24"/>
        </w:rPr>
        <w:t xml:space="preserve"> ex ante</w:t>
      </w:r>
      <w:r>
        <w:rPr>
          <w:rFonts w:ascii="Times New Roman" w:hAnsi="Times New Roman"/>
          <w:noProof/>
          <w:sz w:val="24"/>
          <w:szCs w:val="24"/>
        </w:rPr>
        <w:t xml:space="preserve"> budžeta ieņēmumu prognozē.</w:t>
      </w:r>
    </w:p>
    <w:p>
      <w:pPr>
        <w:spacing w:after="120"/>
        <w:jc w:val="both"/>
        <w:rPr>
          <w:rFonts w:ascii="Times New Roman" w:eastAsiaTheme="minorEastAsia" w:hAnsi="Times New Roman" w:cs="Times New Roman"/>
          <w:noProof/>
          <w:sz w:val="24"/>
          <w:szCs w:val="24"/>
        </w:rPr>
      </w:pPr>
      <w:r>
        <w:rPr>
          <w:rFonts w:ascii="Times New Roman" w:hAnsi="Times New Roman"/>
          <w:b/>
          <w:noProof/>
          <w:sz w:val="24"/>
          <w:szCs w:val="24"/>
        </w:rPr>
        <w:t>Fiskālā padome pauda bažas par publisko finanšu struktūru, un Rumānijas valsts banka pauda bažas par budžeta deficītu ietekmi uz monetāro politiku.</w:t>
      </w:r>
      <w:r>
        <w:rPr>
          <w:rFonts w:ascii="Times New Roman" w:hAnsi="Times New Roman"/>
          <w:noProof/>
          <w:sz w:val="24"/>
          <w:szCs w:val="24"/>
        </w:rPr>
        <w:t xml:space="preserve"> Fiskālā padome pauž bažas par to, ka budžeta ieņēmumi nav pietiekami, lai finansētu nepieciešamos publiskos izdevumus. Fiskālie ieņēmumi ir ļoti zemi, ko rada zemas tiesību aktos noteiktās nodokļu likmes un vāja nodokļu saistību izpilde, par ko liecina augstais PVN iztrūkums. Nodokļu iekasēšanas uzlabošanas jautājumos Rumānijai būtu jāmācās no citu reģiona valstu, piemēram, Bulgārijas un Polijas, veiksmīgās pieredzes.  Rumānijas valsts banka piekrīt šai analīzei, norādot, ka publisko finanšu galvenās strukturālās problēmas ir zemie nodokļu ieņēmumi un publisko izdevumu zemā kvalitāte. Rumānijas valsts banka pauž bažas par to, ka augsti fiskālie deficīti un ekspansīva fiskālā politika sarežģī monetārās politikas īstenošanu.</w:t>
      </w:r>
    </w:p>
    <w:p>
      <w:pPr>
        <w:spacing w:after="120"/>
        <w:jc w:val="both"/>
        <w:rPr>
          <w:rFonts w:ascii="Times New Roman" w:eastAsiaTheme="minorEastAsia" w:hAnsi="Times New Roman" w:cs="Times New Roman"/>
          <w:noProof/>
          <w:sz w:val="24"/>
          <w:szCs w:val="24"/>
        </w:rPr>
      </w:pPr>
    </w:p>
    <w:p>
      <w:pPr>
        <w:spacing w:after="120"/>
        <w:jc w:val="both"/>
        <w:rPr>
          <w:rFonts w:ascii="Times New Roman" w:eastAsiaTheme="minorEastAsia" w:hAnsi="Times New Roman" w:cs="Times New Roman"/>
          <w:noProof/>
          <w:sz w:val="24"/>
          <w:szCs w:val="24"/>
        </w:rPr>
      </w:pPr>
    </w:p>
    <w:p>
      <w:pPr>
        <w:spacing w:after="120"/>
        <w:jc w:val="both"/>
        <w:rPr>
          <w:rFonts w:ascii="Times New Roman" w:eastAsiaTheme="minorEastAsia"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5783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Padomes Regula (EK) Nr. 1466/97 (1997. gada 7. jūlijs) par budžeta stāvokļa uzraudzības un ekonomikas politikas uzraudzības un koordinācijas stiprināšanu (OV L 209, 2.8.1997., 1. lpp.).</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Padomes ieteikumi un citi būtiskas novirzes procedūras dokumenti ir pieejami tīmekļa vietnē: https://ec.europa.eu/info/business-economy-euro/economic-and-fiscal-policy-coordination/eu-economic-governance-monitoring-prevention-correction/stability-and-growth-pact/preventive-arm/significant-deviation-procedure_en#romania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028"/>
    <w:multiLevelType w:val="hybridMultilevel"/>
    <w:tmpl w:val="0D1E81F6"/>
    <w:lvl w:ilvl="0" w:tplc="1F58FA7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8861967-C24F-480B-8380-2E8B0BCA85C5"/>
    <w:docVar w:name="LW_COVERPAGE_TYPE" w:val="1"/>
    <w:docVar w:name="LW_CROSSREFERENCE" w:val="&lt;UNUSED&gt;"/>
    <w:docVar w:name="LW_DocType" w:val="NORMAL"/>
    <w:docVar w:name="LW_EMISSION" w:val="20.11.2019"/>
    <w:docVar w:name="LW_EMISSION_ISODATE" w:val="2019-11-20"/>
    <w:docVar w:name="LW_EMISSION_LOCATION" w:val="BRX"/>
    <w:docVar w:name="LW_EMISSION_PREFIX" w:val="Briselē, "/>
    <w:docVar w:name="LW_EMISSION_SUFFIX" w:val="."/>
    <w:docVar w:name="LW_ID_DOCTYPE_NONLW" w:val="CP-00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9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Komisijas zi\u326?ojums Padomei saska\u326?\u257? ar Regulas (EK) Nr. 1466/97 11. panta 4. punktu par pastiprin\u257?tas uzraudz\u299?bas misiju Rum\u257?nij\u257? 2019. gada 25. septembr\u299?_x000b_"/>
    <w:docVar w:name="LW_TYPE.DOC.CP" w:val="KOMISIJAS ZI\u325?OJUMS PADOMEI"/>
  </w:docVar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D180-0F9C-45F0-BF8F-374DF957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1114</Words>
  <Characters>7209</Characters>
  <Application>Microsoft Office Word</Application>
  <DocSecurity>0</DocSecurity>
  <Lines>107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2019-10-01T14:17:00Z</cp:lastPrinted>
  <dcterms:created xsi:type="dcterms:W3CDTF">2019-11-18T14:07:00Z</dcterms:created>
  <dcterms:modified xsi:type="dcterms:W3CDTF">2019-11-22T11:31:00Z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CP-004</vt:lpwstr>
  </property>
</Properties>
</file>