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C2544333-6EC7-409A-81B7-B429017A3D4E" style="width:450.35pt;height:320.6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1.</w:t>
      </w:r>
      <w:r>
        <w:rPr>
          <w:rFonts w:ascii="Times New Roman" w:hAnsi="Times New Roman"/>
          <w:b/>
          <w:noProof/>
        </w:rPr>
        <w:tab/>
        <w:t>ÚVOD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Komise podává každé tři roky</w:t>
      </w:r>
      <w:r>
        <w:rPr>
          <w:rFonts w:ascii="Times New Roman" w:hAnsi="Times New Roman" w:cs="Times New Roman"/>
          <w:noProof/>
          <w:vertAlign w:val="superscript"/>
        </w:rPr>
        <w:footnoteReference w:id="2"/>
      </w:r>
      <w:r>
        <w:rPr>
          <w:rFonts w:ascii="Times New Roman" w:hAnsi="Times New Roman"/>
          <w:noProof/>
        </w:rPr>
        <w:t xml:space="preserve"> Evropskému parlamentu a Radě zprávu o fungování kontrolních mechanismů pro tradiční vlastní zdroje (TVZ)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 xml:space="preserve">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Od roku 2016 do roku 2018 byla poskytnuta částka v (čisté) výši více než 60 miliard EUR, přičemž roční průměr činil více než 20 miliard EUR. Ve srovnání s obdobím 2013–2015 to představuje nárůst o 20 %.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Základem pro kontroly TVZ jsou rozhodnutí Rady 2014/335/EU, Euratom ze dne 26. května 2014</w:t>
      </w:r>
      <w:r>
        <w:rPr>
          <w:rFonts w:ascii="Times New Roman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>, nařízení Rady (EU, Euratom) č. 608/2014 ze dne 26. května 2014</w:t>
      </w:r>
      <w:r>
        <w:rPr>
          <w:rFonts w:ascii="Times New Roman" w:hAnsi="Times New Roman" w:cs="Times New Roman"/>
          <w:noProof/>
          <w:vertAlign w:val="superscript"/>
        </w:rPr>
        <w:footnoteReference w:id="5"/>
      </w:r>
      <w:r>
        <w:rPr>
          <w:rFonts w:ascii="Times New Roman" w:hAnsi="Times New Roman"/>
          <w:noProof/>
        </w:rPr>
        <w:t xml:space="preserve"> a nařízení Rady (EU, Euratom) č. 609/2014 ze dne 26. května 2014</w:t>
      </w:r>
      <w:r>
        <w:rPr>
          <w:rFonts w:ascii="Times New Roman" w:hAnsi="Times New Roman" w:cs="Times New Roman"/>
          <w:noProof/>
          <w:vertAlign w:val="superscript"/>
        </w:rPr>
        <w:footnoteReference w:id="6"/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Tento dokument popisuje a analyzuje fungování systému kontroly TVZ v období let 2016 až 2018</w:t>
      </w:r>
      <w:r>
        <w:rPr>
          <w:rFonts w:ascii="Times New Roman" w:hAnsi="Times New Roman" w:cs="Times New Roman"/>
          <w:noProof/>
          <w:vertAlign w:val="superscript"/>
        </w:rPr>
        <w:footnoteReference w:id="7"/>
      </w:r>
      <w:r>
        <w:rPr>
          <w:rFonts w:ascii="Times New Roman" w:hAnsi="Times New Roman"/>
          <w:noProof/>
        </w:rPr>
        <w:t>. Podává informace o kontrolách tradičních vlastních zdrojů provedených Evropskou Komisí v tomto období a zabývá se i jinými činnostmi prováděnými za účelem ochrany finančních zájmů EU: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kontrolami na místě provedenými Komisí v členských státech a opatřeními v návaznosti na tyto kontroly,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opatřeními v návaznosti na dopisy o předběžných závěrech Evropského účetního dvora,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posouzením nároků, jejichž vybrání je nemožné a které byly odepsány (WOMIS),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postupem v případě chyb členských států, které vedou ke ztrátě tradičních vlastních zdrojů,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správou databáze týkající se podvodů a nesrovnalostí (OWNRES),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druhým pilotním projektem týkajícím se auditů účtů A a B prováděných členskými státy,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pomocí kandidátským zemím.</w:t>
      </w: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</w:t>
      </w:r>
      <w:r>
        <w:rPr>
          <w:rFonts w:ascii="Times New Roman" w:hAnsi="Times New Roman"/>
          <w:b/>
          <w:noProof/>
        </w:rPr>
        <w:tab/>
        <w:t>RÁMEC A METODIKA KONTROL TVZ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2.1.</w:t>
      </w:r>
      <w:r>
        <w:rPr>
          <w:rFonts w:ascii="Times New Roman" w:hAnsi="Times New Roman"/>
          <w:b/>
          <w:noProof/>
        </w:rPr>
        <w:tab/>
        <w:t xml:space="preserve">Regulační a operační rámec TVZ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Zákon přenáší výběr TVZ na členské státy. Ty mají povinnost poskytnout vybraná cla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noProof/>
        </w:rPr>
        <w:t xml:space="preserve"> rozpočtu EU, přičemž si jako náklady na výběr mohou nezávisle na skutečně vzniklých nákladech ponechat paušálně 20 % ze všech částek TVZ poskytovaných Komisi</w:t>
      </w:r>
      <w:r>
        <w:rPr>
          <w:rFonts w:ascii="Times New Roman" w:hAnsi="Times New Roman" w:cs="Times New Roman"/>
          <w:noProof/>
          <w:vertAlign w:val="superscript"/>
        </w:rPr>
        <w:footnoteReference w:id="9"/>
      </w:r>
      <w:r>
        <w:rPr>
          <w:rFonts w:ascii="Times New Roman" w:hAnsi="Times New Roman"/>
          <w:noProof/>
        </w:rPr>
        <w:t>. Členské státy jsou povinny samy provádět kontroly a podávat zprávy Komisi.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Komise si však v této oblasti ponechává významné kontrolní pravomoci. V této souvislosti jsou kontroly na místě důležitými nástroji pro dohled nad systémem výběru TVZ prostřednictvím provádění několika druhů kontrol</w:t>
      </w:r>
      <w:r>
        <w:rPr>
          <w:rStyle w:val="FootnoteReference"/>
          <w:rFonts w:ascii="Times New Roman" w:hAnsi="Times New Roman" w:cs="Times New Roman"/>
          <w:noProof/>
        </w:rPr>
        <w:footnoteReference w:id="10"/>
      </w:r>
      <w:r>
        <w:rPr>
          <w:rFonts w:ascii="Times New Roman" w:hAnsi="Times New Roman"/>
          <w:noProof/>
        </w:rPr>
        <w:t xml:space="preserve"> předpisů a dokumentů členských států.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Komise musí rovněž reagovat na připomínky Účetního dvora obsažené v jeho výroční zprávě, zvláštních zprávách nebo dopisech o předběžných zjištěních a na připomínky a doporučení Evropského parlamentu při udělování absolutoria za plnění rozpočtu. Komise zajišťuje, aby členské státy správně uplatňovaly pravidla EU, a podává zprávy rozpočtovému orgánu.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Kontrolní činnosti Komise mají tyto tři hlavní cíle: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Zachovat rovné podmínky mezi členskými státy a hospodářskými subjekty bez ohledu na to, kde v Evropské unii bylo zboží procleno, s cílem zabránit narušení hospodářské soutěže.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Zlepšit výběr TVZ. Komise se musí ujistit, že členské státy plní své povinnosti související s výběrem a poskytováním TVZ. Komise kontroluje opatření přijatá členskými státy týkající se výběru TOR, včetně včasného oznámení celního dluhu a postupů prosazování, které jsou považovány za nezbytné.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Informovat rozpočtový orgán. Na základě výsledků kontrol může Komise posoudit efektivnost a péči, s níž se členské státy věnují výběru a poskytování TVZ, přijímat opatření nezbytná k nápravě případných nedostatků a v neposlední řadě podávat zprávy rozpočtovému orgánu.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Kontroly dále přispívají k zajištění účinného fungování celní unie a k jednotnému uplatňování pravidel EU, aby se zabránilo mezerám, které mohou podvodníci využívat nebo s jejich pomocí obcházet cla, která mají být zaplacena.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Od 1. května 2016 jsou použitelné nové právní předpisy týkající se cel a od 1. ledna 2014 se se zpětnou účinností použije nový legislativní rámec pro vlastní zdroje na období 2014–2020. Neustálý vývoj směrem k usnadnění a zjednodušení obchodu navíc komplikuje kontroly TVZ prováděné Komisí a členskými státy.</w:t>
      </w: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2.2.</w:t>
      </w:r>
      <w:r>
        <w:rPr>
          <w:rFonts w:ascii="Times New Roman" w:hAnsi="Times New Roman"/>
          <w:b/>
          <w:noProof/>
        </w:rPr>
        <w:tab/>
        <w:t>Cíle a metodika kontrol TVZ na místě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Hlavním cílem kontrol tradičních vlastních zdrojů je ujistit se o tom, že postupy zavedené v členských státech jsou v souladu s příslušnými právními předpisy EU a že finanční zájmy EU jsou řádně a shodně chráněny při každém proclení zboží. Kontroly se každý rok zaměřují na různá témata v oblasti cel a účetnictví. Konečným důsledkem je harmonizace a zlepšení postupů zavedených v členských státech s cílem účinně a efektivně chránit finanční zájmy EU jednotným způsobem.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Kontroly na místě prováděné Komisí se řídí přesnou metodikou a plánují se v rámci ročního programu kontrol, který je založen na analýze rizik a vymezuje několik tematických oblastí, jež mají být v jednom nebo více členských státech kontrolovány.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Veškeré kontroly se provádějí standardizovanými postupy a používají se při nich auditní nástroje připravené na míru s cílem zajistit, že se tyto kontroly provádějí a zprávy vypracovávají jednotným způsobem.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Kromě toho byl v roce 2014 a v roce 2016 zahájen pilotní audit týkající se správy účtů A a B, který členské státy provádějí samy. I když výsledky byly obecně pozitivní, útvary Komise </w:t>
      </w:r>
      <w:r>
        <w:rPr>
          <w:rFonts w:ascii="New times roman" w:hAnsi="New times roman"/>
          <w:noProof/>
        </w:rPr>
        <w:t>se rozhodly tuto společnou práci ukončit, neboť nedošlo k očekávaným synergiím a účinnostem.</w:t>
      </w:r>
    </w:p>
    <w:p>
      <w:pPr>
        <w:spacing w:before="240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</w:t>
      </w:r>
      <w:r>
        <w:rPr>
          <w:rFonts w:ascii="Times New Roman" w:hAnsi="Times New Roman"/>
          <w:b/>
          <w:noProof/>
        </w:rPr>
        <w:tab/>
        <w:t>KONTROLY PROVEDENÉ KOMISÍ V OBDOBÍ 2016–2018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období 2016–2018 provedla Komise </w:t>
      </w:r>
      <w:r>
        <w:rPr>
          <w:rFonts w:ascii="Times New Roman" w:hAnsi="Times New Roman"/>
          <w:b/>
          <w:noProof/>
        </w:rPr>
        <w:t>68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</w:rPr>
        <w:t>kontrol</w:t>
      </w:r>
      <w:r>
        <w:rPr>
          <w:rFonts w:ascii="Times New Roman" w:hAnsi="Times New Roman"/>
          <w:noProof/>
        </w:rPr>
        <w:t>, které vedly k 233 zjištěním podle článku 2 nařízení č. 608/2014. Ve čtyřech případech byl uplatněn přístup společného auditu</w:t>
      </w:r>
      <w:r>
        <w:rPr>
          <w:rFonts w:ascii="Times New Roman" w:hAnsi="Times New Roman" w:cs="Times New Roman"/>
          <w:noProof/>
          <w:vertAlign w:val="superscript"/>
        </w:rPr>
        <w:footnoteReference w:id="11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 celkového počtu 233 zjištění se dosud ve 134 případech jednalo o zjištění s přímými finančními důsledky (57,5 %) a v 60 případech o zjištění se správními důsledky (25,8 %).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Během kontrol se hodnotí účetní a celní záležitosti.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3.1.</w:t>
      </w:r>
      <w:r>
        <w:rPr>
          <w:rFonts w:ascii="Times New Roman" w:hAnsi="Times New Roman"/>
          <w:b/>
          <w:noProof/>
        </w:rPr>
        <w:tab/>
        <w:t>Kontroly v oblasti účetnictví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Společně s hlavní tematickou oblastí, jejímž předmětem jsou cla, se ve všech členských státech kontroluje </w:t>
      </w:r>
      <w:r>
        <w:rPr>
          <w:rFonts w:ascii="Times New Roman" w:hAnsi="Times New Roman"/>
          <w:b/>
          <w:noProof/>
        </w:rPr>
        <w:t>správa účtu A a účtu B</w:t>
      </w:r>
      <w:r>
        <w:rPr>
          <w:rFonts w:ascii="Times New Roman" w:hAnsi="Times New Roman" w:cs="Times New Roman"/>
          <w:noProof/>
          <w:vertAlign w:val="superscript"/>
        </w:rPr>
        <w:footnoteReference w:id="12"/>
      </w:r>
      <w:r>
        <w:rPr>
          <w:rFonts w:ascii="Times New Roman" w:hAnsi="Times New Roman"/>
          <w:noProof/>
        </w:rPr>
        <w:t>. Kontroly provedené v této tematické oblasti v období 2016–2018 potvrdily, že většina chyb je jednorázového charakteru a systematické chyby se vyskytují jen výjimečně. Členské státy přijaly finanční důsledky zaznamenaných zjištění.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Celková situace se zlepšila díky tomu, že Komise toto téma v rámci kontrol zohlednila, a také proto, že ve většině členských států se používají elektronické účetní systémy, které snižují riziko chyb souvisejících s manuálním zásahem. Členské státy však musí dále zvýšit své úsilí o zajištění pečlivé správy účtu B a oprav účtu A a poskytnout všechny zákonem stanovené informace s cílem zajistit jasnost a transparentnost výkazů.</w:t>
      </w:r>
    </w:p>
    <w:p>
      <w:pPr>
        <w:ind w:right="-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5 členských státech byla také provedena řada kontrol </w:t>
      </w:r>
      <w:r>
        <w:rPr>
          <w:rFonts w:ascii="Times New Roman" w:hAnsi="Times New Roman"/>
          <w:b/>
          <w:noProof/>
        </w:rPr>
        <w:t>spolehlivosti účtu A a B a souvisejících výkazů</w:t>
      </w:r>
      <w:r>
        <w:rPr>
          <w:rFonts w:ascii="Times New Roman" w:hAnsi="Times New Roman"/>
          <w:noProof/>
        </w:rPr>
        <w:t xml:space="preserve">. Obecným závěrem přitom bylo, že zavedené postupy tvorby těchto výkazů jsou v souladu s předpisy EU a zajišťují ochranu finančních zájmů EU. Zjištění sdělená v souvislosti s těmito kontrolami se týkají některých nesrovnalostí mezi těmito dvěma účty a opožděných odúčtování z účtu B s omezeným finančním dopadem. </w:t>
      </w:r>
    </w:p>
    <w:p>
      <w:pPr>
        <w:ind w:right="-4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3.2.</w:t>
      </w:r>
      <w:r>
        <w:rPr>
          <w:rFonts w:ascii="Times New Roman" w:hAnsi="Times New Roman"/>
          <w:b/>
          <w:noProof/>
        </w:rPr>
        <w:tab/>
        <w:t>Celní záležitosti 2016–2018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Během tohoto tříletého období byly kontroly zaměřené na: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2016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správu pozastavení cel a celních kvót,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správu preferenčních sazebních opatření,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spolehlivost účtů A a B,</w:t>
      </w:r>
    </w:p>
    <w:p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kontrolní strategii v oblasti celní hodnoty (pilotní projekt).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2017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správu pozastavení cel a celních kvót,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režim vnějšího tranzitu EU a postupy TIR,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kontrolní strategii velkých obchodních jednotek.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2018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>kontrolní strategii v oblasti celní hodnoty,</w:t>
      </w:r>
    </w:p>
    <w:p>
      <w:pPr>
        <w:spacing w:after="12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ab/>
        <w:t xml:space="preserve">kontrolní strategii dovozu solárních panelů.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 kontroly jsou vybírána témata týkající se cel s nejvyšším rizikem pro finanční zájmy Unie.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 této souvislosti bylo zjištěno, že podhodnocování zboží představuje významné riziko pro finance členských států a pro rozpočet EU, což vede k významným ztrátám tradičních vlastních zdrojů a DPH, které členské státy nevybírají, jak ukázaly kontroly tradičních vlastních zdrojů a nedávná vyšetřování úřadu OLAF</w:t>
      </w:r>
      <w:r>
        <w:rPr>
          <w:rFonts w:ascii="Times New Roman" w:hAnsi="Times New Roman" w:cs="Times New Roman"/>
          <w:noProof/>
          <w:vertAlign w:val="superscript"/>
        </w:rPr>
        <w:footnoteReference w:id="13"/>
      </w:r>
      <w:r>
        <w:rPr>
          <w:rFonts w:ascii="Times New Roman" w:hAnsi="Times New Roman"/>
          <w:noProof/>
        </w:rPr>
        <w:t xml:space="preserve">. EU ve skutečnosti čelila závažnému případu celního podvodu, jehož důsledky byly pociťovány v celé EU. Mezinárodní organizované zločinecké skupiny vyhledávaly přístavy v EU s nejslabší kontrolou a pokoušely se v nich uspět s celními prohlášeními, do kterých záměrně uváděli nepravdivě nízké hodnoty textilu a obuvi dovážených z Číny.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Přestože mnoho členských států začalo provádět cílená opatření ke snížení tohoto druhu podvodů, objem tohoto obchodu se ve Spojeném království v důsledku nedostatku celních kontrol dále zvyšoval. Téměř 80 % unijního dovozu textilu a obuvi z Číny , u něhož existuje podezření podvodného podhodnocení, směřovalo do roku 2016 do Spojeného království. Kontroly tradičních vlastních zdrojů potvrdily, že Spojené království do října 2017 neprovedlo účinná opatření k řešení tohoto podvodu a odmítlo poskytnout částky tradičních vlastních zdrojů, o něž rozpočet EU v důsledku jeho nečinnosti přišel, přičemž tyto částky se v období 2011–2017 odhadují na 2,1 miliardy EUR (v čistém vyjádření). V březnu 2018 proto Komise zahájila řízení proti Spojenému království o nesplnění povinnosti a v březnu 2019 podala žalobu u Evropského soudního dvora.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 letech 2016 a 2017 byla </w:t>
      </w:r>
      <w:r>
        <w:rPr>
          <w:rFonts w:ascii="Times New Roman" w:hAnsi="Times New Roman"/>
          <w:b/>
          <w:noProof/>
        </w:rPr>
        <w:t>správa pozastavení cel a celních kvót</w:t>
      </w:r>
      <w:r>
        <w:rPr>
          <w:rFonts w:ascii="Times New Roman" w:hAnsi="Times New Roman"/>
          <w:noProof/>
        </w:rPr>
        <w:t xml:space="preserve"> kontrolována v 11 členských státech.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Bylo zjištěno, že většina členských států dodržuje právní předpisy EU, což zajišťuje odpovídající ochranu finančních zájmů EU. Přesto byly zjištěny nedostatky ve správě celních kvót, v provádění kontrol a v poskytování částek TVZ v případě částečného přidělení nebo odepření kvóty. Komise vyzvala dotčené členské státy, aby situaci z regulačního hlediska rychle napravily a aby zaplatily výši ztrát tradičních vlastních zdrojů, k nimž došlo v důsledku administrativních chyb.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2016 byla navíc ve dvou členských státech provedena kontrola</w:t>
      </w:r>
      <w:r>
        <w:rPr>
          <w:rFonts w:ascii="Times New Roman" w:hAnsi="Times New Roman"/>
          <w:b/>
          <w:noProof/>
        </w:rPr>
        <w:t xml:space="preserve"> správy preferenčních sazebních opatření</w:t>
      </w:r>
      <w:r>
        <w:rPr>
          <w:rFonts w:ascii="Times New Roman" w:hAnsi="Times New Roman"/>
          <w:noProof/>
        </w:rPr>
        <w:t xml:space="preserve"> zaměřená na postupy a podmínky poskytování preferenčního zacházení, sledování neúplných prohlášení a chybějících dokladů o původu, na kontroly a analýzu rizik a na následné žádosti o ověření původu. I když je vzhledem k celkové situaci v členských státech zajištěna odpovídající ochrana finančních zájmů EU, v některých případech se vyžadovaly další informace týkající se vnitrostátních opatření, která mají být provedena za účelem zajištění správného uplatňování postupů.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 roce 2017 byl v 18 členských státech přezkoumán </w:t>
      </w:r>
      <w:r>
        <w:rPr>
          <w:rFonts w:ascii="Times New Roman" w:hAnsi="Times New Roman"/>
          <w:b/>
          <w:noProof/>
        </w:rPr>
        <w:t>režim vnějšího tranzitu EU</w:t>
      </w:r>
      <w:r>
        <w:rPr>
          <w:rFonts w:ascii="Times New Roman" w:hAnsi="Times New Roman"/>
          <w:noProof/>
        </w:rPr>
        <w:t xml:space="preserve"> s cílem získat jistotu, že postupy týkající se zajištění, pověření a kontroly tranzitní přepravy a sledování všech nevyřízených tranzitů jsou v souladu s příslušnými předpisy a že tradiční vlastní zdroje jsou řádně spočítané, stanovené a zaúčtované. Zjištění kontrol se týkala především regulačních otázek, v jejichž souvislosti byly členské státy vyzvány, aby bezodkladně přijaly opatření.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 roce 2018 byla v devíti členských státech provedena kontrola </w:t>
      </w:r>
      <w:r>
        <w:rPr>
          <w:rFonts w:ascii="Times New Roman" w:hAnsi="Times New Roman"/>
          <w:b/>
          <w:noProof/>
        </w:rPr>
        <w:t>kontrolní strategie solárních panelů</w:t>
      </w:r>
      <w:r>
        <w:rPr>
          <w:rFonts w:ascii="Times New Roman" w:hAnsi="Times New Roman"/>
          <w:noProof/>
        </w:rPr>
        <w:t>. Obecným cílem kontroly kontrolní strategie solárních panelů bylo posoudit, zda jsou systémy a postupy zavedené v členských státech efektivní a účinné, pokud jde o předcházení úniku antidumpingových a vyrovnávacích cel</w:t>
      </w:r>
      <w:r>
        <w:rPr>
          <w:rStyle w:val="FootnoteReference"/>
          <w:rFonts w:ascii="Times New Roman" w:hAnsi="Times New Roman" w:cs="Times New Roman"/>
          <w:noProof/>
        </w:rPr>
        <w:footnoteReference w:id="14"/>
      </w:r>
      <w:r>
        <w:rPr>
          <w:rFonts w:ascii="Times New Roman" w:hAnsi="Times New Roman"/>
          <w:noProof/>
        </w:rPr>
        <w:t xml:space="preserve"> na solární panely.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Kontroly odhalily, že několik členských států nesprávně interpretovalo právní ustanovení nařízení o antidumpingových a vyrovnávacích clech na solární panely, pokud jde o pojem </w:t>
      </w:r>
      <w:r>
        <w:rPr>
          <w:rFonts w:ascii="Times New Roman" w:hAnsi="Times New Roman"/>
          <w:i/>
          <w:noProof/>
        </w:rPr>
        <w:t>odeslané z</w:t>
      </w:r>
      <w:r>
        <w:rPr>
          <w:rFonts w:ascii="Times New Roman" w:hAnsi="Times New Roman"/>
          <w:noProof/>
        </w:rPr>
        <w:t xml:space="preserve"> a prvky definující původ zboží, čímž uměle omezily rozsah působnosti těchto nařízení, jejichž cílem je chránit výrobní odvětví EU. Tato chyba měla pro dotčené členské státy finanční důsledky.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 roce 2018 byla druhým tématem posuzovaným ve 13 členských státech </w:t>
      </w:r>
      <w:r>
        <w:rPr>
          <w:rFonts w:ascii="Times New Roman" w:hAnsi="Times New Roman"/>
          <w:b/>
          <w:noProof/>
        </w:rPr>
        <w:t>kontrolní strategie v oblasti celní hodnoty</w:t>
      </w:r>
      <w:r>
        <w:rPr>
          <w:rFonts w:ascii="Times New Roman" w:hAnsi="Times New Roman"/>
          <w:noProof/>
        </w:rPr>
        <w:t xml:space="preserve">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Součástí kontrol bylo posouzení kontrolní strategie týkající se celní hodnoty zavedené v členských státech, aby bylo možno řešit riziko dovozu podhodnoceného zboží, zejména textilu a obuvi dovážených z Číny, a zajistilo se, že deklarovaná hodnota je správná.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Kontroly odhalily závažné nedostatky při provádění řádných rizikových profilů (např. na základě poměru hodnoty/váhy pro všechny obchodníky a veškeré rizikové zboží) s cílem účinně se zaměřit na podhodnocený dovoz před propuštěním do volného oběhu. Ačkoli úřad OLAF a Společné výzkumné středisko Komise (JRC) vypracovaly </w:t>
      </w:r>
      <w:r>
        <w:rPr>
          <w:rFonts w:ascii="Times New Roman" w:hAnsi="Times New Roman"/>
          <w:i/>
          <w:noProof/>
        </w:rPr>
        <w:t>čisté průměrné ceny</w:t>
      </w:r>
      <w:r>
        <w:rPr>
          <w:rFonts w:ascii="Times New Roman" w:hAnsi="Times New Roman"/>
          <w:noProof/>
        </w:rPr>
        <w:t>, tj. referenční hodnoty, které umožňují zaměřit se na možné podhodnocené zásilky textilu a obuvi z Číny</w:t>
      </w:r>
      <w:r>
        <w:rPr>
          <w:rStyle w:val="FootnoteReference"/>
          <w:rFonts w:ascii="Times New Roman" w:hAnsi="Times New Roman" w:cs="Times New Roman"/>
          <w:noProof/>
        </w:rPr>
        <w:footnoteReference w:id="15"/>
      </w:r>
      <w:r>
        <w:rPr>
          <w:rFonts w:ascii="Times New Roman" w:hAnsi="Times New Roman"/>
          <w:noProof/>
        </w:rPr>
        <w:t>, několik členských států je v praxi nevyužívalo. Nejednotný přístup při vytváření rizikových profilů bránil členským státům zaměřit se na kontrolu zboží, jež je potenciálně podhodnoceno, a vedl k přesměrování dovozních toků do členských států, které jsou v boji proti podhodnocování považovány za méně účinné.</w:t>
      </w:r>
      <w:r>
        <w:rPr>
          <w:rFonts w:ascii="Times New Roman" w:hAnsi="Times New Roman"/>
          <w:noProof/>
          <w:highlight w:val="yellow"/>
        </w:rPr>
        <w:t xml:space="preserve">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Výsledky kontrol potvrdily, že pro sledování a ochranu finančních zájmů Unie je potřebný jedinečný „celní štít“. Po kontrolách a zjištěních týkajících se tohoto tématu kontroly se v členských státech zlepšila analýza rizik a kontroly zboží.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Jedním z obecných závěrů, které Komise vyvodila z kontrol v členských státech v posledních letech, je skutečnost, že jejich kontrolní strategie se stále více přesouvají od celních kontrol v okamžiku propuštění zboží na celní kontroly po propuštění zboží. Celní kontroly před propuštěním zboží nebo v okamžiku jeho propuštění jsou však i nadále nezbytné pro řešení problému podhodnocování a odhalování nových typů nebo modelů podvodů či nesrovnalostí.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</w:t>
      </w:r>
      <w:r>
        <w:rPr>
          <w:rFonts w:ascii="Times New Roman" w:hAnsi="Times New Roman"/>
          <w:b/>
          <w:noProof/>
        </w:rPr>
        <w:tab/>
        <w:t>OPATŘENÍ PŘIJATÁ V NÁVAZNOSTI NA KONTROLY PROVEDENÉ KOMISÍ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4.1.</w:t>
      </w:r>
      <w:r>
        <w:rPr>
          <w:rFonts w:ascii="Times New Roman" w:hAnsi="Times New Roman"/>
          <w:b/>
          <w:noProof/>
        </w:rPr>
        <w:tab/>
        <w:t>Regulační aspekty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Členské státy se vyzývají, aby v případě, kdy jsou v průběhu kontrol zjištěny nedostatky nebo mezery ve vnitrostátních právních či správních předpisech, přijaly opatření za účelem jejich uvedení do souladu s požadavky EU. Tyto změny, které jsou považovány za nezbytné k harmonizaci stanovení výše tradičních vlastních zdrojů a jejich výběru mezi všemi 28 členskými státy, jsou velkým úspěchem kontrol Komise. Příslušná zjištění navíc představují významný zdroj informací o problémech, s nimiž se členské státy při uplatňování celních předpisů potýkají, a o jejich dopadu na TVZ.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4.2.</w:t>
      </w:r>
      <w:r>
        <w:rPr>
          <w:rFonts w:ascii="Times New Roman" w:hAnsi="Times New Roman"/>
          <w:b/>
          <w:noProof/>
        </w:rPr>
        <w:tab/>
        <w:t>Výsledky sporů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Výklad právních předpisů a postupů zavedených v některých členských státech není vždy v souladu s požadavky Komise. Pokud tedy nelze nalézt smírné řešení, je jedinou možností zahájit řízení o nesplnění povinnosti (článek 258 Smlouvy o fungování Evropské unie).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 období 2016–2018 bylo zahájeno nebo uzavřeno osm řízení o nesplnění povinnosti (podrobnosti viz příloha). Nejvýznamnějším z nich je případ řízení, které bylo zahájeno vůči Spojenému království v souvislosti s podhodnocováním textilu a obuvi, v jehož důsledku došlo k obrovské ztrátě vlastních zdrojů, které Spojené království odmítlo poskytnout.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4.3.</w:t>
      </w:r>
      <w:r>
        <w:rPr>
          <w:rFonts w:ascii="Times New Roman" w:hAnsi="Times New Roman"/>
          <w:b/>
          <w:noProof/>
        </w:rPr>
        <w:tab/>
        <w:t>Finanční hlediska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období 2016–2018 byly Komisi na základě připomínek uvedených ve zprávách o kontrolách a při dalších kontrolních činnostech a v důsledku opatření přijatých v návaznosti na zjištění Účetního dvora a rozhodnutí Soudního dvora v řízeních o nesplnění povinnosti ve věcech TVZ uhrazeny dodatečné nároky v celkové výši přesahující </w:t>
      </w:r>
      <w:r>
        <w:rPr>
          <w:rFonts w:ascii="Times New Roman" w:hAnsi="Times New Roman"/>
          <w:b/>
          <w:noProof/>
        </w:rPr>
        <w:t>105 milionů EUR</w:t>
      </w:r>
      <w:r>
        <w:rPr>
          <w:rFonts w:ascii="Times New Roman" w:hAnsi="Times New Roman"/>
          <w:noProof/>
        </w:rPr>
        <w:t xml:space="preserve"> (+75 % ve srovnání s tříletým obdobím 2013–2015).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Celková částka úroků z prodlení uhrazených členskými státy činila více než </w:t>
      </w:r>
      <w:r>
        <w:rPr>
          <w:rFonts w:ascii="Times New Roman" w:hAnsi="Times New Roman"/>
          <w:b/>
          <w:noProof/>
        </w:rPr>
        <w:t>110 milionů EUR</w:t>
      </w:r>
      <w:r>
        <w:rPr>
          <w:rFonts w:ascii="Times New Roman" w:hAnsi="Times New Roman"/>
          <w:noProof/>
        </w:rPr>
        <w:t>.</w:t>
      </w:r>
    </w:p>
    <w:p>
      <w:pPr>
        <w:spacing w:before="240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</w:t>
      </w:r>
      <w:r>
        <w:rPr>
          <w:rFonts w:ascii="Times New Roman" w:hAnsi="Times New Roman"/>
          <w:b/>
          <w:noProof/>
        </w:rPr>
        <w:tab/>
        <w:t>OPATŘENÍ KE ZLEPŠENÍ VÝBĚRU TRADIČNÍCH VLASTNÍCH ZDROJŮ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Kromě kontrol na místě v členských státech má Komise k dispozici další prostředky, které jí umožňují monitorovat výběr TVZ. 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5.1.</w:t>
      </w:r>
      <w:r>
        <w:rPr>
          <w:rFonts w:ascii="Times New Roman" w:hAnsi="Times New Roman"/>
          <w:b/>
          <w:noProof/>
        </w:rPr>
        <w:tab/>
        <w:t>Přezkum nevymahatelných nároků, které byly odepsány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Členské státy musí přijmout všechna opatření nezbytná k poskytnutí TVZ s výjimkou případů, kdy je výběr zdrojů podle čl. 13 odst. 2 nařízení 609/2014 nemožný: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 důvodu vyšší moci,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 jiných důvodů, které jim nemohou být přičítány, nebo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 důvodu skutečnosti, že je zaúčtování nebo oznámení celního dluhu odloženo, aby nebylo ohroženo trestní vyšetřování mající dopad na finanční zájmy Unie.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 souladu s právními předpisy EU musí členské státy oznamovat Komisi částky TVZ, které nelze získat zpět a jejichž výše přesahuje 100,000 EUR (dále jen „zprávy o odpisech“</w:t>
      </w:r>
      <w:r>
        <w:rPr>
          <w:rFonts w:ascii="Times New Roman" w:hAnsi="Times New Roman" w:cs="Times New Roman"/>
          <w:noProof/>
          <w:vertAlign w:val="superscript"/>
        </w:rPr>
        <w:footnoteReference w:id="16"/>
      </w:r>
      <w:r>
        <w:rPr>
          <w:rFonts w:ascii="Times New Roman" w:hAnsi="Times New Roman"/>
          <w:noProof/>
        </w:rPr>
        <w:t>), za něž podle jejich názoru nejsou odpovědné. Komise následně ke každé zprávě vydává připomínky. V případě částek, které výše uvedené prahové hodnoty nedosahují, Komise standardně vzorek těchto případů posuzuje při kontrolách na místě, jelikož povinnost podat zprávu není stanovena.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Komise vydala pracovní dokument (</w:t>
      </w:r>
      <w:r>
        <w:rPr>
          <w:rFonts w:ascii="Times New Roman" w:hAnsi="Times New Roman"/>
          <w:i/>
          <w:noProof/>
        </w:rPr>
        <w:t>kompendium</w:t>
      </w:r>
      <w:r>
        <w:rPr>
          <w:rFonts w:ascii="Times New Roman" w:hAnsi="Times New Roman"/>
          <w:noProof/>
        </w:rPr>
        <w:t>), jenž má členským státům pomoci posoudit, nakolik nesou za částky TVZ, které nemohou být vybrány, finanční odpovědnost, a jenž obsahuje kritéria, která byla použita při hodnocení zpráv o odpisech. Tento pracovní dokument byl členským státům poprvé předán na schůzi Poradního výboru pro vlastní zdroje (ACOR) dne 6. prosince 2012. Její nejnovější revidované znění ze dne 8. března 2018, v němž byly zohledněny změny právních předpisů EU a příslušná judikatura v oblasti tradičních vlastních zdrojů, bylo předáno všem členským státům v jejich příslušném úředním jazyce dne 1. června 2018.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Členské státy musí pro každý příslušný případ vypracovat strukturovanou zprávu a předat ji Komisi prostřednictvím mnohojazyčné databáze nazvané WOMIS (správní a informační systém pro odpisy). WOMIS, jenž se pravidelně aktualizuje, umožňuje účinnou a bezpečnou správu zpráv členských států.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Příslušné útvary Komise zprávu posoudí a poskytnou členskému státu připomínky v zákonné lhůtě šesti měsíců. Tyto připomínky se týkají odůvodnění, na něž se členský stát může odvolat v případě, že Komisi neposkytl TVZ odpovídající clům, jež nemohou být vybrána.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 období 2016–2018 bylo Komisi předáno 214 zpráv o odpisech, přičemž celková částka, jíž se týkaly, činila 124 633 046,19 EUR. Ve stejném období</w:t>
      </w:r>
      <w:r>
        <w:rPr>
          <w:rFonts w:ascii="Times New Roman" w:hAnsi="Times New Roman" w:cs="Times New Roman"/>
          <w:noProof/>
          <w:vertAlign w:val="superscript"/>
        </w:rPr>
        <w:footnoteReference w:id="17"/>
      </w:r>
      <w:r>
        <w:rPr>
          <w:rFonts w:ascii="Times New Roman" w:hAnsi="Times New Roman"/>
          <w:noProof/>
        </w:rPr>
        <w:t xml:space="preserve"> se Komise v případě 91 zpráv, které se týkaly částky 30 435 940,72 EUR, domnívala, že ztráta tradičních vlastních zdrojů nemohla být přičítána členským státům. Ve 159 případech, které se týkaly částky </w:t>
      </w:r>
      <w:r>
        <w:rPr>
          <w:rFonts w:ascii="Times New Roman" w:hAnsi="Times New Roman"/>
          <w:b/>
          <w:noProof/>
        </w:rPr>
        <w:t>77 289 805,76 EUR</w:t>
      </w:r>
      <w:r>
        <w:rPr>
          <w:rFonts w:ascii="Times New Roman" w:hAnsi="Times New Roman"/>
          <w:noProof/>
        </w:rPr>
        <w:t>, byla Komise názoru, že částky nemohly být vybrány z důvodů, jež lze alespoň částečně přičítat dotčenému členskému státu. Ve 5 případech se podání zprávy Komisi považovalo za nesprávné či předčasné (týkaly se částky 3 253 457,74 EUR).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Aby bylo možné posoudit, zda lze ztrátu TVZ přičíst členskému státu, je zapotřebí provést důkladnou analýzu prvků zprávy. Z důvodu tohoto někdy zdlouhavého postupu bylo v době vypracování této zprávy ještě prověřováno 330 zpráv o odpisech (167 590 097,16 EUR) týkajících se let 2009 až 2019.</w:t>
      </w:r>
    </w:p>
    <w:p>
      <w:pPr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5.2.</w:t>
      </w:r>
      <w:r>
        <w:rPr>
          <w:rFonts w:ascii="Times New Roman" w:hAnsi="Times New Roman"/>
          <w:b/>
          <w:noProof/>
        </w:rPr>
        <w:tab/>
        <w:t>Postup v případě chyb při stanovení nároků, které vedou ke ztrátě TVZ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Komise provedla v návaznosti na správní pochybení, jichž se členské státy v období 2016–2018 dopustily a v jejichž důsledku došlo k poškození finančních zájmů Unie (případy zjištěné během kontrol na místě, vnitrostátní rozhodnutí o vrácení nebo prominutí v důsledku správních pochybení, dobrovolné poskytnutí plateb členskými státy v důsledku administrativních chyb, v jejichž případě přebírají finanční odpovědnost za ztráty TVZ, zamítnuté odepsané částky pod 100 000 EUR, které nelze získat zpět atd.), příslušné kroky. V období 2016–2018 proto členské státy uvolnily </w:t>
      </w:r>
      <w:r>
        <w:rPr>
          <w:rFonts w:ascii="Times New Roman" w:hAnsi="Times New Roman"/>
          <w:b/>
          <w:noProof/>
        </w:rPr>
        <w:t>52,9 milionu EUR</w:t>
      </w:r>
      <w:r>
        <w:rPr>
          <w:rFonts w:ascii="Times New Roman" w:hAnsi="Times New Roman"/>
          <w:noProof/>
        </w:rPr>
        <w:t xml:space="preserve">. Kromě toho bylo </w:t>
      </w:r>
      <w:r>
        <w:rPr>
          <w:rFonts w:ascii="Times New Roman" w:hAnsi="Times New Roman"/>
          <w:b/>
          <w:noProof/>
        </w:rPr>
        <w:t>43,2 milionu EUR</w:t>
      </w:r>
      <w:r>
        <w:rPr>
          <w:rFonts w:ascii="Times New Roman" w:hAnsi="Times New Roman"/>
          <w:noProof/>
        </w:rPr>
        <w:t xml:space="preserve"> uhrazeno jako úroky z prodlení.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5.3.</w:t>
      </w:r>
      <w:r>
        <w:rPr>
          <w:rFonts w:ascii="Times New Roman" w:hAnsi="Times New Roman"/>
          <w:b/>
          <w:noProof/>
        </w:rPr>
        <w:tab/>
        <w:t>Databáze OWNRES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Podle čl. 5 odst. 1 nařízení č. 608/2014 musí členské státy zasílat Komisi informace o podvodech a nesrovnalostech týkajících se nároků přesahujících částku 10 000 EUR. Tyto informace se poskytují prostřednictvím databáze OWNRES, kterou spravuje a vede Komise.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Databáze OWNRES poskytuje Komisi informace nezbytné ke sledování výběru vlastních zdrojů a k přípravě kontrol na místě. K různým analýzám ji využívá také Evropský úřad pro boj proti podvodům (OLAF) a údaje poskytované jejím prostřednictvím se podrobně posuzují ve výroční zprávě Komise Evropskému parlamentu a Radě o ochraně finančních zájmů Evropské unie – boji proti podvodům.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Na začátku roku 2019 obsahovala databáze OWNRES </w:t>
      </w:r>
      <w:r>
        <w:rPr>
          <w:rFonts w:ascii="Times New Roman" w:hAnsi="Times New Roman"/>
          <w:b/>
          <w:noProof/>
        </w:rPr>
        <w:t>106,361</w:t>
      </w:r>
      <w:r>
        <w:rPr>
          <w:rFonts w:ascii="Times New Roman" w:hAnsi="Times New Roman"/>
          <w:noProof/>
        </w:rPr>
        <w:t xml:space="preserve"> případů podvodů nebo nesrovnalostí (buď „otevřených“, nebo „uzavřených“) ve srovnání s </w:t>
      </w:r>
      <w:r>
        <w:rPr>
          <w:rFonts w:ascii="Times New Roman" w:hAnsi="Times New Roman"/>
          <w:b/>
          <w:noProof/>
        </w:rPr>
        <w:t>90,204</w:t>
      </w:r>
      <w:r>
        <w:rPr>
          <w:rFonts w:ascii="Times New Roman" w:hAnsi="Times New Roman"/>
          <w:noProof/>
        </w:rPr>
        <w:t xml:space="preserve"> případy na začátku roku 2016. Jedná se o nárůst o přibližně </w:t>
      </w:r>
      <w:r>
        <w:rPr>
          <w:rFonts w:ascii="Times New Roman" w:hAnsi="Times New Roman"/>
          <w:b/>
          <w:noProof/>
        </w:rPr>
        <w:t>17,91 %</w:t>
      </w:r>
      <w:r>
        <w:rPr>
          <w:rFonts w:ascii="Times New Roman" w:hAnsi="Times New Roman"/>
          <w:noProof/>
        </w:rPr>
        <w:t xml:space="preserve"> nebo o </w:t>
      </w:r>
      <w:r>
        <w:rPr>
          <w:rFonts w:ascii="Times New Roman" w:hAnsi="Times New Roman"/>
          <w:b/>
          <w:noProof/>
        </w:rPr>
        <w:t>16,157</w:t>
      </w:r>
      <w:r>
        <w:rPr>
          <w:rFonts w:ascii="Times New Roman" w:hAnsi="Times New Roman"/>
          <w:noProof/>
        </w:rPr>
        <w:t xml:space="preserve"> nových případů oznámených v tříletém období 2016–2018.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Během zasedání Poradního výboru pro vlastní zdroje (ACOR), které se konalo dne 6. července 2017 v Bruselu, představily útvary Komise aktualizaci aplikace OWNRES a pracovní dokument o tom, jak v této databázi podávat zprávy o výsledcích finančních ozdravných opatření pro vyšetřování úřadu OLAF.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5.4.</w:t>
      </w:r>
      <w:r>
        <w:rPr>
          <w:rFonts w:ascii="Times New Roman" w:hAnsi="Times New Roman"/>
          <w:b/>
          <w:noProof/>
        </w:rPr>
        <w:tab/>
        <w:t>Monitorovací opatření zaměřená na přistupující státy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Komise poskytuje kandidátským zemím technickou pomoc při vytváření správní kapacity a zavádění systémů nezbytných k tomu, aby mohly po přistoupení provést </w:t>
      </w:r>
      <w:r>
        <w:rPr>
          <w:rFonts w:ascii="Times New Roman" w:hAnsi="Times New Roman"/>
          <w:i/>
          <w:noProof/>
        </w:rPr>
        <w:t>acquis</w:t>
      </w:r>
      <w:r>
        <w:rPr>
          <w:rFonts w:ascii="Times New Roman" w:hAnsi="Times New Roman"/>
          <w:noProof/>
        </w:rPr>
        <w:t xml:space="preserve"> v oblasti TVZ. Posuzuje také připravenost kandidátských zemí v tomto ohledu.</w:t>
      </w:r>
    </w:p>
    <w:p>
      <w:pPr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>V této souvislosti uskutečnila Komise v roce 2016 pozorovatelskou misi v rámci jednání o přistoupení Černé Hory. Z dotyčné pozorovací mise vyplynulo, že Černá Hora potřebuje více času na přizpůsobení svých správních postupů a na mobilizaci různých aktérů zapojených do systému vlastních zdrojů.</w:t>
      </w:r>
      <w:r>
        <w:rPr>
          <w:rFonts w:ascii="Times New Roman" w:hAnsi="Times New Roman"/>
          <w:noProof/>
          <w:szCs w:val="20"/>
        </w:rPr>
        <w:t xml:space="preserve"> </w:t>
      </w:r>
    </w:p>
    <w:p>
      <w:pPr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V návaznosti na přístupovou konferenci se Srbskem dne 25. června 2018 byla pro přístupová jednání formálně otevřena kapitola 33 </w:t>
      </w:r>
      <w:r>
        <w:rPr>
          <w:rFonts w:ascii="Times New Roman" w:hAnsi="Times New Roman"/>
          <w:i/>
          <w:iCs/>
          <w:noProof/>
          <w:szCs w:val="20"/>
        </w:rPr>
        <w:t>acquis</w:t>
      </w:r>
      <w:r>
        <w:rPr>
          <w:rFonts w:ascii="Times New Roman" w:hAnsi="Times New Roman"/>
          <w:noProof/>
          <w:szCs w:val="20"/>
        </w:rPr>
        <w:t xml:space="preserve"> (Finanční a rozpočtová ustanovení). Jako první krok byly orgány Srbska požádány, aby vyplnily komplexní dotazník o systému vlastních zdrojů s cílem určit a naplánovat budoucí opatření týkající se informací a technické pomoci v této oblasti. </w:t>
      </w:r>
    </w:p>
    <w:p>
      <w:pPr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6.</w:t>
      </w:r>
      <w:r>
        <w:rPr>
          <w:rFonts w:ascii="Times New Roman" w:hAnsi="Times New Roman"/>
          <w:b/>
          <w:noProof/>
        </w:rPr>
        <w:tab/>
        <w:t>ZÁVĚR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Výsledky zaznamenané od roku 2016 do roku 2018 ukazují, že kontroly TVZ prováděné Komisí a systematická opatření v návaznosti na zjištěné nedostatky i nadále představují nenahraditelný a účinný prostředek ke zlepšení výběru TVZ a k ujištění, že finanční zájmy EU jsou řádně chráněny.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Kontroly nadále zůstávají klíčovým nástrojem pro harmonizaci a posílení souladu s pravidly EU. Jejich finanční dopad je významný, jak dokládá dodatečná čistá částka ve výši </w:t>
      </w:r>
      <w:r>
        <w:rPr>
          <w:rFonts w:ascii="Times New Roman" w:hAnsi="Times New Roman"/>
          <w:b/>
          <w:noProof/>
        </w:rPr>
        <w:t>přibližně 388 milionů EUR</w:t>
      </w:r>
      <w:r>
        <w:rPr>
          <w:rFonts w:ascii="Times New Roman" w:hAnsi="Times New Roman"/>
          <w:noProof/>
        </w:rPr>
        <w:t xml:space="preserve">, která byla </w:t>
      </w:r>
      <w:r>
        <w:rPr>
          <w:rFonts w:ascii="Times New Roman" w:hAnsi="Times New Roman"/>
          <w:b/>
          <w:noProof/>
        </w:rPr>
        <w:t>v období 2016–2018</w:t>
      </w:r>
      <w:r>
        <w:rPr>
          <w:rFonts w:ascii="Times New Roman" w:hAnsi="Times New Roman"/>
          <w:noProof/>
        </w:rPr>
        <w:t xml:space="preserve"> poskytnuta do rozpočtu EU. Dochází tak k významné motivaci členských států poskytovat TVZ rozpočtu EU včas a v plné výši. Kontroly nadto napomáhají zajistit rovné zacházení, pokud jde o uplatňování celních a účetních pravidel, čímž chrání finanční zájmy EU, a představují tak významný mechanismus v boji proti škodlivému narušování hospodářské soutěže a k předcházení takovémuto narušování.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Komise musí v oblasti TVZ čelit řadě výzev. Zejména Brexit představuje pro celní unii závažný problém a již si vyžádal, aby Komise a členské státy vyčlenily značnou část zdrojů na přípravu na různé možné scénáře a přijaly veškerá opatření na ochranu finančních zájmů Unie, pokud jde o příjmy rozpočtu EU.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Vývoj mezinárodního obchodu a trendy, např. elektronické obchodování, představují rovněž hrozby i příležitosti a vyžadují nové nástroje a pokračující úzkou spolupráci mezi Komisí a členskými státy s cílem posílit celní kontroly založené na analýze rizika a zajistit efektivní výběr cel.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 této souvislosti útvary Komise odpovědné za tradiční vlastní zdroje v posledních letech posílily svou spolupráci, aby mohly účinněji čelit výzvám, před nimiž stojí. Budou pokračovat v přijímání iniciativ zaměřených na zlepšení fungování celní unie.</w:t>
      </w:r>
    </w:p>
    <w:p>
      <w:pPr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88" w:right="1440" w:bottom="1701" w:left="1440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1D597" w16cid:durableId="214FFE2E"/>
  <w16cid:commentId w16cid:paraId="0D102838" w16cid:durableId="214F87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3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Ustanovení čl. 6 odst. 3 nařízení č. 608/2014.</w:t>
      </w:r>
    </w:p>
  </w:footnote>
  <w:footnote w:id="3">
    <w:p>
      <w:pPr>
        <w:pStyle w:val="FootnoteTex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  <w:sz w:val="18"/>
          <w:szCs w:val="18"/>
        </w:rPr>
        <w:t xml:space="preserve">Cla na výrobky dovážené ze třetích zemí a dávky z cukru. </w:t>
      </w:r>
    </w:p>
  </w:footnote>
  <w:footnote w:id="4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Úř. věst. L 168, 7.6.2014, s. 105.</w:t>
      </w:r>
    </w:p>
  </w:footnote>
  <w:footnote w:id="5">
    <w:p>
      <w:pPr>
        <w:pStyle w:val="FootnoteText"/>
        <w:ind w:right="-46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Úř. věst. L 168, 7.6.2014, s. 29.</w:t>
      </w:r>
    </w:p>
  </w:footnote>
  <w:footnote w:id="6">
    <w:p>
      <w:pPr>
        <w:pStyle w:val="FootnoteText"/>
        <w:ind w:left="142" w:right="-46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Úř. věst. L 168, 7.6.2014, s. 39, pozměněné nařízením Rady č. 804/2016 ze dne 17. května 2016 (Úř. věst. L 132, 21.5.2016, s. 85).</w:t>
      </w:r>
    </w:p>
  </w:footnote>
  <w:footnote w:id="7">
    <w:p>
      <w:pPr>
        <w:pStyle w:val="FootnoteText"/>
        <w:ind w:left="142" w:right="-4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Zpráva se zaměřuje na kontroly provedené orgány EU (Komisí a Účetním dvorem). Netýká se kontrol provedených členskými státy, protože jejich podrobné výsledky uvádí výroční zpráva vypracovaná podle článku 325 Smlouvy o fungování Evropské unie.</w:t>
      </w:r>
    </w:p>
  </w:footnote>
  <w:footnote w:id="8">
    <w:p>
      <w:pPr>
        <w:pStyle w:val="FootnoteText"/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Tímto pojmem právní předpisy odkazují na platby členských států do rozpočtu EU.</w:t>
      </w:r>
    </w:p>
  </w:footnote>
  <w:footnote w:id="9">
    <w:p>
      <w:pPr>
        <w:pStyle w:val="FootnoteText"/>
        <w:ind w:left="142" w:right="-4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V průběhu let se tento procentní podíl změnil z 10 % v případě částek poskytnutých před 28. únorem 2001 na 25 % v případě částek poskytnutých od 1. března 2001 do 28. února 2014. Pro částky poskytnuté po 1. březnu 2014 činí procentní podíl, který má být použit, 20 %.</w:t>
      </w:r>
    </w:p>
  </w:footnote>
  <w:footnote w:id="1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/>
          <w:b/>
          <w:sz w:val="18"/>
          <w:szCs w:val="18"/>
        </w:rPr>
        <w:t>Kontroly předpisů</w:t>
      </w:r>
      <w:r>
        <w:rPr>
          <w:rFonts w:ascii="Times New Roman" w:hAnsi="Times New Roman"/>
          <w:sz w:val="18"/>
          <w:szCs w:val="18"/>
        </w:rPr>
        <w:t xml:space="preserve">: kontroly ustanovení členských států, která se týkají systému výběru TVZ. </w:t>
      </w:r>
      <w:r>
        <w:rPr>
          <w:rFonts w:ascii="Times New Roman" w:hAnsi="Times New Roman"/>
          <w:b/>
          <w:sz w:val="18"/>
          <w:szCs w:val="18"/>
        </w:rPr>
        <w:t>Kontroly dokumentů</w:t>
      </w:r>
      <w:r>
        <w:rPr>
          <w:rFonts w:ascii="Times New Roman" w:hAnsi="Times New Roman"/>
          <w:sz w:val="18"/>
          <w:szCs w:val="18"/>
        </w:rPr>
        <w:t xml:space="preserve">: analýza účetních výkazů a veškerých druhů účetních dokladů a spisů členských států, včetně zpráv členských států o nárocích, které nemohou být vybrány. </w:t>
      </w:r>
      <w:r>
        <w:rPr>
          <w:rFonts w:ascii="Times New Roman" w:hAnsi="Times New Roman"/>
          <w:b/>
          <w:sz w:val="18"/>
          <w:szCs w:val="18"/>
        </w:rPr>
        <w:t>Kontroly na místě</w:t>
      </w:r>
      <w:r>
        <w:rPr>
          <w:rFonts w:ascii="Times New Roman" w:hAnsi="Times New Roman"/>
          <w:sz w:val="18"/>
          <w:szCs w:val="18"/>
        </w:rPr>
        <w:t>: kontrola souladu vnitrostátních systémů a příslušných podkladových dokumentů s právními předpisy EU z účetního i celního hlediska. Tyto kontroly se provádějí buď společně s dotčeným členským státem, nebo nezávisle na něm.</w:t>
      </w:r>
    </w:p>
  </w:footnote>
  <w:footnote w:id="11">
    <w:p>
      <w:pPr>
        <w:pStyle w:val="FootnoteText"/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Kontroly provedené v Dánsku a Rakousku.</w:t>
      </w:r>
    </w:p>
  </w:footnote>
  <w:footnote w:id="1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Členské státy zaúčtují TVZ na jeden ze dvou účtů: </w:t>
      </w:r>
    </w:p>
    <w:p>
      <w:pPr>
        <w:pStyle w:val="FootnoteText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na</w:t>
      </w:r>
      <w:r>
        <w:rPr>
          <w:rFonts w:ascii="Times New Roman" w:hAnsi="Times New Roman"/>
          <w:b/>
          <w:sz w:val="18"/>
          <w:szCs w:val="18"/>
        </w:rPr>
        <w:t xml:space="preserve"> standardní účet</w:t>
      </w:r>
      <w:r>
        <w:rPr>
          <w:rFonts w:ascii="Times New Roman" w:hAnsi="Times New Roman"/>
          <w:sz w:val="18"/>
          <w:szCs w:val="18"/>
        </w:rPr>
        <w:t xml:space="preserve"> (A) částky vybrané nebo zaručené (tyto částky se odvádějí do rozpočtu EU), </w:t>
      </w:r>
    </w:p>
    <w:p>
      <w:pPr>
        <w:pStyle w:val="FootnoteTex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na </w:t>
      </w:r>
      <w:r>
        <w:rPr>
          <w:rFonts w:ascii="Times New Roman" w:hAnsi="Times New Roman"/>
          <w:b/>
          <w:sz w:val="18"/>
          <w:szCs w:val="18"/>
        </w:rPr>
        <w:t>zvláštní účet</w:t>
      </w:r>
      <w:r>
        <w:rPr>
          <w:rFonts w:ascii="Times New Roman" w:hAnsi="Times New Roman"/>
          <w:sz w:val="18"/>
          <w:szCs w:val="18"/>
        </w:rPr>
        <w:t xml:space="preserve"> (B) částky, které nebyly vybrány, nebo zaručené částky, které byly zpochybněny. TVZ, které odpovídají clům, </w:t>
      </w:r>
      <w:r>
        <w:rPr>
          <w:rFonts w:ascii="Times New Roman" w:hAnsi="Times New Roman"/>
          <w:b/>
          <w:sz w:val="18"/>
          <w:szCs w:val="18"/>
        </w:rPr>
        <w:t>jež nemohou být vybrána</w:t>
      </w:r>
      <w:r>
        <w:rPr>
          <w:rFonts w:ascii="Times New Roman" w:hAnsi="Times New Roman"/>
          <w:sz w:val="18"/>
          <w:szCs w:val="18"/>
        </w:rPr>
        <w:t>, se ze zvláštního účtu po uplynutí stanovené lhůty odeberou. Tyto částky TVZ musí být současně poskytnuty (uhrazeny) Komisi, ledaže nemohou být vybrány z důvodu vyšší moci nebo z jiných důvodů, které nemohou být dotčenému členskému státu přičítány nebo z důvodu odložení zaúčtování nebo oznámení celního dluhu, aby nebylo ohroženo trestní vyšetřování mající dopad na finanční zájmy Unie.</w:t>
      </w:r>
    </w:p>
  </w:footnote>
  <w:footnote w:id="1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</w:rPr>
        <w:t>Viz zprávy úřadu OLAF z roku 2017 a 2018.</w:t>
      </w:r>
    </w:p>
  </w:footnote>
  <w:footnote w:id="14">
    <w:p>
      <w:pPr>
        <w:pStyle w:val="FootnoteText"/>
        <w:rPr>
          <w:rStyle w:val="FootnoteReference"/>
          <w:rFonts w:ascii="Times New Roman" w:hAnsi="Times New Roman" w:cs="Times New Roman"/>
          <w:vertAlign w:val="baseline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  <w:vertAlign w:val="baseline"/>
        </w:rPr>
        <w:t>Antidumpingová cla a vyrovnávací cla</w:t>
      </w:r>
      <w:r>
        <w:rPr>
          <w:rFonts w:ascii="Times New Roman" w:hAnsi="Times New Roman"/>
        </w:rPr>
        <w:t>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  <w:i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Tuto metodiku podporuje rozsudek Evropského soudního dvora (C-291/15).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Zpráva o odpisech:</w:t>
      </w:r>
      <w:r>
        <w:rPr>
          <w:rFonts w:ascii="Times New Roman" w:hAnsi="Times New Roman"/>
          <w:sz w:val="18"/>
          <w:szCs w:val="18"/>
        </w:rPr>
        <w:t xml:space="preserve"> Postup stanovený článkem 13 nařízení č. 609/2014 ke sledování případné finanční odpovědnosti členských států za částky TVZ nad 100 000 EUR, které nemohou být vybrány. V rámci tohoto postupu vydává Komise své stanovisko k tomu, zda TVZ nebylo možné vybrat z důvodů, které nemohou být členským státům přičítány. Účelem posouzení zpráv o odpisech Komisí je vyhodnotit míru úsilí, jež členské státy vynaloží při stanovení a výběru cel, které představují TVZ, od hospodářských subjektů. Prahová hodnota pro podávání zpráv o částkách, které nezle vybrat, byla nařízením Rady č. 609/2014 ode dne 1. října 2016 zvýšena z 50 000 EUR na 100 000 EUR.</w:t>
      </w:r>
    </w:p>
  </w:footnote>
  <w:footnote w:id="17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Tyto údaje zahrnují rovněž zprávy, které byly nakonec vyhodnoceny a které byly původně oznámeny před rokem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78"/>
    <w:multiLevelType w:val="hybridMultilevel"/>
    <w:tmpl w:val="C060B964"/>
    <w:lvl w:ilvl="0" w:tplc="3990D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6669"/>
    <w:multiLevelType w:val="hybridMultilevel"/>
    <w:tmpl w:val="FBEACFF6"/>
    <w:lvl w:ilvl="0" w:tplc="5DF63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47D"/>
    <w:multiLevelType w:val="hybridMultilevel"/>
    <w:tmpl w:val="A5B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D05"/>
    <w:multiLevelType w:val="hybridMultilevel"/>
    <w:tmpl w:val="B1F6B686"/>
    <w:lvl w:ilvl="0" w:tplc="2326F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587"/>
    <w:multiLevelType w:val="hybridMultilevel"/>
    <w:tmpl w:val="2390A00A"/>
    <w:lvl w:ilvl="0" w:tplc="1E40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AE1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5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4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A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A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094648"/>
    <w:multiLevelType w:val="hybridMultilevel"/>
    <w:tmpl w:val="D374B906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0393"/>
    <w:multiLevelType w:val="hybridMultilevel"/>
    <w:tmpl w:val="96C8E932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6625"/>
    <w:multiLevelType w:val="hybridMultilevel"/>
    <w:tmpl w:val="B2A2737C"/>
    <w:lvl w:ilvl="0" w:tplc="F89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2544333-6EC7-409A-81B7-B429017A3D4E"/>
    <w:docVar w:name="LW_COVERPAGE_TYPE" w:val="1"/>
    <w:docVar w:name="LW_CROSSREFERENCE" w:val="&lt;UNUSED&gt;"/>
    <w:docVar w:name="LW_DocType" w:val="NORMAL"/>
    <w:docVar w:name="LW_EMISSION" w:val="26.11.2019"/>
    <w:docVar w:name="LW_EMISSION_ISODATE" w:val="2019-11-26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0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Font=Calibri CE&gt;Devátá zpráva Komise o fungování systému kontroly tradi\u269?ních vlastních zdroj\u367? (2016\u8211?2018) (\u269?l. 6 odst. 3 na\u345?ízení Rady (ES, Euratom) \u269?. 608/2014 ze dne 26. kv\u283?tna 2014&lt;/FMT&gt;&lt;FMT:Font=Calibri&gt;_x000d_&lt;/FMT&gt;_x000b_"/>
    <w:docVar w:name="LW_TYPE.DOC.CP" w:val="ZPRÁVA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4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4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3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d690c6b7-4c04-45e9-b087-0ef47818c70c">11</folder>
    <EC_Collab_Reference xmlns="d690c6b7-4c04-45e9-b087-0ef47818c70c" xsi:nil="true"/>
    <EC_Collab_DocumentLanguage xmlns="d690c6b7-4c04-45e9-b087-0ef47818c70c">EN</EC_Collab_DocumentLanguage>
    <EC_Collab_Status xmlns="d690c6b7-4c04-45e9-b087-0ef47818c70c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807791AEEC4344EB5EA6680E2FBF8F1" ma:contentTypeVersion="2" ma:contentTypeDescription="Create a new document in this library." ma:contentTypeScope="" ma:versionID="9a5fa911cffe6bb000ba192db9c25566">
  <xsd:schema xmlns:xsd="http://www.w3.org/2001/XMLSchema" xmlns:xs="http://www.w3.org/2001/XMLSchema" xmlns:p="http://schemas.microsoft.com/office/2006/metadata/properties" xmlns:ns3="d690c6b7-4c04-45e9-b087-0ef47818c70c" targetNamespace="http://schemas.microsoft.com/office/2006/metadata/properties" ma:root="true" ma:fieldsID="d0717890aa9a800e3b9b59eaf2dc4dbb" ns3:_="">
    <xsd:import namespace="d690c6b7-4c04-45e9-b087-0ef47818c70c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c6b7-4c04-45e9-b087-0ef47818c70c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folder" ma:index="15" ma:displayName="folder" ma:indexed="true" ma:list="{dd82d776-7a3d-4264-9c25-a66506e6fef3}" ma:internalName="fold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4E5-8FBD-43F4-B435-785BF7F67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D1C74-21A8-4A88-964C-BB3437448A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90c6b7-4c04-45e9-b087-0ef47818c7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5E3A0-F67A-4F92-AC19-BB63DDB4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0c6b7-4c04-45e9-b087-0ef47818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C47C7-96DE-4DE8-9670-4DBF33C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3349</Words>
  <Characters>19225</Characters>
  <Application>Microsoft Office Word</Application>
  <DocSecurity>0</DocSecurity>
  <Lines>291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16</cp:revision>
  <cp:lastPrinted>2019-08-09T10:42:00Z</cp:lastPrinted>
  <dcterms:created xsi:type="dcterms:W3CDTF">2019-11-05T07:44:00Z</dcterms:created>
  <dcterms:modified xsi:type="dcterms:W3CDTF">2019-11-15T08:18:00Z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_LW_INVALIDATED_ContentTypeId">
    <vt:lpwstr>0x010100258AA79CEB83498886A3A0868112325000A807791AEEC4344EB5EA6680E2FBF8F1</vt:lpwstr>
  </property>
  <property fmtid="{D5CDD505-2E9C-101B-9397-08002B2CF9AE}" pid="9" name="CPTemplateID">
    <vt:lpwstr>CP-006</vt:lpwstr>
  </property>
</Properties>
</file>