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0F34349-8001-4991-902B-9C96EE6BC1DC" style="width:450.45pt;height:383.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spacing w:after="360"/>
        <w:rPr>
          <w:noProof/>
        </w:rPr>
      </w:pPr>
      <w:bookmarkStart w:id="0" w:name="_GoBack"/>
      <w:bookmarkEnd w:id="0"/>
      <w:r>
        <w:rPr>
          <w:noProof/>
        </w:rPr>
        <w:lastRenderedPageBreak/>
        <w:t>ANEXĂ</w:t>
      </w:r>
    </w:p>
    <w:p>
      <w:pPr>
        <w:jc w:val="center"/>
        <w:rPr>
          <w:b/>
          <w:noProof/>
        </w:rPr>
      </w:pPr>
      <w:r>
        <w:rPr>
          <w:b/>
          <w:noProof/>
        </w:rPr>
        <w:t>PROIECT DE</w:t>
      </w:r>
    </w:p>
    <w:p>
      <w:pPr>
        <w:jc w:val="center"/>
        <w:rPr>
          <w:b/>
          <w:caps/>
          <w:noProof/>
        </w:rPr>
      </w:pPr>
      <w:r>
        <w:rPr>
          <w:b/>
          <w:noProof/>
        </w:rPr>
        <w:t>DECIZIA NR. …/… A COMITETULUI DE ASOCIERE UE-MOLDOVA REUNIT ÎN CONFIGURAȚIA COMERȚ</w:t>
      </w:r>
    </w:p>
    <w:p>
      <w:pPr>
        <w:jc w:val="center"/>
        <w:rPr>
          <w:b/>
          <w:noProof/>
        </w:rPr>
      </w:pPr>
      <w:r>
        <w:rPr>
          <w:b/>
          <w:noProof/>
        </w:rPr>
        <w:t>din … 20...</w:t>
      </w:r>
    </w:p>
    <w:p>
      <w:pPr>
        <w:spacing w:after="360"/>
        <w:jc w:val="center"/>
        <w:rPr>
          <w:b/>
          <w:noProof/>
        </w:rPr>
      </w:pPr>
      <w:r>
        <w:rPr>
          <w:b/>
          <w:noProof/>
        </w:rPr>
        <w:t>de actualizare a anexei XV la acord</w:t>
      </w:r>
    </w:p>
    <w:p>
      <w:pPr>
        <w:rPr>
          <w:rFonts w:eastAsia="Times New Roman"/>
          <w:noProof/>
          <w:szCs w:val="24"/>
        </w:rPr>
      </w:pPr>
      <w:r>
        <w:rPr>
          <w:noProof/>
        </w:rPr>
        <w:t xml:space="preserve">COMITETUL DE ASOCIERE REUNIT ÎN CONFIGURAȚIA COMERȚ, </w:t>
      </w:r>
    </w:p>
    <w:p>
      <w:pPr>
        <w:rPr>
          <w:rFonts w:eastAsia="Times New Roman"/>
          <w:noProof/>
          <w:szCs w:val="24"/>
        </w:rPr>
      </w:pPr>
      <w:r>
        <w:rPr>
          <w:noProof/>
        </w:rPr>
        <w:t>având în vedere Acordul de asociere între Uniunea Europeană și Comunitatea Europeană a Energiei Atomice și statele membre ale acestora, pe de o parte, și Republica Moldova, pe de altă parte semnat la Bruxelles în data de 27 iunie 2014, în special articolul 147 alineatele (4) și (5), articolul 148 alineatul (5) și articolul 438 alineatul (3),</w:t>
      </w:r>
    </w:p>
    <w:p>
      <w:pPr>
        <w:rPr>
          <w:rFonts w:eastAsia="Times New Roman"/>
          <w:noProof/>
          <w:szCs w:val="24"/>
        </w:rPr>
      </w:pPr>
      <w:r>
        <w:rPr>
          <w:noProof/>
        </w:rPr>
        <w:t>întrucât:</w:t>
      </w:r>
    </w:p>
    <w:p>
      <w:pPr>
        <w:pStyle w:val="ManualNumPar1"/>
        <w:rPr>
          <w:noProof/>
        </w:rPr>
      </w:pPr>
      <w:r>
        <w:rPr>
          <w:noProof/>
        </w:rPr>
        <w:t>(1)</w:t>
      </w:r>
      <w:r>
        <w:rPr>
          <w:noProof/>
        </w:rPr>
        <w:tab/>
        <w:t xml:space="preserve">Acordul de asociere dintre Uniunea Europeană și Comunitatea Europeană a Energiei Atomice și statele membre ale acestora, pe de o parte, și Republica Moldova, pe de altă parte (denumit în continuare „acordul”) a intrat în vigoare la 1 iulie 2016. </w:t>
      </w:r>
    </w:p>
    <w:p>
      <w:pPr>
        <w:pStyle w:val="ManualNumPar1"/>
        <w:rPr>
          <w:noProof/>
        </w:rPr>
      </w:pPr>
      <w:r>
        <w:rPr>
          <w:noProof/>
        </w:rPr>
        <w:t>(2)</w:t>
      </w:r>
      <w:r>
        <w:rPr>
          <w:noProof/>
        </w:rPr>
        <w:tab/>
        <w:t xml:space="preserve">În urma consultărilor, în conformitate cu articolul 147 din acord, Republica Moldova și Uniunea Europeană au convenit, pe bază de reciprocitate, să crească volumul de produse care fac obiectul contingentelor tarifare anuale scutite de taxe vamale. </w:t>
      </w:r>
    </w:p>
    <w:p>
      <w:pPr>
        <w:pStyle w:val="ManualNumPar1"/>
        <w:rPr>
          <w:noProof/>
        </w:rPr>
      </w:pPr>
      <w:r>
        <w:rPr>
          <w:noProof/>
        </w:rPr>
        <w:t>(3)</w:t>
      </w:r>
      <w:r>
        <w:rPr>
          <w:noProof/>
        </w:rPr>
        <w:tab/>
        <w:t xml:space="preserve">Uniunea Europeană a acceptat să crească volumul contingentelor tarifare (denumite în continuare „CT”) pentru mărfurile originare din Republica Moldova în cazul strugurilor de masă și al prunelor și să introducă un nou contingent tarifar pentru cireșe. Republica Moldova a acceptat creșterea treptată a volumului contingentelor tarifare pentru mărfurile originare din Uniunea Europeană în cazul următoarelor produse incluse în lista de concesii tarifare (Republica Moldova): carne de porc („CT 1”), carne de pasăre („CT 2”), produse lactate („CT 3”) și zahăr („CT 5”). </w:t>
      </w:r>
    </w:p>
    <w:p>
      <w:pPr>
        <w:pStyle w:val="ManualNumPar1"/>
        <w:rPr>
          <w:noProof/>
        </w:rPr>
      </w:pPr>
      <w:r>
        <w:rPr>
          <w:noProof/>
        </w:rPr>
        <w:t>(4)</w:t>
      </w:r>
      <w:r>
        <w:rPr>
          <w:noProof/>
        </w:rPr>
        <w:tab/>
        <w:t xml:space="preserve">Ca urmare a unei solicitări din partea Republicii Moldova în conformitate cu articolul 148 din prezentul acord, Uniunea Europeană a acceptat să crească volumul pentru declanșarea mecanismului de prevenire a eludării pentru grâu (făină și aglomerate sub formă de pelete), orz (făină și aglomerate sub formă de pelete), porumb (făină și aglomerate sub formă de pelete) și cereale prelucrate. </w:t>
      </w:r>
    </w:p>
    <w:p>
      <w:pPr>
        <w:pStyle w:val="ManualNumPar1"/>
        <w:rPr>
          <w:noProof/>
        </w:rPr>
      </w:pPr>
      <w:r>
        <w:rPr>
          <w:noProof/>
        </w:rPr>
        <w:t>(5)</w:t>
      </w:r>
      <w:r>
        <w:rPr>
          <w:noProof/>
        </w:rPr>
        <w:tab/>
        <w:t>Prin Decizia nr. 3/2014 din 16 decembrie 2014, Consiliul de asociere a delegat Comitetului de asociere reunit în configurația comerț competențele sale de a actualiza sau de a modifica anumite anexe care se referă la comerț.</w:t>
      </w:r>
    </w:p>
    <w:p>
      <w:pPr>
        <w:rPr>
          <w:noProof/>
        </w:rPr>
      </w:pPr>
      <w:r>
        <w:rPr>
          <w:noProof/>
        </w:rPr>
        <w:t>DECIDE:</w:t>
      </w:r>
    </w:p>
    <w:p>
      <w:pPr>
        <w:pStyle w:val="Titrearticle"/>
        <w:rPr>
          <w:noProof/>
        </w:rPr>
      </w:pPr>
      <w:r>
        <w:rPr>
          <w:noProof/>
        </w:rPr>
        <w:t>Articolul 1</w:t>
      </w:r>
    </w:p>
    <w:p>
      <w:pPr>
        <w:pStyle w:val="NumPar1"/>
        <w:numPr>
          <w:ilvl w:val="0"/>
          <w:numId w:val="7"/>
        </w:numPr>
        <w:rPr>
          <w:noProof/>
        </w:rPr>
      </w:pPr>
      <w:r>
        <w:rPr>
          <w:noProof/>
        </w:rPr>
        <w:t xml:space="preserve">Anexa XV-A la acord se înlocuiește cu anexa 1 la prezenta decizie. </w:t>
      </w:r>
    </w:p>
    <w:p>
      <w:pPr>
        <w:pStyle w:val="NumPar1"/>
        <w:rPr>
          <w:noProof/>
        </w:rPr>
      </w:pPr>
      <w:r>
        <w:rPr>
          <w:noProof/>
        </w:rPr>
        <w:t xml:space="preserve">În anexa XV-B, în lista produselor care fac obiectul unui preț de intrare, se elimină rândul cu codul NC 2012 0809 29 00 și descrierea produsului „Cireșe (altele decât vișinele), proaspete”. </w:t>
      </w:r>
    </w:p>
    <w:p>
      <w:pPr>
        <w:pStyle w:val="NumPar1"/>
        <w:rPr>
          <w:noProof/>
        </w:rPr>
      </w:pPr>
      <w:r>
        <w:rPr>
          <w:noProof/>
        </w:rPr>
        <w:t xml:space="preserve">În anexa XV-C, volumele de declanșare pentru următoarele categorii de produse se modifică după cum urmează: </w:t>
      </w:r>
    </w:p>
    <w:p>
      <w:pPr>
        <w:pStyle w:val="Point1letter"/>
        <w:numPr>
          <w:ilvl w:val="3"/>
          <w:numId w:val="8"/>
        </w:numPr>
        <w:rPr>
          <w:noProof/>
        </w:rPr>
      </w:pPr>
      <w:r>
        <w:rPr>
          <w:noProof/>
        </w:rPr>
        <w:t>Pentru categoria de produse 6. Grâu, făină și aglomerate sub formă de pelete, în coloana cu titlul „Volumul de declanșare (în tone)” cuantumul de „75 000” se înlocuiește cu „150 000”;</w:t>
      </w:r>
    </w:p>
    <w:p>
      <w:pPr>
        <w:pStyle w:val="Point1letter"/>
        <w:rPr>
          <w:noProof/>
        </w:rPr>
      </w:pPr>
      <w:r>
        <w:rPr>
          <w:noProof/>
        </w:rPr>
        <w:t>Pentru categoria de produse 7. Orz, făină și aglomerate sub formă de pelete, în coloana cu titlul „Volumul de declanșare (în tone)” cuantumul de „70 000” se înlocuiește cu „100 000”;</w:t>
      </w:r>
    </w:p>
    <w:p>
      <w:pPr>
        <w:pStyle w:val="Point1letter"/>
        <w:rPr>
          <w:noProof/>
        </w:rPr>
      </w:pPr>
      <w:r>
        <w:rPr>
          <w:noProof/>
        </w:rPr>
        <w:t>Pentru categoria de produse 8. Porumb, făină și aglomerate sub formă de pelete, în coloana cu titlul „Volumul de declanșare (în tone)” cuantumul de „130 000” se înlocuiește cu „250 000”; și</w:t>
      </w:r>
    </w:p>
    <w:p>
      <w:pPr>
        <w:pStyle w:val="Point1letter"/>
        <w:rPr>
          <w:noProof/>
        </w:rPr>
      </w:pPr>
      <w:r>
        <w:rPr>
          <w:noProof/>
        </w:rPr>
        <w:t>Pentru categoria de produse 10. Cereale prelucrate, în coloana cu titlul „Volumul de declanșare (în tone)” cuantumul de „2 500” se înlocuiește cu „5 000”.</w:t>
      </w:r>
    </w:p>
    <w:p>
      <w:pPr>
        <w:pStyle w:val="NumPar1"/>
        <w:rPr>
          <w:noProof/>
        </w:rPr>
      </w:pPr>
      <w:r>
        <w:rPr>
          <w:noProof/>
        </w:rPr>
        <w:t xml:space="preserve">În anexa XV-D, Lista de concesii tarifare (Republica Moldova), a patra coloană cu titlul „Categorie” se modifică după cum urmează: </w:t>
      </w:r>
    </w:p>
    <w:p>
      <w:pPr>
        <w:pStyle w:val="Point1letter"/>
        <w:numPr>
          <w:ilvl w:val="3"/>
          <w:numId w:val="6"/>
        </w:numPr>
        <w:rPr>
          <w:noProof/>
        </w:rPr>
      </w:pPr>
      <w:r>
        <w:rPr>
          <w:noProof/>
        </w:rPr>
        <w:t xml:space="preserve">Toate trimiterile la „CT 1 (4 000 t)”se înlocuiesc cu „CT 1 (4 500 t; pentru anul 2021: 5 000 t și începând cu anul 2022: 5 500 t)”; </w:t>
      </w:r>
    </w:p>
    <w:p>
      <w:pPr>
        <w:pStyle w:val="Point1letter"/>
        <w:numPr>
          <w:ilvl w:val="3"/>
          <w:numId w:val="6"/>
        </w:numPr>
        <w:rPr>
          <w:noProof/>
        </w:rPr>
      </w:pPr>
      <w:r>
        <w:rPr>
          <w:noProof/>
        </w:rPr>
        <w:t xml:space="preserve">Toate trimiterile la „CT 2 (4 000 t)”se înlocuiesc cu „CT 2 (5 000 t; pentru anul 2021: 5 500 t și începând cu anul 2022: 6 000 t)”; </w:t>
      </w:r>
    </w:p>
    <w:p>
      <w:pPr>
        <w:pStyle w:val="Point1letter"/>
        <w:numPr>
          <w:ilvl w:val="3"/>
          <w:numId w:val="6"/>
        </w:numPr>
        <w:rPr>
          <w:noProof/>
        </w:rPr>
      </w:pPr>
      <w:r>
        <w:rPr>
          <w:noProof/>
        </w:rPr>
        <w:t xml:space="preserve">Toate trimiterile la „CT 3 (1 000 t)”se înlocuiesc cu „CT 3 (1 500 t și începând cu anul 2021: 2 000 t)”; </w:t>
      </w:r>
    </w:p>
    <w:p>
      <w:pPr>
        <w:pStyle w:val="Point1letter"/>
        <w:numPr>
          <w:ilvl w:val="3"/>
          <w:numId w:val="6"/>
        </w:numPr>
        <w:rPr>
          <w:rFonts w:eastAsia="Times New Roman"/>
          <w:noProof/>
          <w:szCs w:val="24"/>
        </w:rPr>
      </w:pPr>
      <w:r>
        <w:rPr>
          <w:noProof/>
        </w:rPr>
        <w:t>Toate trimiterile la „CT 5 (5 400 t)”se înlocuiesc cu „CT 5 (7 000 t; pentru anul 2021: 8 000 t și începând cu anul 2022: 9 000 t)”.</w:t>
      </w:r>
    </w:p>
    <w:p>
      <w:pPr>
        <w:pStyle w:val="Titrearticle"/>
        <w:rPr>
          <w:rFonts w:eastAsia="Times New Roman"/>
          <w:i w:val="0"/>
          <w:noProof/>
          <w:szCs w:val="24"/>
        </w:rPr>
      </w:pPr>
      <w:r>
        <w:rPr>
          <w:noProof/>
        </w:rPr>
        <w:t>Articolul 2</w:t>
      </w:r>
    </w:p>
    <w:p>
      <w:pPr>
        <w:spacing w:after="360"/>
        <w:rPr>
          <w:rFonts w:eastAsia="Times New Roman"/>
          <w:noProof/>
          <w:szCs w:val="24"/>
        </w:rPr>
      </w:pPr>
      <w:r>
        <w:rPr>
          <w:noProof/>
        </w:rPr>
        <w:t>Prezenta decizie intră în vigoare la data adoptării.</w:t>
      </w:r>
    </w:p>
    <w:p>
      <w:pPr>
        <w:rPr>
          <w:rFonts w:eastAsia="Times New Roman"/>
          <w:noProof/>
          <w:szCs w:val="24"/>
        </w:rPr>
      </w:pPr>
      <w:r>
        <w:rPr>
          <w:noProof/>
        </w:rPr>
        <w:t xml:space="preserve">Adoptată la …, … </w:t>
      </w:r>
    </w:p>
    <w:tbl>
      <w:tblPr>
        <w:tblW w:w="0" w:type="auto"/>
        <w:tblLook w:val="04A0" w:firstRow="1" w:lastRow="0" w:firstColumn="1" w:lastColumn="0" w:noHBand="0" w:noVBand="1"/>
      </w:tblPr>
      <w:tblGrid>
        <w:gridCol w:w="4643"/>
        <w:gridCol w:w="4644"/>
      </w:tblGrid>
      <w:tr>
        <w:tc>
          <w:tcPr>
            <w:tcW w:w="4643" w:type="dxa"/>
            <w:shd w:val="clear" w:color="auto" w:fill="auto"/>
          </w:tcPr>
          <w:p>
            <w:pPr>
              <w:ind w:left="2160" w:firstLine="720"/>
              <w:jc w:val="center"/>
              <w:rPr>
                <w:rFonts w:eastAsia="Times New Roman"/>
                <w:noProof/>
                <w:szCs w:val="24"/>
              </w:rPr>
            </w:pPr>
          </w:p>
        </w:tc>
        <w:tc>
          <w:tcPr>
            <w:tcW w:w="4644" w:type="dxa"/>
            <w:shd w:val="clear" w:color="auto" w:fill="auto"/>
          </w:tcPr>
          <w:p>
            <w:pPr>
              <w:rPr>
                <w:i/>
                <w:noProof/>
              </w:rPr>
            </w:pPr>
            <w:r>
              <w:rPr>
                <w:i/>
                <w:noProof/>
              </w:rPr>
              <w:t xml:space="preserve">Pentru Comitetul de asociere în configurația comerț </w:t>
            </w:r>
          </w:p>
        </w:tc>
      </w:tr>
      <w:tr>
        <w:tc>
          <w:tcPr>
            <w:tcW w:w="4643" w:type="dxa"/>
            <w:shd w:val="clear" w:color="auto" w:fill="auto"/>
          </w:tcPr>
          <w:p>
            <w:pPr>
              <w:rPr>
                <w:rFonts w:eastAsia="Times New Roman"/>
                <w:noProof/>
                <w:szCs w:val="24"/>
              </w:rPr>
            </w:pPr>
          </w:p>
        </w:tc>
        <w:tc>
          <w:tcPr>
            <w:tcW w:w="4644" w:type="dxa"/>
            <w:shd w:val="clear" w:color="auto" w:fill="auto"/>
          </w:tcPr>
          <w:p>
            <w:pPr>
              <w:rPr>
                <w:rFonts w:eastAsia="Times New Roman"/>
                <w:i/>
                <w:noProof/>
                <w:szCs w:val="24"/>
              </w:rPr>
            </w:pPr>
            <w:r>
              <w:rPr>
                <w:i/>
                <w:noProof/>
              </w:rPr>
              <w:t>Președinte</w:t>
            </w:r>
          </w:p>
        </w:tc>
      </w:tr>
    </w:tbl>
    <w:p>
      <w:pPr>
        <w:jc w:val="left"/>
        <w:rPr>
          <w:i/>
          <w:noProof/>
        </w:rPr>
        <w:sectPr>
          <w:footerReference w:type="default" r:id="rId15"/>
          <w:footerReference w:type="first" r:id="rId16"/>
          <w:pgSz w:w="11907" w:h="16839"/>
          <w:pgMar w:top="1134" w:right="1418" w:bottom="1134" w:left="1418" w:header="720" w:footer="720" w:gutter="0"/>
          <w:cols w:space="720"/>
          <w:docGrid w:linePitch="326"/>
        </w:sectPr>
      </w:pPr>
    </w:p>
    <w:p>
      <w:pPr>
        <w:spacing w:after="360"/>
        <w:jc w:val="right"/>
        <w:rPr>
          <w:rFonts w:eastAsia="Times New Roman"/>
          <w:b/>
          <w:noProof/>
          <w:szCs w:val="24"/>
          <w:u w:val="single"/>
        </w:rPr>
      </w:pPr>
      <w:r>
        <w:rPr>
          <w:b/>
          <w:noProof/>
          <w:u w:val="single"/>
        </w:rPr>
        <w:t>Anexa 1</w:t>
      </w:r>
    </w:p>
    <w:p>
      <w:pPr>
        <w:spacing w:after="360"/>
        <w:jc w:val="center"/>
        <w:rPr>
          <w:b/>
          <w:caps/>
          <w:noProof/>
        </w:rPr>
      </w:pPr>
      <w:r>
        <w:rPr>
          <w:b/>
          <w:caps/>
          <w:noProof/>
        </w:rPr>
        <w:t xml:space="preserve">ACTUALIZARE a anexei XV-A la Acordul de asociere </w:t>
      </w:r>
    </w:p>
    <w:p>
      <w:pPr>
        <w:rPr>
          <w:rFonts w:eastAsia="Times New Roman"/>
          <w:noProof/>
          <w:szCs w:val="24"/>
        </w:rPr>
      </w:pPr>
      <w:r>
        <w:rPr>
          <w:noProof/>
        </w:rPr>
        <w:t xml:space="preserve">Textul anexei XV-A se înlocuiește cu următorul text: </w:t>
      </w:r>
    </w:p>
    <w:p>
      <w:pPr>
        <w:spacing w:after="360"/>
        <w:jc w:val="center"/>
        <w:rPr>
          <w:b/>
          <w:caps/>
          <w:strike/>
          <w:noProof/>
          <w:szCs w:val="24"/>
        </w:rPr>
      </w:pPr>
      <w:r>
        <w:rPr>
          <w:b/>
          <w:caps/>
          <w:noProof/>
        </w:rPr>
        <w:t>Anexa XV-A</w:t>
      </w:r>
    </w:p>
    <w:p>
      <w:pPr>
        <w:spacing w:after="360"/>
        <w:jc w:val="center"/>
        <w:rPr>
          <w:b/>
          <w:caps/>
          <w:noProof/>
          <w:szCs w:val="24"/>
        </w:rPr>
      </w:pPr>
      <w:r>
        <w:rPr>
          <w:b/>
          <w:caps/>
          <w:noProof/>
        </w:rPr>
        <w:t>Produse supuse scutirii anuale de taxe pentru contingentele tarifare (Uniunea)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4111"/>
        <w:gridCol w:w="1276"/>
        <w:gridCol w:w="1417"/>
      </w:tblGrid>
      <w:tr>
        <w:trPr>
          <w:tblHeader/>
        </w:trPr>
        <w:tc>
          <w:tcPr>
            <w:tcW w:w="959" w:type="dxa"/>
          </w:tcPr>
          <w:p>
            <w:pPr>
              <w:spacing w:before="40" w:after="40"/>
              <w:jc w:val="center"/>
              <w:rPr>
                <w:b/>
                <w:noProof/>
                <w:szCs w:val="24"/>
              </w:rPr>
            </w:pPr>
            <w:r>
              <w:rPr>
                <w:b/>
                <w:noProof/>
              </w:rPr>
              <w:t>Nr. de ordine</w:t>
            </w:r>
          </w:p>
        </w:tc>
        <w:tc>
          <w:tcPr>
            <w:tcW w:w="1417" w:type="dxa"/>
          </w:tcPr>
          <w:p>
            <w:pPr>
              <w:spacing w:before="40" w:after="40"/>
              <w:jc w:val="center"/>
              <w:rPr>
                <w:b/>
                <w:noProof/>
                <w:szCs w:val="24"/>
              </w:rPr>
            </w:pPr>
            <w:r>
              <w:rPr>
                <w:b/>
                <w:noProof/>
              </w:rPr>
              <w:t>Cod NC</w:t>
            </w:r>
          </w:p>
          <w:p>
            <w:pPr>
              <w:spacing w:before="40" w:after="40"/>
              <w:jc w:val="center"/>
              <w:rPr>
                <w:b/>
                <w:noProof/>
                <w:szCs w:val="24"/>
              </w:rPr>
            </w:pPr>
            <w:r>
              <w:rPr>
                <w:b/>
                <w:noProof/>
              </w:rPr>
              <w:t>2012</w:t>
            </w:r>
          </w:p>
        </w:tc>
        <w:tc>
          <w:tcPr>
            <w:tcW w:w="4111" w:type="dxa"/>
          </w:tcPr>
          <w:p>
            <w:pPr>
              <w:spacing w:before="40" w:after="40"/>
              <w:jc w:val="center"/>
              <w:rPr>
                <w:b/>
                <w:noProof/>
                <w:szCs w:val="24"/>
              </w:rPr>
            </w:pPr>
            <w:r>
              <w:rPr>
                <w:b/>
                <w:noProof/>
              </w:rPr>
              <w:t>Denumirea produsului</w:t>
            </w:r>
          </w:p>
        </w:tc>
        <w:tc>
          <w:tcPr>
            <w:tcW w:w="1276" w:type="dxa"/>
          </w:tcPr>
          <w:p>
            <w:pPr>
              <w:spacing w:before="40" w:after="40"/>
              <w:jc w:val="center"/>
              <w:rPr>
                <w:b/>
                <w:noProof/>
                <w:szCs w:val="24"/>
              </w:rPr>
            </w:pPr>
            <w:r>
              <w:rPr>
                <w:b/>
                <w:noProof/>
              </w:rPr>
              <w:t>Volum (tone)</w:t>
            </w:r>
          </w:p>
        </w:tc>
        <w:tc>
          <w:tcPr>
            <w:tcW w:w="1417" w:type="dxa"/>
          </w:tcPr>
          <w:p>
            <w:pPr>
              <w:spacing w:before="40" w:after="40"/>
              <w:jc w:val="center"/>
              <w:rPr>
                <w:b/>
                <w:noProof/>
                <w:szCs w:val="24"/>
              </w:rPr>
            </w:pPr>
            <w:r>
              <w:rPr>
                <w:b/>
                <w:noProof/>
              </w:rPr>
              <w:t>Nivelul taxei</w:t>
            </w:r>
          </w:p>
        </w:tc>
      </w:tr>
      <w:tr>
        <w:tc>
          <w:tcPr>
            <w:tcW w:w="959" w:type="dxa"/>
          </w:tcPr>
          <w:p>
            <w:pPr>
              <w:spacing w:before="40" w:after="40"/>
              <w:rPr>
                <w:noProof/>
                <w:szCs w:val="24"/>
              </w:rPr>
            </w:pPr>
            <w:r>
              <w:rPr>
                <w:noProof/>
              </w:rPr>
              <w:t>1</w:t>
            </w:r>
          </w:p>
        </w:tc>
        <w:tc>
          <w:tcPr>
            <w:tcW w:w="1417" w:type="dxa"/>
          </w:tcPr>
          <w:p>
            <w:pPr>
              <w:spacing w:before="40" w:after="40"/>
              <w:rPr>
                <w:noProof/>
                <w:szCs w:val="24"/>
              </w:rPr>
            </w:pPr>
            <w:r>
              <w:rPr>
                <w:noProof/>
              </w:rPr>
              <w:t>07020000</w:t>
            </w:r>
          </w:p>
        </w:tc>
        <w:tc>
          <w:tcPr>
            <w:tcW w:w="4111" w:type="dxa"/>
          </w:tcPr>
          <w:p>
            <w:pPr>
              <w:spacing w:before="40" w:after="40"/>
              <w:rPr>
                <w:noProof/>
                <w:szCs w:val="24"/>
              </w:rPr>
            </w:pPr>
            <w:r>
              <w:rPr>
                <w:noProof/>
              </w:rPr>
              <w:t>Tomate, în stare proaspătă sau refrigerată</w:t>
            </w:r>
          </w:p>
        </w:tc>
        <w:tc>
          <w:tcPr>
            <w:tcW w:w="1276" w:type="dxa"/>
          </w:tcPr>
          <w:p>
            <w:pPr>
              <w:spacing w:before="40" w:after="40"/>
              <w:rPr>
                <w:noProof/>
                <w:szCs w:val="24"/>
              </w:rPr>
            </w:pPr>
            <w:r>
              <w:rPr>
                <w:noProof/>
              </w:rPr>
              <w:t>2 000</w:t>
            </w:r>
          </w:p>
        </w:tc>
        <w:tc>
          <w:tcPr>
            <w:tcW w:w="1417" w:type="dxa"/>
          </w:tcPr>
          <w:p>
            <w:pPr>
              <w:spacing w:before="40" w:after="40"/>
              <w:rPr>
                <w:noProof/>
                <w:szCs w:val="24"/>
              </w:rPr>
            </w:pPr>
            <w:r>
              <w:rPr>
                <w:noProof/>
              </w:rPr>
              <w:t>scutire</w:t>
            </w:r>
          </w:p>
        </w:tc>
      </w:tr>
      <w:tr>
        <w:tc>
          <w:tcPr>
            <w:tcW w:w="959" w:type="dxa"/>
          </w:tcPr>
          <w:p>
            <w:pPr>
              <w:spacing w:before="40" w:after="40"/>
              <w:rPr>
                <w:noProof/>
                <w:szCs w:val="24"/>
              </w:rPr>
            </w:pPr>
            <w:r>
              <w:rPr>
                <w:noProof/>
              </w:rPr>
              <w:t>2</w:t>
            </w:r>
          </w:p>
        </w:tc>
        <w:tc>
          <w:tcPr>
            <w:tcW w:w="1417" w:type="dxa"/>
          </w:tcPr>
          <w:p>
            <w:pPr>
              <w:spacing w:before="40" w:after="40"/>
              <w:rPr>
                <w:noProof/>
                <w:szCs w:val="24"/>
              </w:rPr>
            </w:pPr>
            <w:r>
              <w:rPr>
                <w:noProof/>
              </w:rPr>
              <w:t>07032000</w:t>
            </w:r>
          </w:p>
        </w:tc>
        <w:tc>
          <w:tcPr>
            <w:tcW w:w="4111" w:type="dxa"/>
          </w:tcPr>
          <w:p>
            <w:pPr>
              <w:spacing w:before="40" w:after="40"/>
              <w:rPr>
                <w:noProof/>
                <w:szCs w:val="24"/>
              </w:rPr>
            </w:pPr>
            <w:r>
              <w:rPr>
                <w:noProof/>
              </w:rPr>
              <w:t xml:space="preserve">Usturoi, în stare proaspătă sau refrigerată </w:t>
            </w:r>
          </w:p>
        </w:tc>
        <w:tc>
          <w:tcPr>
            <w:tcW w:w="1276" w:type="dxa"/>
          </w:tcPr>
          <w:p>
            <w:pPr>
              <w:spacing w:before="40" w:after="40"/>
              <w:rPr>
                <w:noProof/>
                <w:szCs w:val="24"/>
              </w:rPr>
            </w:pPr>
            <w:r>
              <w:rPr>
                <w:noProof/>
              </w:rPr>
              <w:t>220</w:t>
            </w:r>
          </w:p>
        </w:tc>
        <w:tc>
          <w:tcPr>
            <w:tcW w:w="1417" w:type="dxa"/>
          </w:tcPr>
          <w:p>
            <w:pPr>
              <w:spacing w:before="40" w:after="40"/>
              <w:rPr>
                <w:noProof/>
                <w:szCs w:val="24"/>
              </w:rPr>
            </w:pPr>
            <w:r>
              <w:rPr>
                <w:noProof/>
              </w:rPr>
              <w:t>scutire</w:t>
            </w:r>
          </w:p>
        </w:tc>
      </w:tr>
      <w:tr>
        <w:tc>
          <w:tcPr>
            <w:tcW w:w="959" w:type="dxa"/>
          </w:tcPr>
          <w:p>
            <w:pPr>
              <w:spacing w:before="40" w:after="40"/>
              <w:rPr>
                <w:noProof/>
                <w:szCs w:val="24"/>
              </w:rPr>
            </w:pPr>
            <w:r>
              <w:rPr>
                <w:noProof/>
              </w:rPr>
              <w:t>3</w:t>
            </w:r>
          </w:p>
        </w:tc>
        <w:tc>
          <w:tcPr>
            <w:tcW w:w="1417" w:type="dxa"/>
          </w:tcPr>
          <w:p>
            <w:pPr>
              <w:spacing w:before="40" w:after="40"/>
              <w:rPr>
                <w:noProof/>
                <w:szCs w:val="24"/>
              </w:rPr>
            </w:pPr>
            <w:r>
              <w:rPr>
                <w:noProof/>
              </w:rPr>
              <w:t>08061010</w:t>
            </w:r>
          </w:p>
        </w:tc>
        <w:tc>
          <w:tcPr>
            <w:tcW w:w="4111" w:type="dxa"/>
          </w:tcPr>
          <w:p>
            <w:pPr>
              <w:spacing w:before="40" w:after="40"/>
              <w:rPr>
                <w:noProof/>
                <w:szCs w:val="24"/>
              </w:rPr>
            </w:pPr>
            <w:r>
              <w:rPr>
                <w:noProof/>
              </w:rPr>
              <w:t>Struguri de masă, proaspeți</w:t>
            </w:r>
          </w:p>
        </w:tc>
        <w:tc>
          <w:tcPr>
            <w:tcW w:w="1276" w:type="dxa"/>
          </w:tcPr>
          <w:p>
            <w:pPr>
              <w:spacing w:before="40" w:after="40"/>
              <w:rPr>
                <w:noProof/>
                <w:szCs w:val="24"/>
              </w:rPr>
            </w:pPr>
            <w:r>
              <w:rPr>
                <w:noProof/>
              </w:rPr>
              <w:t>20 000</w:t>
            </w:r>
          </w:p>
        </w:tc>
        <w:tc>
          <w:tcPr>
            <w:tcW w:w="1417" w:type="dxa"/>
          </w:tcPr>
          <w:p>
            <w:pPr>
              <w:spacing w:before="40" w:after="40"/>
              <w:rPr>
                <w:noProof/>
                <w:szCs w:val="24"/>
              </w:rPr>
            </w:pPr>
            <w:r>
              <w:rPr>
                <w:noProof/>
              </w:rPr>
              <w:t>scutire</w:t>
            </w:r>
          </w:p>
        </w:tc>
      </w:tr>
      <w:tr>
        <w:tc>
          <w:tcPr>
            <w:tcW w:w="959" w:type="dxa"/>
          </w:tcPr>
          <w:p>
            <w:pPr>
              <w:spacing w:before="40" w:after="40"/>
              <w:rPr>
                <w:noProof/>
                <w:szCs w:val="24"/>
              </w:rPr>
            </w:pPr>
            <w:r>
              <w:rPr>
                <w:noProof/>
              </w:rPr>
              <w:t>4</w:t>
            </w:r>
          </w:p>
        </w:tc>
        <w:tc>
          <w:tcPr>
            <w:tcW w:w="1417" w:type="dxa"/>
          </w:tcPr>
          <w:p>
            <w:pPr>
              <w:spacing w:before="40" w:after="40"/>
              <w:rPr>
                <w:noProof/>
                <w:szCs w:val="24"/>
              </w:rPr>
            </w:pPr>
            <w:r>
              <w:rPr>
                <w:noProof/>
              </w:rPr>
              <w:t>08081080</w:t>
            </w:r>
          </w:p>
        </w:tc>
        <w:tc>
          <w:tcPr>
            <w:tcW w:w="4111" w:type="dxa"/>
          </w:tcPr>
          <w:p>
            <w:pPr>
              <w:spacing w:before="40" w:after="40"/>
              <w:rPr>
                <w:noProof/>
                <w:szCs w:val="24"/>
              </w:rPr>
            </w:pPr>
            <w:r>
              <w:rPr>
                <w:noProof/>
              </w:rPr>
              <w:t>Mere, proaspete, altele decât mere pentru fabricarea băuturilor fermentate sau nefermentate, prezentate în vrac, de la 16 septembrie la 15 decembrie</w:t>
            </w:r>
          </w:p>
        </w:tc>
        <w:tc>
          <w:tcPr>
            <w:tcW w:w="1276" w:type="dxa"/>
          </w:tcPr>
          <w:p>
            <w:pPr>
              <w:spacing w:before="40" w:after="40"/>
              <w:rPr>
                <w:noProof/>
                <w:szCs w:val="24"/>
              </w:rPr>
            </w:pPr>
            <w:r>
              <w:rPr>
                <w:noProof/>
              </w:rPr>
              <w:t>40 000</w:t>
            </w:r>
          </w:p>
        </w:tc>
        <w:tc>
          <w:tcPr>
            <w:tcW w:w="1417" w:type="dxa"/>
          </w:tcPr>
          <w:p>
            <w:pPr>
              <w:spacing w:before="40" w:after="40"/>
              <w:rPr>
                <w:noProof/>
                <w:szCs w:val="24"/>
              </w:rPr>
            </w:pPr>
            <w:r>
              <w:rPr>
                <w:noProof/>
              </w:rPr>
              <w:t>scutire</w:t>
            </w:r>
          </w:p>
        </w:tc>
      </w:tr>
      <w:tr>
        <w:tc>
          <w:tcPr>
            <w:tcW w:w="959" w:type="dxa"/>
          </w:tcPr>
          <w:p>
            <w:pPr>
              <w:spacing w:before="40" w:after="40"/>
              <w:rPr>
                <w:noProof/>
                <w:szCs w:val="24"/>
              </w:rPr>
            </w:pPr>
            <w:r>
              <w:rPr>
                <w:noProof/>
              </w:rPr>
              <w:t>5</w:t>
            </w:r>
          </w:p>
        </w:tc>
        <w:tc>
          <w:tcPr>
            <w:tcW w:w="1417" w:type="dxa"/>
          </w:tcPr>
          <w:p>
            <w:pPr>
              <w:spacing w:before="40" w:after="40"/>
              <w:rPr>
                <w:noProof/>
                <w:szCs w:val="24"/>
              </w:rPr>
            </w:pPr>
            <w:r>
              <w:rPr>
                <w:noProof/>
              </w:rPr>
              <w:t>08092900</w:t>
            </w:r>
          </w:p>
        </w:tc>
        <w:tc>
          <w:tcPr>
            <w:tcW w:w="4111" w:type="dxa"/>
          </w:tcPr>
          <w:p>
            <w:pPr>
              <w:spacing w:before="40" w:after="40"/>
              <w:rPr>
                <w:noProof/>
                <w:szCs w:val="24"/>
              </w:rPr>
            </w:pPr>
            <w:r>
              <w:rPr>
                <w:noProof/>
              </w:rPr>
              <w:t>Cireșe, altele decât vișinele, proaspete</w:t>
            </w:r>
          </w:p>
        </w:tc>
        <w:tc>
          <w:tcPr>
            <w:tcW w:w="1276" w:type="dxa"/>
          </w:tcPr>
          <w:p>
            <w:pPr>
              <w:spacing w:before="40" w:after="40"/>
              <w:rPr>
                <w:noProof/>
                <w:szCs w:val="24"/>
              </w:rPr>
            </w:pPr>
            <w:r>
              <w:rPr>
                <w:noProof/>
              </w:rPr>
              <w:t>1 500</w:t>
            </w:r>
          </w:p>
        </w:tc>
        <w:tc>
          <w:tcPr>
            <w:tcW w:w="1417" w:type="dxa"/>
          </w:tcPr>
          <w:p>
            <w:pPr>
              <w:spacing w:before="40" w:after="40"/>
              <w:rPr>
                <w:noProof/>
                <w:szCs w:val="24"/>
              </w:rPr>
            </w:pPr>
            <w:r>
              <w:rPr>
                <w:noProof/>
              </w:rPr>
              <w:t>scutire</w:t>
            </w:r>
          </w:p>
        </w:tc>
      </w:tr>
      <w:tr>
        <w:tc>
          <w:tcPr>
            <w:tcW w:w="959" w:type="dxa"/>
          </w:tcPr>
          <w:p>
            <w:pPr>
              <w:spacing w:before="40" w:after="40"/>
              <w:rPr>
                <w:noProof/>
                <w:szCs w:val="24"/>
              </w:rPr>
            </w:pPr>
            <w:r>
              <w:rPr>
                <w:noProof/>
              </w:rPr>
              <w:t>6</w:t>
            </w:r>
          </w:p>
        </w:tc>
        <w:tc>
          <w:tcPr>
            <w:tcW w:w="1417" w:type="dxa"/>
          </w:tcPr>
          <w:p>
            <w:pPr>
              <w:spacing w:before="40" w:after="40"/>
              <w:rPr>
                <w:noProof/>
                <w:szCs w:val="24"/>
              </w:rPr>
            </w:pPr>
            <w:r>
              <w:rPr>
                <w:noProof/>
              </w:rPr>
              <w:t>08094005</w:t>
            </w:r>
          </w:p>
        </w:tc>
        <w:tc>
          <w:tcPr>
            <w:tcW w:w="4111" w:type="dxa"/>
          </w:tcPr>
          <w:p>
            <w:pPr>
              <w:spacing w:before="40" w:after="40"/>
              <w:rPr>
                <w:noProof/>
                <w:szCs w:val="24"/>
              </w:rPr>
            </w:pPr>
            <w:r>
              <w:rPr>
                <w:noProof/>
              </w:rPr>
              <w:t>Prune, proaspete</w:t>
            </w:r>
          </w:p>
        </w:tc>
        <w:tc>
          <w:tcPr>
            <w:tcW w:w="1276" w:type="dxa"/>
          </w:tcPr>
          <w:p>
            <w:pPr>
              <w:spacing w:before="40" w:after="40"/>
              <w:rPr>
                <w:noProof/>
                <w:szCs w:val="24"/>
              </w:rPr>
            </w:pPr>
            <w:r>
              <w:rPr>
                <w:noProof/>
              </w:rPr>
              <w:t>15 000</w:t>
            </w:r>
          </w:p>
        </w:tc>
        <w:tc>
          <w:tcPr>
            <w:tcW w:w="1417" w:type="dxa"/>
          </w:tcPr>
          <w:p>
            <w:pPr>
              <w:spacing w:before="40" w:after="40"/>
              <w:rPr>
                <w:noProof/>
                <w:szCs w:val="24"/>
              </w:rPr>
            </w:pPr>
            <w:r>
              <w:rPr>
                <w:noProof/>
              </w:rPr>
              <w:t>scutire</w:t>
            </w:r>
          </w:p>
        </w:tc>
      </w:tr>
      <w:tr>
        <w:tc>
          <w:tcPr>
            <w:tcW w:w="959" w:type="dxa"/>
          </w:tcPr>
          <w:p>
            <w:pPr>
              <w:spacing w:before="40" w:after="40"/>
              <w:rPr>
                <w:noProof/>
                <w:szCs w:val="24"/>
              </w:rPr>
            </w:pPr>
            <w:r>
              <w:rPr>
                <w:noProof/>
              </w:rPr>
              <w:t>7</w:t>
            </w:r>
          </w:p>
        </w:tc>
        <w:tc>
          <w:tcPr>
            <w:tcW w:w="1417" w:type="dxa"/>
          </w:tcPr>
          <w:p>
            <w:pPr>
              <w:spacing w:before="40" w:after="40"/>
              <w:rPr>
                <w:noProof/>
                <w:szCs w:val="24"/>
              </w:rPr>
            </w:pPr>
            <w:r>
              <w:rPr>
                <w:noProof/>
              </w:rPr>
              <w:t>20096110</w:t>
            </w:r>
          </w:p>
        </w:tc>
        <w:tc>
          <w:tcPr>
            <w:tcW w:w="4111" w:type="dxa"/>
          </w:tcPr>
          <w:p>
            <w:pPr>
              <w:spacing w:before="40" w:after="40"/>
              <w:rPr>
                <w:noProof/>
                <w:szCs w:val="24"/>
              </w:rPr>
            </w:pPr>
            <w:r>
              <w:rPr>
                <w:noProof/>
              </w:rPr>
              <w:t>Suc de struguri, incl. must, nefermentat, cu o valoare Brix de maxim 30 la 20 °C, în valoare de peste 18 euro/100 kg, chiar cu adaos de zahăr sau alți îndulcitori, altul decât cel cu conținut de alcool</w:t>
            </w:r>
          </w:p>
        </w:tc>
        <w:tc>
          <w:tcPr>
            <w:tcW w:w="1276" w:type="dxa"/>
          </w:tcPr>
          <w:p>
            <w:pPr>
              <w:spacing w:before="40" w:after="40"/>
              <w:rPr>
                <w:noProof/>
                <w:szCs w:val="24"/>
              </w:rPr>
            </w:pPr>
            <w:r>
              <w:rPr>
                <w:noProof/>
              </w:rPr>
              <w:t>500</w:t>
            </w:r>
          </w:p>
        </w:tc>
        <w:tc>
          <w:tcPr>
            <w:tcW w:w="1417" w:type="dxa"/>
          </w:tcPr>
          <w:p>
            <w:pPr>
              <w:spacing w:before="40" w:after="40"/>
              <w:rPr>
                <w:noProof/>
                <w:szCs w:val="24"/>
              </w:rPr>
            </w:pPr>
            <w:r>
              <w:rPr>
                <w:noProof/>
              </w:rPr>
              <w:t>scutire</w:t>
            </w:r>
          </w:p>
        </w:tc>
      </w:tr>
    </w:tbl>
    <w:p>
      <w:pPr>
        <w:rPr>
          <w:b/>
          <w:caps/>
          <w:strike/>
          <w:noProof/>
          <w:szCs w:val="24"/>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4111"/>
        <w:gridCol w:w="1276"/>
        <w:gridCol w:w="1417"/>
      </w:tblGrid>
      <w:tr>
        <w:trPr>
          <w:tblHeader/>
        </w:trPr>
        <w:tc>
          <w:tcPr>
            <w:tcW w:w="959" w:type="dxa"/>
          </w:tcPr>
          <w:p>
            <w:pPr>
              <w:spacing w:before="40" w:after="40"/>
              <w:jc w:val="center"/>
              <w:rPr>
                <w:b/>
                <w:noProof/>
                <w:szCs w:val="24"/>
              </w:rPr>
            </w:pPr>
            <w:r>
              <w:rPr>
                <w:b/>
                <w:noProof/>
              </w:rPr>
              <w:t>Nr. de ordine</w:t>
            </w:r>
          </w:p>
        </w:tc>
        <w:tc>
          <w:tcPr>
            <w:tcW w:w="1417" w:type="dxa"/>
          </w:tcPr>
          <w:p>
            <w:pPr>
              <w:spacing w:before="40" w:after="40"/>
              <w:jc w:val="center"/>
              <w:rPr>
                <w:b/>
                <w:noProof/>
                <w:szCs w:val="24"/>
              </w:rPr>
            </w:pPr>
            <w:r>
              <w:rPr>
                <w:b/>
                <w:noProof/>
              </w:rPr>
              <w:t>Cod NC</w:t>
            </w:r>
          </w:p>
          <w:p>
            <w:pPr>
              <w:spacing w:before="40" w:after="40"/>
              <w:jc w:val="center"/>
              <w:rPr>
                <w:b/>
                <w:noProof/>
                <w:szCs w:val="24"/>
              </w:rPr>
            </w:pPr>
            <w:r>
              <w:rPr>
                <w:b/>
                <w:noProof/>
              </w:rPr>
              <w:t>2012</w:t>
            </w:r>
          </w:p>
        </w:tc>
        <w:tc>
          <w:tcPr>
            <w:tcW w:w="4111" w:type="dxa"/>
          </w:tcPr>
          <w:p>
            <w:pPr>
              <w:spacing w:before="40" w:after="40"/>
              <w:jc w:val="center"/>
              <w:rPr>
                <w:b/>
                <w:noProof/>
                <w:szCs w:val="24"/>
              </w:rPr>
            </w:pPr>
            <w:r>
              <w:rPr>
                <w:b/>
                <w:noProof/>
              </w:rPr>
              <w:t>Denumirea produsului</w:t>
            </w:r>
          </w:p>
        </w:tc>
        <w:tc>
          <w:tcPr>
            <w:tcW w:w="1276" w:type="dxa"/>
          </w:tcPr>
          <w:p>
            <w:pPr>
              <w:spacing w:before="40" w:after="40"/>
              <w:jc w:val="center"/>
              <w:rPr>
                <w:b/>
                <w:noProof/>
                <w:szCs w:val="24"/>
              </w:rPr>
            </w:pPr>
            <w:r>
              <w:rPr>
                <w:b/>
                <w:noProof/>
              </w:rPr>
              <w:t>Volum (tone)</w:t>
            </w:r>
          </w:p>
        </w:tc>
        <w:tc>
          <w:tcPr>
            <w:tcW w:w="1417" w:type="dxa"/>
          </w:tcPr>
          <w:p>
            <w:pPr>
              <w:spacing w:before="40" w:after="40"/>
              <w:jc w:val="center"/>
              <w:rPr>
                <w:b/>
                <w:noProof/>
                <w:szCs w:val="24"/>
              </w:rPr>
            </w:pPr>
            <w:r>
              <w:rPr>
                <w:b/>
                <w:noProof/>
              </w:rPr>
              <w:t>Nivelul taxei</w:t>
            </w:r>
          </w:p>
        </w:tc>
      </w:tr>
      <w:tr>
        <w:tc>
          <w:tcPr>
            <w:tcW w:w="959" w:type="dxa"/>
            <w:vMerge w:val="restart"/>
          </w:tcPr>
          <w:p>
            <w:pPr>
              <w:spacing w:before="40" w:after="40"/>
              <w:rPr>
                <w:noProof/>
                <w:szCs w:val="24"/>
              </w:rPr>
            </w:pPr>
          </w:p>
        </w:tc>
        <w:tc>
          <w:tcPr>
            <w:tcW w:w="1417" w:type="dxa"/>
          </w:tcPr>
          <w:p>
            <w:pPr>
              <w:spacing w:before="40" w:after="40"/>
              <w:rPr>
                <w:noProof/>
                <w:szCs w:val="24"/>
              </w:rPr>
            </w:pPr>
            <w:r>
              <w:rPr>
                <w:noProof/>
              </w:rPr>
              <w:t>20096919</w:t>
            </w:r>
          </w:p>
        </w:tc>
        <w:tc>
          <w:tcPr>
            <w:tcW w:w="4111" w:type="dxa"/>
          </w:tcPr>
          <w:p>
            <w:pPr>
              <w:spacing w:before="40" w:after="40"/>
              <w:rPr>
                <w:noProof/>
                <w:szCs w:val="24"/>
              </w:rPr>
            </w:pPr>
            <w:r>
              <w:rPr>
                <w:noProof/>
              </w:rPr>
              <w:t>Suc de struguri, incl. must, nefermentat, cu o valoare Brix de peste 67 la 20 °C, în valoare de peste 22 EUR/100 kg, chiar cu adaos de zahăr sau alți îndulcitori, altul decât cel cu conținut de alcool</w:t>
            </w:r>
          </w:p>
        </w:tc>
        <w:tc>
          <w:tcPr>
            <w:tcW w:w="1276" w:type="dxa"/>
            <w:vMerge w:val="restart"/>
          </w:tcPr>
          <w:p>
            <w:pPr>
              <w:spacing w:before="40" w:after="40"/>
              <w:rPr>
                <w:noProof/>
                <w:szCs w:val="24"/>
              </w:rPr>
            </w:pPr>
          </w:p>
        </w:tc>
        <w:tc>
          <w:tcPr>
            <w:tcW w:w="1417" w:type="dxa"/>
            <w:vMerge w:val="restart"/>
          </w:tcPr>
          <w:p>
            <w:pPr>
              <w:spacing w:before="40" w:after="40"/>
              <w:rPr>
                <w:noProof/>
                <w:szCs w:val="24"/>
              </w:rPr>
            </w:pPr>
          </w:p>
        </w:tc>
      </w:tr>
      <w:tr>
        <w:tc>
          <w:tcPr>
            <w:tcW w:w="959" w:type="dxa"/>
            <w:vMerge/>
          </w:tcPr>
          <w:p>
            <w:pPr>
              <w:spacing w:before="40" w:after="40"/>
              <w:rPr>
                <w:noProof/>
                <w:szCs w:val="24"/>
              </w:rPr>
            </w:pPr>
          </w:p>
        </w:tc>
        <w:tc>
          <w:tcPr>
            <w:tcW w:w="1417" w:type="dxa"/>
          </w:tcPr>
          <w:p>
            <w:pPr>
              <w:spacing w:before="40" w:after="40"/>
              <w:rPr>
                <w:noProof/>
                <w:szCs w:val="24"/>
              </w:rPr>
            </w:pPr>
            <w:r>
              <w:rPr>
                <w:noProof/>
              </w:rPr>
              <w:t>20096951</w:t>
            </w:r>
          </w:p>
        </w:tc>
        <w:tc>
          <w:tcPr>
            <w:tcW w:w="4111" w:type="dxa"/>
          </w:tcPr>
          <w:p>
            <w:pPr>
              <w:spacing w:before="40" w:after="40"/>
              <w:rPr>
                <w:noProof/>
                <w:szCs w:val="24"/>
              </w:rPr>
            </w:pPr>
            <w:r>
              <w:rPr>
                <w:noProof/>
              </w:rPr>
              <w:t>Suc de struguri concentrat, incl. must, nefermentat, cu o valoare Brix de peste 30, dar de maxim 67 la 20 °C, în valoare de peste 18 euro/100 kg, chiar cu adaos de zahăr sau alți îndulcitori, altul decât cel cu conținut de alcool</w:t>
            </w:r>
          </w:p>
        </w:tc>
        <w:tc>
          <w:tcPr>
            <w:tcW w:w="1276" w:type="dxa"/>
            <w:vMerge/>
          </w:tcPr>
          <w:p>
            <w:pPr>
              <w:spacing w:before="40" w:after="40"/>
              <w:rPr>
                <w:noProof/>
                <w:szCs w:val="24"/>
              </w:rPr>
            </w:pPr>
          </w:p>
        </w:tc>
        <w:tc>
          <w:tcPr>
            <w:tcW w:w="1417" w:type="dxa"/>
            <w:vMerge/>
          </w:tcPr>
          <w:p>
            <w:pPr>
              <w:spacing w:before="40" w:after="40"/>
              <w:rPr>
                <w:noProof/>
                <w:szCs w:val="24"/>
              </w:rPr>
            </w:pPr>
          </w:p>
        </w:tc>
      </w:tr>
      <w:tr>
        <w:tc>
          <w:tcPr>
            <w:tcW w:w="959" w:type="dxa"/>
            <w:vMerge/>
          </w:tcPr>
          <w:p>
            <w:pPr>
              <w:spacing w:before="40" w:after="40"/>
              <w:rPr>
                <w:noProof/>
                <w:szCs w:val="24"/>
              </w:rPr>
            </w:pPr>
          </w:p>
        </w:tc>
        <w:tc>
          <w:tcPr>
            <w:tcW w:w="1417" w:type="dxa"/>
          </w:tcPr>
          <w:p>
            <w:pPr>
              <w:spacing w:before="40" w:after="40"/>
              <w:rPr>
                <w:noProof/>
                <w:szCs w:val="24"/>
              </w:rPr>
            </w:pPr>
            <w:r>
              <w:rPr>
                <w:noProof/>
              </w:rPr>
              <w:t>20096959</w:t>
            </w:r>
          </w:p>
        </w:tc>
        <w:tc>
          <w:tcPr>
            <w:tcW w:w="4111" w:type="dxa"/>
          </w:tcPr>
          <w:p>
            <w:pPr>
              <w:spacing w:before="40" w:after="40"/>
              <w:rPr>
                <w:noProof/>
                <w:szCs w:val="24"/>
              </w:rPr>
            </w:pPr>
            <w:r>
              <w:rPr>
                <w:noProof/>
              </w:rPr>
              <w:t>Suc de struguri, incl. must, nefermentat, cu o valoare Brix de peste 30, dar de maxim 67 la 20 °C, în valoare de peste 18 euro/100 kg, chiar cu adaos de zahăr sau alți îndulcitori, altul decât cel concentrat sau cu conținut de alcool</w:t>
            </w:r>
          </w:p>
        </w:tc>
        <w:tc>
          <w:tcPr>
            <w:tcW w:w="1276" w:type="dxa"/>
            <w:vMerge/>
          </w:tcPr>
          <w:p>
            <w:pPr>
              <w:spacing w:before="40" w:after="40"/>
              <w:rPr>
                <w:noProof/>
                <w:szCs w:val="24"/>
              </w:rPr>
            </w:pPr>
          </w:p>
        </w:tc>
        <w:tc>
          <w:tcPr>
            <w:tcW w:w="1417" w:type="dxa"/>
            <w:vMerge/>
          </w:tcPr>
          <w:p>
            <w:pPr>
              <w:spacing w:before="40" w:after="40"/>
              <w:rPr>
                <w:noProof/>
                <w:szCs w:val="24"/>
              </w:rPr>
            </w:pPr>
          </w:p>
        </w:tc>
      </w:tr>
    </w:tbl>
    <w:p>
      <w:pPr>
        <w:spacing w:before="0" w:after="200" w:line="276" w:lineRule="auto"/>
        <w:jc w:val="left"/>
        <w:rPr>
          <w:b/>
          <w:caps/>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9E74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0E2E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72F02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140BB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A47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F441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208D6F4"/>
    <w:lvl w:ilvl="0">
      <w:start w:val="1"/>
      <w:numFmt w:val="decimal"/>
      <w:pStyle w:val="ListNumber"/>
      <w:lvlText w:val="%1."/>
      <w:lvlJc w:val="left"/>
      <w:pPr>
        <w:tabs>
          <w:tab w:val="num" w:pos="360"/>
        </w:tabs>
        <w:ind w:left="360" w:hanging="360"/>
      </w:pPr>
    </w:lvl>
  </w:abstractNum>
  <w:abstractNum w:abstractNumId="7">
    <w:nsid w:val="FFFFFF89"/>
    <w:multiLevelType w:val="singleLevel"/>
    <w:tmpl w:val="CA1E609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5 10:09: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80F34349-8001-4991-902B-9C96EE6BC1DC"/>
    <w:docVar w:name="LW_COVERPAGE_TYPE" w:val="1"/>
    <w:docVar w:name="LW_CROSSREFERENCE" w:val="&lt;UNUSED&gt;"/>
    <w:docVar w:name="LW_DocType" w:val="ANNEX"/>
    <w:docVar w:name="LW_EMISSION" w:val="27.11.2019"/>
    <w:docVar w:name="LW_EMISSION_ISODATE" w:val="2019-11-27"/>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omitetului de asociere reunit în configura\u539?ia comer\u539?"/>
    <w:docVar w:name="LW_OBJETACTEPRINCIPAL.CP" w:val="privind pozi\u539?ia care urmeaz\u259? s\u259? fie adoptat\u259? în numele Uniunii Europene în cadrul Comitetului de asociere reunit în configura\u539?ia comer\u539?"/>
    <w:docVar w:name="LW_PART_NBR" w:val="1"/>
    <w:docVar w:name="LW_PART_NBR_TOTAL" w:val="1"/>
    <w:docVar w:name="LW_REF.INST.NEW" w:val="COM"/>
    <w:docVar w:name="LW_REF.INST.NEW_ADOPTED" w:val="final"/>
    <w:docVar w:name="LW_REF.INST.NEW_TEXT" w:val="(2019) 6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lan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5</Pages>
  <Words>991</Words>
  <Characters>4926</Characters>
  <Application>Microsoft Office Word</Application>
  <DocSecurity>0</DocSecurity>
  <Lines>175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cp:lastPrinted>2019-09-23T15:47:00Z</cp:lastPrinted>
  <dcterms:created xsi:type="dcterms:W3CDTF">2019-11-08T09:01:00Z</dcterms:created>
  <dcterms:modified xsi:type="dcterms:W3CDTF">2019-11-25T09:09:00Z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