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E44C8F6-5798-48FE-ABE1-B431BAD8A79F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after="360"/>
        <w:rPr>
          <w:noProof/>
        </w:rPr>
      </w:pPr>
      <w:bookmarkStart w:id="0" w:name="_GoBack"/>
      <w:bookmarkEnd w:id="0"/>
      <w:r>
        <w:rPr>
          <w:noProof/>
        </w:rPr>
        <w:lastRenderedPageBreak/>
        <w:t>PRIVITAK</w:t>
      </w:r>
    </w:p>
    <w:p>
      <w:pPr>
        <w:jc w:val="center"/>
        <w:rPr>
          <w:b/>
          <w:noProof/>
        </w:rPr>
      </w:pPr>
      <w:r>
        <w:rPr>
          <w:b/>
          <w:noProof/>
        </w:rPr>
        <w:t>NACRT</w:t>
      </w:r>
    </w:p>
    <w:p>
      <w:pPr>
        <w:jc w:val="center"/>
        <w:rPr>
          <w:b/>
          <w:caps/>
          <w:noProof/>
        </w:rPr>
      </w:pPr>
      <w:r>
        <w:rPr>
          <w:b/>
          <w:noProof/>
        </w:rPr>
        <w:t xml:space="preserve">ODLUKA br. …/… ODBORA ZA PRIDRUŽIVANJE EU-MOLDOVA U </w:t>
      </w:r>
      <w:r>
        <w:rPr>
          <w:b/>
          <w:caps/>
          <w:noProof/>
        </w:rPr>
        <w:t>SASTAVU ZADUŽENOM ZA TRGOVINU</w:t>
      </w:r>
    </w:p>
    <w:p>
      <w:pPr>
        <w:jc w:val="center"/>
        <w:rPr>
          <w:b/>
          <w:noProof/>
        </w:rPr>
      </w:pPr>
      <w:r>
        <w:rPr>
          <w:b/>
          <w:noProof/>
        </w:rPr>
        <w:t>od … 20...</w:t>
      </w:r>
    </w:p>
    <w:p>
      <w:pPr>
        <w:spacing w:after="360"/>
        <w:jc w:val="center"/>
        <w:rPr>
          <w:b/>
          <w:noProof/>
        </w:rPr>
      </w:pPr>
      <w:r>
        <w:rPr>
          <w:b/>
          <w:noProof/>
        </w:rPr>
        <w:t>ažuriranje Priloga XV. Sporazumu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ODBOR ZA PRIDRUŽIVANJE U SASTAVU  ZADUŽENOM ZA TRGOVINU,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uzimajući u obzir Sporazum o pridruživanju između Europske unije i Europske zajednice za atomsku energiju i njihovih država članica, s jedne strane, i Republike Moldove, s druge strane, potpisan 27. lipnja 2014. u Bruxellesu, a posebno njegov članak 147. stavke 4. i 5., članak 148. stavak 5. i članak 438. stavak 3.,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budući da:</w:t>
      </w:r>
    </w:p>
    <w:p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Sporazum o pridruživanju između Europske unije i Europske zajednice za atomsku energiju i njihovih država članica, s jedne strane, i Republike Moldove, s druge strane („Sporazum”) stupio je na snagu 1. srpnja 2016. </w:t>
      </w:r>
    </w:p>
    <w:p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Nakon savjetovanja Republika Moldova i Europska unija usuglasile su se, u skladu s člankom 147. Sporazuma, da će na recipročnoj osnovi povećati obujam nekih proizvoda koji podliježu godišnjim carinskim kvotama oslobođenima od carine. </w:t>
      </w:r>
    </w:p>
    <w:p>
      <w:pPr>
        <w:pStyle w:val="ManualNumPar1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Europska unija pristala je povećati obujam carinskih kvota („TRQ”) za proizvode podrijetlom iz Republike Moldove za stolno grožđe i šljive te uvesti novu carinsku kvotu za trešnje. Republika Moldova pristala je postupno povećavati obujam carinskih kvota za proizvode podrijetlom iz Europske unije za sljedeće proizvode s popisa koncesija (Republika Moldova): svinjetinu („TRQ 1”), perad („TRQ 2”), mliječne proizvode („TRQ 3”) i šećer („TRQ 5”). </w:t>
      </w:r>
    </w:p>
    <w:p>
      <w:pPr>
        <w:pStyle w:val="ManualNumPar1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Na zahtjev Republike Moldove u skladu s člankom 148. ovog Sporazuma, Europska unija pristala je povećati granični obujam za pšenicu (brašno i pelete), ječam (brašno i pelete), kukuruz (brašno i pelete) i prerađene žitarice. </w:t>
      </w:r>
    </w:p>
    <w:p>
      <w:pPr>
        <w:pStyle w:val="ManualNumPar1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Vijeće za pridruživanje delegiralo je Odlukom br. 3/2014. od 16. prosinca 2014. svoje ovlasti za ažuriranje ili izmjenu određenih priloga povezanih s trgovinom Odboru za pridruživanje u sastavu zaduženom za trgovinu. </w:t>
      </w:r>
    </w:p>
    <w:p>
      <w:pPr>
        <w:rPr>
          <w:noProof/>
        </w:rPr>
      </w:pPr>
      <w:r>
        <w:rPr>
          <w:noProof/>
        </w:rPr>
        <w:t>ODLUČIO JE:</w:t>
      </w:r>
    </w:p>
    <w:p>
      <w:pPr>
        <w:pStyle w:val="Titrearticle"/>
        <w:rPr>
          <w:noProof/>
        </w:rPr>
      </w:pPr>
      <w:r>
        <w:rPr>
          <w:noProof/>
        </w:rPr>
        <w:t>Članak 1.</w:t>
      </w:r>
    </w:p>
    <w:p>
      <w:pPr>
        <w:pStyle w:val="NumPar1"/>
        <w:numPr>
          <w:ilvl w:val="0"/>
          <w:numId w:val="7"/>
        </w:numPr>
        <w:rPr>
          <w:noProof/>
        </w:rPr>
      </w:pPr>
      <w:r>
        <w:rPr>
          <w:noProof/>
        </w:rPr>
        <w:t xml:space="preserve">Prilog XV.A Sporazumu zamjenjuje se Prilogom 1. ovoj Odluci. </w:t>
      </w:r>
    </w:p>
    <w:p>
      <w:pPr>
        <w:pStyle w:val="NumPar1"/>
        <w:rPr>
          <w:noProof/>
        </w:rPr>
      </w:pPr>
      <w:r>
        <w:rPr>
          <w:noProof/>
        </w:rPr>
        <w:t xml:space="preserve">U Prilogu XV.B s popisa proizvoda koji podliježu ulaznoj cijeni briše se redak s oznakom KN 2012 0809 29 00 i opis proizvoda „Trešnje (osim višanja), svježe”. </w:t>
      </w:r>
    </w:p>
    <w:p>
      <w:pPr>
        <w:pStyle w:val="NumPar1"/>
        <w:rPr>
          <w:noProof/>
        </w:rPr>
      </w:pPr>
      <w:r>
        <w:rPr>
          <w:noProof/>
        </w:rPr>
        <w:t xml:space="preserve">U Prilogu XV.C granični obujam za sljedeće kategorije proizvoda mijenja se kako slijedi: </w:t>
      </w:r>
    </w:p>
    <w:p>
      <w:pPr>
        <w:pStyle w:val="Point1letter"/>
        <w:numPr>
          <w:ilvl w:val="3"/>
          <w:numId w:val="8"/>
        </w:numPr>
        <w:rPr>
          <w:noProof/>
        </w:rPr>
      </w:pPr>
      <w:r>
        <w:rPr>
          <w:noProof/>
        </w:rPr>
        <w:t>za kategoriju proizvoda 6 Pšenica, brašno i pelete, u stupcu s naslovom „Granični obujam (u tonama)”, iznos „75 000” zamjenjuje se iznosom „150 000”;</w:t>
      </w:r>
    </w:p>
    <w:p>
      <w:pPr>
        <w:pStyle w:val="Point1letter"/>
        <w:rPr>
          <w:noProof/>
        </w:rPr>
      </w:pPr>
      <w:r>
        <w:rPr>
          <w:noProof/>
        </w:rPr>
        <w:t>za kategoriju proizvoda 7 Ječam, brašno i pelete, u stupcu s naslovom „Granični obujam (u tonama)”, iznos „70 000” zamjenjuje se iznosom „100 000”;</w:t>
      </w:r>
    </w:p>
    <w:p>
      <w:pPr>
        <w:pStyle w:val="Point1letter"/>
        <w:rPr>
          <w:noProof/>
        </w:rPr>
      </w:pPr>
      <w:r>
        <w:rPr>
          <w:noProof/>
        </w:rPr>
        <w:t>za kategoriju proizvoda 8 Kukuruz, brašno i pelete, u stupcu s naslovom „Granični obujam (u tonama)”, iznos „130 000” zamjenjuje se iznosom „250 000”; i</w:t>
      </w:r>
    </w:p>
    <w:p>
      <w:pPr>
        <w:pStyle w:val="Point1letter"/>
        <w:rPr>
          <w:noProof/>
        </w:rPr>
      </w:pPr>
      <w:r>
        <w:rPr>
          <w:noProof/>
        </w:rPr>
        <w:t>za kategoriju proizvoda 10 Prerađene žitarice, u stupcu s naslovom „Granični obujam (u tonama)”, iznos „2 500” zamjenjuje se iznosom „5 000”.</w:t>
      </w:r>
    </w:p>
    <w:p>
      <w:pPr>
        <w:pStyle w:val="NumPar1"/>
        <w:rPr>
          <w:noProof/>
        </w:rPr>
      </w:pPr>
      <w:r>
        <w:rPr>
          <w:noProof/>
        </w:rPr>
        <w:t xml:space="preserve">U Prilogu XV.D, u popisu koncesija (Republika Moldova), četvrti stupac s naslovom „Kategorija” mijenja se kako slijedi: 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 xml:space="preserve">u svim slučajevima „TRQ 1 (4 000 t)” zamjenjuju se s „TRQ 1 (4 500 t; za 2021.: 5 000 t; i od 2022.: 5 500 t)”; 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 xml:space="preserve">u svim slučajevima „TRQ 2 (4 000 t)” zamjenjuju se s „TRQ 2 (5 000 t; za 2021.: 5 500 t; i od 2022.: 6 000 t)”; 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 xml:space="preserve">u svim slučajevima „TRQ 3 (1 000 t)” zamjenjuju se s „TRQ 3 (1 500 t; i od 2021.: 2 000 t)”; </w:t>
      </w:r>
    </w:p>
    <w:p>
      <w:pPr>
        <w:pStyle w:val="Point1letter"/>
        <w:numPr>
          <w:ilvl w:val="3"/>
          <w:numId w:val="6"/>
        </w:numPr>
        <w:rPr>
          <w:rFonts w:eastAsia="Times New Roman"/>
          <w:noProof/>
          <w:szCs w:val="24"/>
        </w:rPr>
      </w:pPr>
      <w:r>
        <w:rPr>
          <w:noProof/>
        </w:rPr>
        <w:t>u svim slučajevima „TRQ 5 (5 400 t)” zamjenjuju se s „TRQ 5 (7 000 t; za 2021.: 8 000 t; i od 2022.: 9 000 t)”.</w:t>
      </w:r>
    </w:p>
    <w:p>
      <w:pPr>
        <w:pStyle w:val="Titrearticle"/>
        <w:rPr>
          <w:rFonts w:eastAsia="Times New Roman"/>
          <w:i w:val="0"/>
          <w:noProof/>
          <w:szCs w:val="24"/>
        </w:rPr>
      </w:pPr>
      <w:r>
        <w:rPr>
          <w:noProof/>
        </w:rPr>
        <w:t>Članak 2.</w:t>
      </w:r>
    </w:p>
    <w:p>
      <w:pPr>
        <w:spacing w:after="360"/>
        <w:rPr>
          <w:rFonts w:eastAsia="Times New Roman"/>
          <w:noProof/>
          <w:szCs w:val="24"/>
        </w:rPr>
      </w:pPr>
      <w:r>
        <w:rPr>
          <w:noProof/>
        </w:rPr>
        <w:t>Ova Odluka stupa na snagu na dan donošenja.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Sastavljeno u... 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>
        <w:tc>
          <w:tcPr>
            <w:tcW w:w="4643" w:type="dxa"/>
            <w:shd w:val="clear" w:color="auto" w:fill="auto"/>
          </w:tcPr>
          <w:p>
            <w:pPr>
              <w:ind w:left="2160" w:firstLine="720"/>
              <w:jc w:val="center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Za Odbor za pridruživanje u sastavu zaduženom za trgovinu </w:t>
            </w:r>
          </w:p>
        </w:tc>
      </w:tr>
      <w:tr>
        <w:tc>
          <w:tcPr>
            <w:tcW w:w="4643" w:type="dxa"/>
            <w:shd w:val="clear" w:color="auto" w:fill="auto"/>
          </w:tcPr>
          <w:p>
            <w:pPr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Predsjednik</w:t>
            </w:r>
          </w:p>
        </w:tc>
      </w:tr>
    </w:tbl>
    <w:p>
      <w:pPr>
        <w:jc w:val="left"/>
        <w:rPr>
          <w:i/>
          <w:noProof/>
        </w:rPr>
        <w:sectPr>
          <w:footerReference w:type="default" r:id="rId15"/>
          <w:footerReference w:type="first" r:id="rId16"/>
          <w:pgSz w:w="11907" w:h="16839"/>
          <w:pgMar w:top="1134" w:right="1418" w:bottom="1134" w:left="1418" w:header="720" w:footer="720" w:gutter="0"/>
          <w:cols w:space="720"/>
          <w:docGrid w:linePitch="326"/>
        </w:sectPr>
      </w:pPr>
    </w:p>
    <w:p>
      <w:pPr>
        <w:spacing w:after="360"/>
        <w:jc w:val="right"/>
        <w:rPr>
          <w:rFonts w:eastAsia="Times New Roman"/>
          <w:b/>
          <w:noProof/>
          <w:szCs w:val="24"/>
          <w:u w:val="single"/>
        </w:rPr>
      </w:pPr>
      <w:r>
        <w:rPr>
          <w:b/>
          <w:noProof/>
          <w:u w:val="single"/>
        </w:rPr>
        <w:t>Prilog 1.</w:t>
      </w:r>
    </w:p>
    <w:p>
      <w:pPr>
        <w:spacing w:after="360"/>
        <w:jc w:val="center"/>
        <w:rPr>
          <w:b/>
          <w:caps/>
          <w:noProof/>
        </w:rPr>
      </w:pPr>
      <w:r>
        <w:rPr>
          <w:b/>
          <w:caps/>
          <w:noProof/>
        </w:rPr>
        <w:t xml:space="preserve">AŽURIRANJE Priloga XV.A Sporazumu o pridruživanju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Prilog XV.A zamjenjuje se sljedećim: </w:t>
      </w:r>
    </w:p>
    <w:p>
      <w:pPr>
        <w:spacing w:after="360"/>
        <w:jc w:val="center"/>
        <w:rPr>
          <w:b/>
          <w:caps/>
          <w:strike/>
          <w:noProof/>
          <w:szCs w:val="24"/>
        </w:rPr>
      </w:pPr>
      <w:r>
        <w:rPr>
          <w:b/>
          <w:caps/>
          <w:noProof/>
        </w:rPr>
        <w:t>Prilog XV.A</w:t>
      </w:r>
    </w:p>
    <w:p>
      <w:pPr>
        <w:spacing w:after="360"/>
        <w:jc w:val="center"/>
        <w:rPr>
          <w:b/>
          <w:caps/>
          <w:noProof/>
          <w:szCs w:val="24"/>
        </w:rPr>
      </w:pPr>
      <w:r>
        <w:rPr>
          <w:b/>
          <w:caps/>
          <w:noProof/>
        </w:rPr>
        <w:t>PROIZVODI KOJI PODLIJEŽU GODIŠNJIM CARINSKIM KVOTAMA OSLOBOĐENIMA OD CARINE (UNIJA)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111"/>
        <w:gridCol w:w="1276"/>
        <w:gridCol w:w="1417"/>
      </w:tblGrid>
      <w:tr>
        <w:trPr>
          <w:tblHeader/>
        </w:trPr>
        <w:tc>
          <w:tcPr>
            <w:tcW w:w="959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Redni br.</w:t>
            </w:r>
          </w:p>
        </w:tc>
        <w:tc>
          <w:tcPr>
            <w:tcW w:w="1417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Oznaka KN</w:t>
            </w:r>
          </w:p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2012</w:t>
            </w:r>
          </w:p>
        </w:tc>
        <w:tc>
          <w:tcPr>
            <w:tcW w:w="4111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Opis proizvoda</w:t>
            </w:r>
          </w:p>
        </w:tc>
        <w:tc>
          <w:tcPr>
            <w:tcW w:w="1276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Obujam (u tonama)</w:t>
            </w:r>
          </w:p>
        </w:tc>
        <w:tc>
          <w:tcPr>
            <w:tcW w:w="1417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Stopa carine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0702 00 00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 xml:space="preserve">Rajčice, svježe ili rashlađene 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2 000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oslobođeno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0703 20 00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 xml:space="preserve">Češnjak, svjež ili rashlađen 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220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oslobođeno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0806 10 10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Stolno grožđe, svježe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20 000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oslobođeno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0808 10 80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Jabuke, svježe (osim jabuka za preradu, u rasutom stanju, od 16. rujna do 15. prosinca)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40 000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oslobođeno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0809 29 00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Trešnje (osim višanja), svježe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1 500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oslobođeno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0809 40 05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Šljive, svježe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15 000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oslobođeno</w:t>
            </w:r>
          </w:p>
        </w:tc>
      </w:tr>
      <w:tr>
        <w:tc>
          <w:tcPr>
            <w:tcW w:w="959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2009 61 10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Sok od grožđa, uključujući mošt od grožđa, nefermentiran, Brix vrijednosti ne veće od 30 na 20 °C, vrijednosti veće od 18 EUR za 100 kg, s ili bez dodanog šećera ili ostalih sladila (bez alkohola)</w:t>
            </w:r>
          </w:p>
        </w:tc>
        <w:tc>
          <w:tcPr>
            <w:tcW w:w="1276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500</w:t>
            </w: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oslobođeno</w:t>
            </w:r>
          </w:p>
        </w:tc>
      </w:tr>
    </w:tbl>
    <w:p>
      <w:pPr>
        <w:rPr>
          <w:b/>
          <w:caps/>
          <w:strike/>
          <w:noProof/>
          <w:szCs w:val="24"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111"/>
        <w:gridCol w:w="1276"/>
        <w:gridCol w:w="1417"/>
      </w:tblGrid>
      <w:tr>
        <w:trPr>
          <w:tblHeader/>
        </w:trPr>
        <w:tc>
          <w:tcPr>
            <w:tcW w:w="959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Redni br.</w:t>
            </w:r>
          </w:p>
        </w:tc>
        <w:tc>
          <w:tcPr>
            <w:tcW w:w="1417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Oznaka KN</w:t>
            </w:r>
          </w:p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2012</w:t>
            </w:r>
          </w:p>
        </w:tc>
        <w:tc>
          <w:tcPr>
            <w:tcW w:w="4111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Opis proizvoda</w:t>
            </w:r>
          </w:p>
        </w:tc>
        <w:tc>
          <w:tcPr>
            <w:tcW w:w="1276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Obujam (u tonama)</w:t>
            </w:r>
          </w:p>
        </w:tc>
        <w:tc>
          <w:tcPr>
            <w:tcW w:w="1417" w:type="dxa"/>
          </w:tcPr>
          <w:p>
            <w:pPr>
              <w:spacing w:before="40" w:after="4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Stopa carine</w:t>
            </w:r>
          </w:p>
        </w:tc>
      </w:tr>
      <w:tr>
        <w:tc>
          <w:tcPr>
            <w:tcW w:w="959" w:type="dxa"/>
            <w:vMerge w:val="restart"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2009 69 19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Sok od grožđa, uključujući mošt od grožđa, nefermentiran, Brix vrijednosti veće od 67 na 20 °C, vrijednosti veće od 22 EUR za 100 kg, s ili bez dodanog šećera ili ostalih sladila (bez alkohola)</w:t>
            </w:r>
          </w:p>
        </w:tc>
        <w:tc>
          <w:tcPr>
            <w:tcW w:w="1276" w:type="dxa"/>
            <w:vMerge w:val="restart"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  <w:vMerge w:val="restart"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</w:tr>
      <w:tr>
        <w:tc>
          <w:tcPr>
            <w:tcW w:w="959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2009 69 51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Koncentriran sok od grožđa, uključujući mošt od grožđa, nefermentiran, Brix vrijednosti veće od 30, ali ne veće od 67 na 20 °C, vrijednosti veće od 18 EUR za 100 kg, s ili bez dodanog šećera ili ostalih sladila (bez alkohola)</w:t>
            </w:r>
          </w:p>
        </w:tc>
        <w:tc>
          <w:tcPr>
            <w:tcW w:w="1276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</w:tr>
      <w:tr>
        <w:tc>
          <w:tcPr>
            <w:tcW w:w="959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2009 69 59</w:t>
            </w:r>
          </w:p>
        </w:tc>
        <w:tc>
          <w:tcPr>
            <w:tcW w:w="411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Sok od grožđa, uključujući mošt od grožđa, nefermentiran, Brix vrijednosti veće od 30, ali ne veće od 67 na 20 °C, vrijednosti veće od 18 EUR za 100 kg, s ili bez dodanog šećera ili ostalih sladila (osim koncentriranog ili onog s alkoholom)</w:t>
            </w:r>
          </w:p>
        </w:tc>
        <w:tc>
          <w:tcPr>
            <w:tcW w:w="1276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1417" w:type="dxa"/>
            <w:vMerge/>
          </w:tcPr>
          <w:p>
            <w:pPr>
              <w:spacing w:before="40" w:after="40"/>
              <w:rPr>
                <w:noProof/>
                <w:szCs w:val="24"/>
              </w:rPr>
            </w:pPr>
          </w:p>
        </w:tc>
      </w:tr>
    </w:tbl>
    <w:p>
      <w:pPr>
        <w:spacing w:before="0" w:after="200" w:line="276" w:lineRule="auto"/>
        <w:jc w:val="left"/>
        <w:rPr>
          <w:b/>
          <w:caps/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9E74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A0E2E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A72F0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140BB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F6A47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4F441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208D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A1E60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4185202"/>
    <w:multiLevelType w:val="hybridMultilevel"/>
    <w:tmpl w:val="2FBE0770"/>
    <w:lvl w:ilvl="0" w:tplc="8702F15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15"/>
  </w:num>
  <w:num w:numId="13">
    <w:abstractNumId w:val="19"/>
  </w:num>
  <w:num w:numId="14">
    <w:abstractNumId w:val="12"/>
  </w:num>
  <w:num w:numId="15">
    <w:abstractNumId w:val="21"/>
  </w:num>
  <w:num w:numId="16">
    <w:abstractNumId w:val="11"/>
  </w:num>
  <w:num w:numId="17">
    <w:abstractNumId w:val="13"/>
  </w:num>
  <w:num w:numId="18">
    <w:abstractNumId w:val="9"/>
  </w:num>
  <w:num w:numId="19">
    <w:abstractNumId w:val="20"/>
  </w:num>
  <w:num w:numId="20">
    <w:abstractNumId w:val="8"/>
  </w:num>
  <w:num w:numId="21">
    <w:abstractNumId w:val="14"/>
  </w:num>
  <w:num w:numId="22">
    <w:abstractNumId w:val="17"/>
  </w:num>
  <w:num w:numId="23">
    <w:abstractNumId w:val="18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2"/>
  </w:num>
  <w:num w:numId="29">
    <w:abstractNumId w:val="21"/>
  </w:num>
  <w:num w:numId="30">
    <w:abstractNumId w:val="11"/>
  </w:num>
  <w:num w:numId="31">
    <w:abstractNumId w:val="13"/>
  </w:num>
  <w:num w:numId="32">
    <w:abstractNumId w:val="9"/>
  </w:num>
  <w:num w:numId="33">
    <w:abstractNumId w:val="20"/>
  </w:num>
  <w:num w:numId="34">
    <w:abstractNumId w:val="8"/>
  </w:num>
  <w:num w:numId="35">
    <w:abstractNumId w:val="14"/>
  </w:num>
  <w:num w:numId="36">
    <w:abstractNumId w:val="17"/>
  </w:num>
  <w:num w:numId="37">
    <w:abstractNumId w:val="18"/>
  </w:num>
  <w:num w:numId="38">
    <w:abstractNumId w:val="10"/>
  </w:num>
  <w:num w:numId="39">
    <w:abstractNumId w:val="16"/>
  </w:num>
  <w:num w:numId="4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1-25 10:10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E44C8F6-5798-48FE-ABE1-B431BAD8A79F"/>
    <w:docVar w:name="LW_COVERPAGE_TYPE" w:val="1"/>
    <w:docVar w:name="LW_CROSSREFERENCE" w:val="&lt;UNUSED&gt;"/>
    <w:docVar w:name="LW_DocType" w:val="ANNEX"/>
    <w:docVar w:name="LW_EMISSION" w:val="27.11.2019."/>
    <w:docVar w:name="LW_EMISSION_ISODATE" w:val="2019-11-27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stajali\u353?tu koje u ime Europske unije treba zauzeti u Odboru za pridru\u382?ivanje u sastavu zadu\u382?enom za trgovinu"/>
    <w:docVar w:name="LW_OBJETACTEPRINCIPAL.CP" w:val="o stajali\u353?tu koje u ime Europske unije treba zauzeti u Odboru za pridru\u382?ivanje u sastavu zadu\u382?enom za trgovinu"/>
    <w:docVar w:name="LW_PART_NBR" w:val="1"/>
    <w:docVar w:name="LW_PART_NBR_TOTAL" w:val="1"/>
    <w:docVar w:name="LW_REF.INST.NEW" w:val="COM"/>
    <w:docVar w:name="LW_REF.INST.NEW_ADOPTED" w:val="final"/>
    <w:docVar w:name="LW_REF.INST.NEW_TEXT" w:val="(2019) 6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ijedlogu odluke Vije\u263?a"/>
    <w:docVar w:name="LW_TYPEACTEPRINCIPAL.CP" w:val="Prijedlogu odluk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5</Pages>
  <Words>877</Words>
  <Characters>4326</Characters>
  <Application>Microsoft Office Word</Application>
  <DocSecurity>0</DocSecurity>
  <Lines>173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cp:lastPrinted>2019-09-23T15:47:00Z</cp:lastPrinted>
  <dcterms:created xsi:type="dcterms:W3CDTF">2019-11-08T14:23:00Z</dcterms:created>
  <dcterms:modified xsi:type="dcterms:W3CDTF">2019-11-25T09:10:00Z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