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32FB2E8-5FB6-4BDA-9D3D-851AEDCAB641" style="width:450.35pt;height:366.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widowControl w:val="0"/>
        <w:shd w:val="clear" w:color="auto" w:fill="FFFFFF"/>
        <w:autoSpaceDE w:val="0"/>
        <w:autoSpaceDN w:val="0"/>
        <w:adjustRightInd w:val="0"/>
        <w:spacing w:before="230" w:after="0" w:line="269" w:lineRule="exact"/>
        <w:rPr>
          <w:noProof/>
        </w:rPr>
      </w:pPr>
      <w:r>
        <w:rPr>
          <w:noProof/>
        </w:rPr>
        <w:t>Podle čl. 395 odst. 1 směrnice Rady 2006/112/ES ze dne 28. listopadu 2006 o společném systému daně z přidané hodnoty</w:t>
      </w:r>
      <w:r>
        <w:rPr>
          <w:rStyle w:val="FootnoteReference"/>
          <w:noProof/>
        </w:rPr>
        <w:footnoteReference w:id="1"/>
      </w:r>
      <w:r>
        <w:rPr>
          <w:noProof/>
        </w:rPr>
        <w:t xml:space="preserve"> („směrnice o DPH“) může Rada na návrh Komise jednomyslně povolit kterémukoli členskému státu, aby uplatnil zvláštní opatření odchylující se od uvedené směrnice, jejichž cílem je zjednodušit postup výběru DPH nebo zabránit určitým druhům daňových úniků či vyhýbání se daňovým povinnostem.</w:t>
      </w:r>
    </w:p>
    <w:p>
      <w:pPr>
        <w:widowControl w:val="0"/>
        <w:shd w:val="clear" w:color="auto" w:fill="FFFFFF"/>
        <w:autoSpaceDE w:val="0"/>
        <w:autoSpaceDN w:val="0"/>
        <w:adjustRightInd w:val="0"/>
        <w:spacing w:before="230" w:after="0" w:line="269" w:lineRule="exact"/>
        <w:rPr>
          <w:noProof/>
        </w:rPr>
      </w:pPr>
      <w:r>
        <w:rPr>
          <w:noProof/>
        </w:rPr>
        <w:t xml:space="preserve">Dopisem, který Komise zaevidovala dne 2. května 2019, požádalo Lucembursko o povolení i nadále osvobozovat od DPH osoby povinné k dani, jejichž roční obrat nepřekračuje určitou prahovou hodnotu, jak je stanoveno v článku 285 směrnice o DPH, a o zvýšení této prahové hodnoty z 30 000 EUR na 35 000 EUR. </w:t>
      </w:r>
    </w:p>
    <w:p>
      <w:pPr>
        <w:widowControl w:val="0"/>
        <w:shd w:val="clear" w:color="auto" w:fill="FFFFFF"/>
        <w:autoSpaceDE w:val="0"/>
        <w:autoSpaceDN w:val="0"/>
        <w:adjustRightInd w:val="0"/>
        <w:spacing w:before="230" w:after="0" w:line="269" w:lineRule="exact"/>
        <w:rPr>
          <w:noProof/>
        </w:rPr>
      </w:pPr>
      <w:r>
        <w:rPr>
          <w:noProof/>
        </w:rPr>
        <w:t>V souladu s čl. 395 odst. 2 směrnice o DPH informovala Komise dopisem ze dne 21. června 2019 o žádosti Lucemburska ostatní členské státy. Dopisem ze dne 24. června 2019 Komise Lucembursku oznámila, že má k dispozici všechny údaje, které považuje za nezbytné k posouzení žádosti.</w:t>
      </w:r>
    </w:p>
    <w:p>
      <w:pPr>
        <w:pStyle w:val="ManualHeading1"/>
        <w:rPr>
          <w:noProof/>
        </w:rPr>
      </w:pPr>
      <w:r>
        <w:rPr>
          <w:noProof/>
        </w:rPr>
        <w:t>1.</w:t>
      </w:r>
      <w:r>
        <w:rPr>
          <w:noProof/>
        </w:rPr>
        <w:tab/>
        <w:t>SOUVISLOSTI NÁVRHU</w:t>
      </w:r>
    </w:p>
    <w:p>
      <w:pPr>
        <w:pStyle w:val="ManualHeading2"/>
        <w:rPr>
          <w:rFonts w:eastAsia="Arial Unicode MS"/>
          <w:noProof/>
        </w:rPr>
      </w:pPr>
      <w:r>
        <w:rPr>
          <w:noProof/>
          <w:u w:color="000000"/>
          <w:bdr w:val="nil"/>
        </w:rPr>
        <w:t>•</w:t>
      </w:r>
      <w:r>
        <w:rPr>
          <w:noProof/>
          <w:u w:color="000000"/>
          <w:bdr w:val="nil"/>
        </w:rPr>
        <w:tab/>
      </w:r>
      <w:r>
        <w:rPr>
          <w:noProof/>
        </w:rPr>
        <w:t>Odůvodnění a cíle návrhu</w:t>
      </w:r>
    </w:p>
    <w:p>
      <w:pPr>
        <w:rPr>
          <w:noProof/>
        </w:rPr>
      </w:pPr>
      <w:r>
        <w:rPr>
          <w:noProof/>
        </w:rPr>
        <w:t xml:space="preserve">Podle hlavy XII kapitoly 1 směrnice o DPH mohou členské státy uplatňovat zvláštní režim pro malé podniky, který zahrnuje možnost osvobodit od daně osoby povinné k dani, jejichž roční obrat nepřekračuje určitou částku. Osoby povinné k dani, na něž se vztahuje toto osvobození, nemusí účtovat DPH za dodání zboží a poskytnutí služeb, a proto si ji nemohou odečíst na vstupu. </w:t>
      </w:r>
    </w:p>
    <w:p>
      <w:pPr>
        <w:rPr>
          <w:noProof/>
        </w:rPr>
      </w:pPr>
      <w:r>
        <w:rPr>
          <w:noProof/>
        </w:rPr>
        <w:t>Možnost uplatňovat zvláštní pravidla DPH pro malé podniky, včetně osvobození od daně nebo odstupňované daňové úlevy, poprvé zavedl článek 14 směrnice Rady 67/228/EHS</w:t>
      </w:r>
      <w:r>
        <w:rPr>
          <w:rStyle w:val="FootnoteReference"/>
          <w:noProof/>
        </w:rPr>
        <w:footnoteReference w:id="2"/>
      </w:r>
      <w:r>
        <w:rPr>
          <w:noProof/>
        </w:rPr>
        <w:t>. Členské státy, které možnost stanovenou v daném ustanovení nevyužily, poté mohly podle čl. 24 odst. 2 písm. b) směrnice 77/388/EHS</w:t>
      </w:r>
      <w:r>
        <w:rPr>
          <w:rStyle w:val="FootnoteReference"/>
          <w:noProof/>
        </w:rPr>
        <w:footnoteReference w:id="3"/>
      </w:r>
      <w:r>
        <w:rPr>
          <w:noProof/>
        </w:rPr>
        <w:t xml:space="preserve">, v přepracovaném znění podle čl. 285 prvního pododstavce směrnice o DPH, osvobodit od DPH pouze osoby povinné k dani, jejichž roční obrat je nejvýše roven částce 5 000 EUR nebo ekvivalentu této částky v národní měně. Na základě čl. 285 druhého pododstavce směrnice o DPH mohou uvedené členské státy rovněž poskytnout odstupňovanou daňovou úlevu osobám povinným k dani, jejichž roční obrat překračuje horní mez, kterou stanovily pro poskytnutí osvobození od daně. </w:t>
      </w:r>
    </w:p>
    <w:p>
      <w:pPr>
        <w:rPr>
          <w:noProof/>
        </w:rPr>
      </w:pPr>
      <w:r>
        <w:rPr>
          <w:noProof/>
        </w:rPr>
        <w:t xml:space="preserve">Až do konce roku 2012 osvobozovalo Lucembursko od DPH osoby povinné k dani, jejichž roční obrat nepřesahoval 10 000 EUR. Souběžně využívalo možnost podle čl. 285 druhého pododstavce směrnice o DPH a poskytovalo odstupňovanou daňovou úlevu osobám povinným k dani, jejichž roční obrat byl mezi 10 000 EUR a 25 000 EUR. </w:t>
      </w:r>
    </w:p>
    <w:p>
      <w:pPr>
        <w:pBdr>
          <w:top w:val="nil"/>
          <w:left w:val="nil"/>
          <w:bottom w:val="nil"/>
          <w:right w:val="nil"/>
          <w:between w:val="nil"/>
          <w:bar w:val="nil"/>
        </w:pBdr>
        <w:spacing w:before="0" w:after="240"/>
        <w:rPr>
          <w:b/>
          <w:noProof/>
        </w:rPr>
      </w:pPr>
      <w:r>
        <w:rPr>
          <w:noProof/>
        </w:rPr>
        <w:t xml:space="preserve">Lucembursko si následně vyžádalo a získalo odchylku podle čl. 285 prvního pododstavce, aby mohlo uplatnit prahovou hodnotu obratu ve výši 25 000 EUR, pokud jde o režim osvobození od daně pro malé podniky, a zároveň zrušilo uplatňování odstupňované daňové úlevy. </w:t>
      </w:r>
      <w:r>
        <w:rPr>
          <w:noProof/>
        </w:rPr>
        <w:lastRenderedPageBreak/>
        <w:t>Prováděcím rozhodnutím Rady 2013/677/EU</w:t>
      </w:r>
      <w:r>
        <w:rPr>
          <w:rStyle w:val="FootnoteReference"/>
          <w:noProof/>
        </w:rPr>
        <w:footnoteReference w:id="4"/>
      </w:r>
      <w:r>
        <w:rPr>
          <w:noProof/>
        </w:rPr>
        <w:t xml:space="preserve"> bylo Lucembursku povoleno uplatňovat výše uvedené odchylující se opatření do 31. prosince 2016. </w:t>
      </w:r>
    </w:p>
    <w:p>
      <w:pPr>
        <w:pBdr>
          <w:top w:val="nil"/>
          <w:left w:val="nil"/>
          <w:bottom w:val="nil"/>
          <w:right w:val="nil"/>
          <w:between w:val="nil"/>
          <w:bar w:val="nil"/>
        </w:pBdr>
        <w:spacing w:before="0" w:after="240"/>
        <w:rPr>
          <w:noProof/>
        </w:rPr>
      </w:pPr>
      <w:r>
        <w:rPr>
          <w:noProof/>
        </w:rPr>
        <w:t>Prováděcím rozhodnutím Rady (EU) 2017/319</w:t>
      </w:r>
      <w:r>
        <w:rPr>
          <w:rStyle w:val="FootnoteReference"/>
          <w:noProof/>
        </w:rPr>
        <w:footnoteReference w:id="5"/>
      </w:r>
      <w:r>
        <w:rPr>
          <w:noProof/>
        </w:rPr>
        <w:t xml:space="preserve"> bylo Lucembursku povoleno prodloužit platnost odchylujícího se opatření do 31. prosince 2019 a zároveň zvýšit prahovou hodnotu z 25 000 EUR na 30 000 EUR. </w:t>
      </w:r>
    </w:p>
    <w:p>
      <w:pPr>
        <w:pBdr>
          <w:top w:val="nil"/>
          <w:left w:val="nil"/>
          <w:bottom w:val="nil"/>
          <w:right w:val="nil"/>
          <w:between w:val="nil"/>
          <w:bar w:val="nil"/>
        </w:pBdr>
        <w:spacing w:before="0" w:after="240"/>
        <w:rPr>
          <w:noProof/>
        </w:rPr>
      </w:pPr>
      <w:r>
        <w:rPr>
          <w:noProof/>
        </w:rPr>
        <w:t>Stávající žádost Lucemburska o prodloužení platnosti odchylky a zvýšení prahové hodnoty z 30 000 EUR na 35 000 EUR vychází ze stejných důvodů, jaké byly uvedeny v předchozích žádostech. Lucembursko zejména tvrdí, že odchylující se opatření snižuje administrativní zátěž jak pro malé podniky, tak pro daňovou správu. Odchylující se opatření v tomto ohledu zjednodušuje postup výběru daně, a spadá tedy do cílů čl. 395 odst. 1 prvního pododstavce směrnice o DPH.</w:t>
      </w:r>
    </w:p>
    <w:p>
      <w:pPr>
        <w:rPr>
          <w:noProof/>
        </w:rPr>
      </w:pPr>
      <w:r>
        <w:rPr>
          <w:noProof/>
        </w:rPr>
        <w:t>Lucembursko zdůrazňuje, že požadovaná odchylka je v souladu se základní myšlenkou návrhu nových pravidel zjednodušujících režim DPH pro malé podniky, který v roce 2018 předložila Komise</w:t>
      </w:r>
      <w:r>
        <w:rPr>
          <w:rStyle w:val="FootnoteReference"/>
          <w:noProof/>
        </w:rPr>
        <w:footnoteReference w:id="6"/>
      </w:r>
      <w:r>
        <w:rPr>
          <w:noProof/>
        </w:rPr>
        <w:t>, neboť návrh umožňuje členským státům stanovit prahovou hodnotu ročního obratu požadovanou pro osvobození od DPH na maximální výši 85 000 EUR (nebo ekvivalent této částky v národní měně).</w:t>
      </w:r>
    </w:p>
    <w:p>
      <w:pPr>
        <w:pBdr>
          <w:top w:val="nil"/>
          <w:left w:val="nil"/>
          <w:bottom w:val="nil"/>
          <w:right w:val="nil"/>
          <w:between w:val="nil"/>
          <w:bar w:val="nil"/>
        </w:pBdr>
        <w:spacing w:before="0" w:after="240"/>
        <w:rPr>
          <w:noProof/>
          <w:color w:val="000000"/>
          <w:szCs w:val="24"/>
        </w:rPr>
      </w:pPr>
      <w:r>
        <w:rPr>
          <w:noProof/>
        </w:rPr>
        <w:t xml:space="preserve">Podle Lucemburska by uplatňované zvláštní opatření mělo pouze zanedbatelný vliv na celkovou výši příjmů z DPH vybraných na stupni konečné spotřeby (nejvýše 0,1 %), jak vyžaduje čl. 395 odst. 1 druhý pododstavec směrnice o DPH. </w:t>
      </w:r>
    </w:p>
    <w:p>
      <w:pPr>
        <w:pBdr>
          <w:top w:val="nil"/>
          <w:left w:val="nil"/>
          <w:bottom w:val="nil"/>
          <w:right w:val="nil"/>
          <w:between w:val="nil"/>
          <w:bar w:val="nil"/>
        </w:pBdr>
        <w:spacing w:before="0" w:after="240"/>
        <w:rPr>
          <w:noProof/>
        </w:rPr>
      </w:pPr>
      <w:r>
        <w:rPr>
          <w:noProof/>
        </w:rPr>
        <w:t>Konkrétně Lucembursko uvádí, že v roce 2017 využilo osvobození 105 osob povinných k dani s obratem mezi 10 000 EUR a 30 000 EUR (oproti 64 v roce 2015 a 73 v roce 2016). Pro uvedený rok tento údaj odpovídá 0,14 % osob povinných k dani, které byly registrovány pro účely DPH. Lucembursko odhaduje maximální ztrátu příjmů z DPH z důvodu osvobození na 271 525,60 EUR. Tato částka představovala 0,01 % celkové částky příjmů z DPH za rok 2017. Lucembursko očekává, že zvýšení prahové hodnoty na 35 000 EUR by se mohlo dotknout 1 106 osob povinných k dani, což by představovalo 1,5 % osob povinných k dani, které byly v roce 2017 registrovány pro účely DPH. Za předpokladu, že žádná z těchto osob povinných k dani by nezvolila běžný režim DPH, by ztráta příjmů vyplývající ze zvýšení prahové hodnoty pro osvobození z 30 000 EUR na 35 000 EUR neměla přesáhnout 0,1 % celkových příjmů z DPH.</w:t>
      </w:r>
    </w:p>
    <w:p>
      <w:pPr>
        <w:autoSpaceDE w:val="0"/>
        <w:autoSpaceDN w:val="0"/>
        <w:adjustRightInd w:val="0"/>
        <w:spacing w:before="0" w:after="0"/>
        <w:rPr>
          <w:noProof/>
          <w:color w:val="000000"/>
          <w:szCs w:val="24"/>
        </w:rPr>
      </w:pPr>
      <w:r>
        <w:rPr>
          <w:noProof/>
        </w:rPr>
        <w:t xml:space="preserve">Na základě údajů, které Lucembursko poskytlo, se zdá, že cílem žádosti o prodloužení platnosti odchylujícího se opatření je </w:t>
      </w:r>
      <w:r>
        <w:rPr>
          <w:noProof/>
          <w:sz w:val="23"/>
          <w:szCs w:val="23"/>
        </w:rPr>
        <w:t>osvobodit malé podniky od mnoha povinností spojených s DPH v rámci běžného režimu DPH</w:t>
      </w:r>
      <w:r>
        <w:rPr>
          <w:noProof/>
        </w:rPr>
        <w:t xml:space="preserve"> a snížit zátěž daňové správy, pokud jde o výběr daně a daňovou kontrolu malých podniků. To by mohlo daňové správě umožnit, aby své kontrolní činnosti zaměřila na osoby povinné k dani, jež mají větší obrat. Odchylující se opatření je tedy v souladu s čl. 395 odst. 1 prvním pododstavcem směrnice o DPH, který členským státům umožňuje zavést zvláštní opatření odchylující se od jejích ustanovení za účelem zjednodušení </w:t>
      </w:r>
      <w:r>
        <w:rPr>
          <w:noProof/>
        </w:rPr>
        <w:lastRenderedPageBreak/>
        <w:t xml:space="preserve">postupu výběru DPH. V této souvislosti je zmíněno, že dané opatření je a nadále zůstane pro osoby povinné k dani dobrovolné. </w:t>
      </w:r>
    </w:p>
    <w:p>
      <w:pPr>
        <w:autoSpaceDE w:val="0"/>
        <w:autoSpaceDN w:val="0"/>
        <w:adjustRightInd w:val="0"/>
        <w:spacing w:before="0" w:after="0"/>
        <w:rPr>
          <w:noProof/>
          <w:color w:val="000000"/>
          <w:szCs w:val="24"/>
        </w:rPr>
      </w:pPr>
    </w:p>
    <w:p>
      <w:pPr>
        <w:pBdr>
          <w:top w:val="nil"/>
          <w:left w:val="nil"/>
          <w:bottom w:val="nil"/>
          <w:right w:val="nil"/>
          <w:between w:val="nil"/>
          <w:bar w:val="nil"/>
        </w:pBdr>
        <w:spacing w:before="0" w:after="240"/>
        <w:rPr>
          <w:noProof/>
          <w:color w:val="000000"/>
          <w:szCs w:val="24"/>
        </w:rPr>
      </w:pPr>
      <w:r>
        <w:rPr>
          <w:noProof/>
        </w:rPr>
        <w:t>Jak Lucembursko prokázalo, neočekává se, že odchylující se opatření významně ovlivní celkovou výši jeho daňových příjmů vybraných na stupni konečné spotřeby. Rovněž se neočekává, že bude mít nepříznivý dopad na vlastní zdroje Evropské unie pocházející z DPH. Odchylující se opatření je proto v souladu s čl. 395 odst. 1 druhým pododstavcem směrnice o DPH.</w:t>
      </w:r>
    </w:p>
    <w:p>
      <w:pPr>
        <w:pBdr>
          <w:top w:val="nil"/>
          <w:left w:val="nil"/>
          <w:bottom w:val="nil"/>
          <w:right w:val="nil"/>
          <w:between w:val="nil"/>
          <w:bar w:val="nil"/>
        </w:pBdr>
        <w:spacing w:before="0" w:after="240"/>
        <w:rPr>
          <w:noProof/>
          <w:color w:val="000000"/>
          <w:szCs w:val="24"/>
        </w:rPr>
      </w:pPr>
      <w:r>
        <w:rPr>
          <w:noProof/>
        </w:rPr>
        <w:t xml:space="preserve">Na základě výše uvedených skutečností a vzhledem k tomu, že právní rámec EU a faktická situace zůstávají nezměněny, se požadované prodloužení platnosti odchylujícího se opatření jeví jako odůvodněné. Proto se navrhuje, aby byla žádost schválena. </w:t>
      </w:r>
    </w:p>
    <w:p>
      <w:pPr>
        <w:autoSpaceDE w:val="0"/>
        <w:autoSpaceDN w:val="0"/>
        <w:adjustRightInd w:val="0"/>
        <w:spacing w:before="0" w:after="0"/>
        <w:rPr>
          <w:noProof/>
          <w:color w:val="000000"/>
          <w:szCs w:val="24"/>
        </w:rPr>
      </w:pPr>
      <w:r>
        <w:rPr>
          <w:noProof/>
        </w:rPr>
        <w:t xml:space="preserve">V žádosti Lucemburska se neuvádí žádná lhůta pro požadovanou odchylku. Odchylky od směrnice o DPH by však měly být obvykle časově omezeny, aby bylo možné posoudit jejich účinnost a přiměřenost. Jak již bylo zmíněno dříve, v současné době jsou navíc ustanovení článků 281 až 294 směrnice o DPH týkající se zvláštního režimu pro malé podniky předmětem přezkumu. Návrh jednodušších pravidel DPH pro malé podniky z roku 2018 vyžaduje, aby členské státy přijaly a zveřejnily právní a správní předpisy nezbytné pro dosažení souladu s novými pravidly nejpozději do 30. června 2022. </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rPr>
        <w:t xml:space="preserve">Navrhuje se proto prodloužit dobu platnosti odchylky do 31. prosince 2022. Pokud bude přijata směrnice, kterou se mění články 281 až 294 směrnice o DPH týkající se zvláštního režimu pro malé podniky, a v důsledku toho dnem 1. července 2022, tedy před uplynutím doby platnosti odchylujícího se opatření dne 31. prosince 2022, nabudou účinku příslušné vnitrostátní právní předpisy, pozbude toto rozhodnutí platnosti. </w:t>
      </w:r>
    </w:p>
    <w:p>
      <w:pPr>
        <w:autoSpaceDE w:val="0"/>
        <w:autoSpaceDN w:val="0"/>
        <w:adjustRightInd w:val="0"/>
        <w:spacing w:before="0" w:after="0"/>
        <w:rPr>
          <w:noProof/>
          <w:color w:val="000000"/>
          <w:szCs w:val="24"/>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Soulad s platnými předpisy v této oblasti politiky</w:t>
      </w:r>
    </w:p>
    <w:p>
      <w:pPr>
        <w:pStyle w:val="Default"/>
        <w:jc w:val="both"/>
        <w:rPr>
          <w:noProof/>
        </w:rPr>
      </w:pPr>
      <w:r>
        <w:rPr>
          <w:noProof/>
        </w:rPr>
        <w:t>Obdobné odchylky osvobozující od DPH osoby povinné k dani, jejichž roční obrat nepřekračuje určitou prahovou hodnotu, jak je stanoveno v článku 285 směrnice o DPH, byly uděleny i jiným členským státům. Maltě</w:t>
      </w:r>
      <w:r>
        <w:rPr>
          <w:rStyle w:val="FootnoteReference"/>
          <w:noProof/>
        </w:rPr>
        <w:footnoteReference w:id="7"/>
      </w:r>
      <w:r>
        <w:rPr>
          <w:noProof/>
        </w:rPr>
        <w:t xml:space="preserve"> byla povolena prahová hodnota ve výši 20 000 EUR, Nizozemsku</w:t>
      </w:r>
      <w:r>
        <w:rPr>
          <w:rStyle w:val="FootnoteReference"/>
          <w:noProof/>
        </w:rPr>
        <w:footnoteReference w:id="8"/>
      </w:r>
      <w:r>
        <w:rPr>
          <w:noProof/>
        </w:rPr>
        <w:t xml:space="preserve"> prahová hodnota 25 000 EUR, Polsku</w:t>
      </w:r>
      <w:r>
        <w:rPr>
          <w:rStyle w:val="FootnoteReference"/>
          <w:noProof/>
        </w:rPr>
        <w:footnoteReference w:id="9"/>
      </w:r>
      <w:r>
        <w:rPr>
          <w:noProof/>
        </w:rPr>
        <w:t>, Estonsku</w:t>
      </w:r>
      <w:r>
        <w:rPr>
          <w:rStyle w:val="FootnoteReference"/>
          <w:noProof/>
        </w:rPr>
        <w:footnoteReference w:id="10"/>
      </w:r>
      <w:r>
        <w:rPr>
          <w:noProof/>
        </w:rPr>
        <w:t xml:space="preserve"> a Lotyšsku</w:t>
      </w:r>
      <w:r>
        <w:rPr>
          <w:rStyle w:val="FootnoteReference"/>
          <w:noProof/>
        </w:rPr>
        <w:footnoteReference w:id="11"/>
      </w:r>
      <w:r>
        <w:rPr>
          <w:noProof/>
        </w:rPr>
        <w:t xml:space="preserve"> byla povolena prahová hodnota 40 000 EUR, Chorvatsku</w:t>
      </w:r>
      <w:r>
        <w:rPr>
          <w:rStyle w:val="FootnoteReference"/>
          <w:noProof/>
        </w:rPr>
        <w:footnoteReference w:id="12"/>
      </w:r>
      <w:r>
        <w:rPr>
          <w:noProof/>
        </w:rPr>
        <w:t xml:space="preserve"> a Litvě</w:t>
      </w:r>
      <w:r>
        <w:rPr>
          <w:rStyle w:val="FootnoteReference"/>
          <w:noProof/>
        </w:rPr>
        <w:footnoteReference w:id="13"/>
      </w:r>
      <w:r>
        <w:rPr>
          <w:noProof/>
        </w:rPr>
        <w:t xml:space="preserve"> prahová hodnota 45 000 </w:t>
      </w:r>
      <w:r>
        <w:rPr>
          <w:noProof/>
        </w:rPr>
        <w:lastRenderedPageBreak/>
        <w:t>EUR, Slovinsku</w:t>
      </w:r>
      <w:r>
        <w:rPr>
          <w:rStyle w:val="FootnoteReference"/>
          <w:noProof/>
        </w:rPr>
        <w:footnoteReference w:id="14"/>
      </w:r>
      <w:r>
        <w:rPr>
          <w:noProof/>
        </w:rPr>
        <w:t xml:space="preserve"> prahová hodnota 50 000 EUR, Itálii</w:t>
      </w:r>
      <w:r>
        <w:rPr>
          <w:rStyle w:val="FootnoteReference"/>
          <w:noProof/>
        </w:rPr>
        <w:footnoteReference w:id="15"/>
      </w:r>
      <w:r>
        <w:rPr>
          <w:noProof/>
        </w:rPr>
        <w:t xml:space="preserve"> prahová hodnota 65 000 EUR a Rumunsku</w:t>
      </w:r>
      <w:r>
        <w:rPr>
          <w:rStyle w:val="FootnoteReference"/>
          <w:noProof/>
        </w:rPr>
        <w:footnoteReference w:id="16"/>
      </w:r>
      <w:r>
        <w:rPr>
          <w:noProof/>
        </w:rPr>
        <w:t xml:space="preserve"> prahová hodnota 88 500 EUR.</w:t>
      </w:r>
    </w:p>
    <w:p>
      <w:pPr>
        <w:pStyle w:val="Default"/>
        <w:jc w:val="both"/>
        <w:rPr>
          <w:noProof/>
        </w:rPr>
      </w:pPr>
    </w:p>
    <w:p>
      <w:pPr>
        <w:pBdr>
          <w:top w:val="nil"/>
          <w:left w:val="nil"/>
          <w:bottom w:val="nil"/>
          <w:right w:val="nil"/>
          <w:between w:val="nil"/>
          <w:bar w:val="nil"/>
        </w:pBdr>
        <w:spacing w:before="0" w:after="240"/>
        <w:rPr>
          <w:noProof/>
          <w:color w:val="000000"/>
          <w:szCs w:val="24"/>
        </w:rPr>
      </w:pPr>
      <w:r>
        <w:rPr>
          <w:noProof/>
        </w:rPr>
        <w:t>Opatření je rovněž v souladu s návrhem jednodušších pravidel DPH pro malé a střední podniky z roku 2018, který vychází z akčního plánu v oblasti DPH</w:t>
      </w:r>
      <w:r>
        <w:rPr>
          <w:rStyle w:val="FootnoteReference"/>
          <w:noProof/>
        </w:rPr>
        <w:footnoteReference w:id="17"/>
      </w:r>
      <w:r>
        <w:rPr>
          <w:noProof/>
        </w:rPr>
        <w:t xml:space="preserve"> a jehož cílem je vytvořit pro tyto podniky moderní zjednodušený režim. Zejména se snaží snížit náklady na dodržování předpisů v oblasti DPH, omezit narušování hospodářské soutěže na vnitrostátní úrovni i na úrovni EU, zmírnit negativní dopad prahového efektu a usnadnit dodržování předpisů ze strany podniků, jakož i sledování ze strany daňových správ.</w:t>
      </w:r>
    </w:p>
    <w:p>
      <w:pPr>
        <w:autoSpaceDE w:val="0"/>
        <w:autoSpaceDN w:val="0"/>
        <w:adjustRightInd w:val="0"/>
        <w:spacing w:before="0" w:after="0"/>
        <w:rPr>
          <w:noProof/>
        </w:rPr>
      </w:pPr>
      <w:r>
        <w:rPr>
          <w:noProof/>
        </w:rPr>
        <w:t>Odchylky od ustanovení směrnice o DPH by měly být vždy časově omezeny, aby bylo možné posoudit jejich účinky. S ohledem na požadavky návrhu jednodušších pravidel DPH pro malé podniky z roku 2018 se navrhuje prodloužit dobu platnosti odchylky do 31. prosince 2022, nebo do dne, od kterého mají členské státy začít používat vnitrostátní předpisy, jež musí přijmout v případě přijetí směrnice, kterou se mění články 281 až 294 směrnice o DPH týkající se zvláštního režimu pro malé podniky.</w:t>
      </w:r>
    </w:p>
    <w:p>
      <w:pPr>
        <w:pStyle w:val="Default"/>
        <w:rPr>
          <w:rFonts w:ascii="EUAlbertina" w:hAnsi="EUAlbertina" w:cs="EUAlbertina"/>
          <w:noProof/>
        </w:rPr>
      </w:pPr>
    </w:p>
    <w:p>
      <w:pPr>
        <w:pBdr>
          <w:top w:val="nil"/>
          <w:left w:val="nil"/>
          <w:bottom w:val="nil"/>
          <w:right w:val="nil"/>
          <w:between w:val="nil"/>
          <w:bar w:val="nil"/>
        </w:pBdr>
        <w:spacing w:before="0" w:after="240"/>
        <w:rPr>
          <w:b/>
          <w:noProof/>
        </w:rPr>
      </w:pPr>
      <w:r>
        <w:rPr>
          <w:noProof/>
        </w:rPr>
        <w:t>Navrhované opatření je proto v souladu s ustanoveními směrnice o DPH.</w:t>
      </w:r>
    </w:p>
    <w:p>
      <w:pPr>
        <w:pStyle w:val="Text1"/>
        <w:rPr>
          <w:b/>
          <w:noProof/>
        </w:rPr>
      </w:pPr>
      <w:r>
        <w:rPr>
          <w:b/>
          <w:noProof/>
        </w:rPr>
        <w:t xml:space="preserve">Soulad s ostatními politikami Unie </w:t>
      </w:r>
    </w:p>
    <w:p>
      <w:pPr>
        <w:pBdr>
          <w:top w:val="nil"/>
          <w:left w:val="nil"/>
          <w:bottom w:val="nil"/>
          <w:right w:val="nil"/>
          <w:between w:val="nil"/>
          <w:bar w:val="nil"/>
        </w:pBdr>
        <w:spacing w:before="0" w:after="240"/>
        <w:rPr>
          <w:noProof/>
          <w:color w:val="000000"/>
          <w:szCs w:val="24"/>
        </w:rPr>
      </w:pPr>
      <w:r>
        <w:rPr>
          <w:noProof/>
        </w:rPr>
        <w:t>Opatření je v souladu s pracovním programem Komise na rok 2017</w:t>
      </w:r>
      <w:r>
        <w:rPr>
          <w:rStyle w:val="FootnoteReference"/>
          <w:noProof/>
          <w:szCs w:val="23"/>
        </w:rPr>
        <w:footnoteReference w:id="18"/>
      </w:r>
      <w:r>
        <w:rPr>
          <w:noProof/>
        </w:rPr>
        <w:t xml:space="preserve">, v němž se poukazuje na to, že administrativní zátěž spojená s dodržováním předpisů v oblasti DPH je pro malé podniky vysoká a že technické inovace představují nové výzvy pro účinný výběr daně, a zdůrazňuje se potřeba zjednodušit DPH pro menší společnosti. </w:t>
      </w:r>
    </w:p>
    <w:p>
      <w:pPr>
        <w:pBdr>
          <w:top w:val="nil"/>
          <w:left w:val="nil"/>
          <w:bottom w:val="nil"/>
          <w:right w:val="nil"/>
          <w:between w:val="nil"/>
          <w:bar w:val="nil"/>
        </w:pBdr>
        <w:spacing w:before="0" w:after="240"/>
        <w:rPr>
          <w:noProof/>
          <w:sz w:val="23"/>
          <w:szCs w:val="23"/>
        </w:rPr>
      </w:pPr>
      <w:r>
        <w:rPr>
          <w:noProof/>
        </w:rPr>
        <w:t>Stejně tak je v souladu se strategií pro jednotný trh z roku 2015</w:t>
      </w:r>
      <w:r>
        <w:rPr>
          <w:rStyle w:val="FootnoteReference"/>
          <w:noProof/>
          <w:szCs w:val="23"/>
        </w:rPr>
        <w:footnoteReference w:id="19"/>
      </w:r>
      <w:r>
        <w:rPr>
          <w:noProof/>
        </w:rPr>
        <w:t>, v níž Komise stanovila, že pomůže malým a středním podnikům růst mimo jiné snížením administrativní zátěže, která jim brání plně využívat výhod jednotného trhu.</w:t>
      </w:r>
      <w:r>
        <w:rPr>
          <w:noProof/>
          <w:sz w:val="23"/>
          <w:szCs w:val="23"/>
        </w:rPr>
        <w:t xml:space="preserve"> </w:t>
      </w:r>
    </w:p>
    <w:p>
      <w:pPr>
        <w:pBdr>
          <w:top w:val="nil"/>
          <w:left w:val="nil"/>
          <w:bottom w:val="nil"/>
          <w:right w:val="nil"/>
          <w:between w:val="nil"/>
          <w:bar w:val="nil"/>
        </w:pBdr>
        <w:spacing w:before="0" w:after="240"/>
        <w:rPr>
          <w:noProof/>
          <w:color w:val="000000"/>
          <w:szCs w:val="24"/>
        </w:rPr>
      </w:pPr>
      <w:r>
        <w:rPr>
          <w:noProof/>
        </w:rPr>
        <w:lastRenderedPageBreak/>
        <w:t>Opatření je rovněž v souladu s politikami EU v oblasti malých a středních podniků uvedenými ve sdělení o iniciativě pro začínající podniky z roku 2016</w:t>
      </w:r>
      <w:r>
        <w:rPr>
          <w:rStyle w:val="FootnoteReference"/>
          <w:noProof/>
        </w:rPr>
        <w:footnoteReference w:id="20"/>
      </w:r>
      <w:r>
        <w:rPr>
          <w:noProof/>
        </w:rPr>
        <w:t xml:space="preserve"> a ve sdělení z roku 2008 s názvem „Zelenou malým a středním podnikům“ – „Small Business Act“ pro Evropu</w:t>
      </w:r>
      <w:r>
        <w:rPr>
          <w:rStyle w:val="FootnoteReference"/>
          <w:noProof/>
          <w:szCs w:val="23"/>
        </w:rPr>
        <w:footnoteReference w:id="21"/>
      </w:r>
      <w:r>
        <w:rPr>
          <w:noProof/>
        </w:rPr>
        <w:t>, která vyzývají členské státy, aby při tvorbě právních předpisů zohledňovaly specifické rysy malých a středních podniků a aby zjednodušily stávající regulační prostředí.</w:t>
      </w:r>
    </w:p>
    <w:p>
      <w:pPr>
        <w:pBdr>
          <w:top w:val="nil"/>
          <w:left w:val="nil"/>
          <w:bottom w:val="nil"/>
          <w:right w:val="nil"/>
          <w:between w:val="nil"/>
          <w:bar w:val="nil"/>
        </w:pBdr>
        <w:spacing w:before="0" w:after="240"/>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Právní základ</w:t>
      </w:r>
    </w:p>
    <w:p>
      <w:pPr>
        <w:pBdr>
          <w:top w:val="nil"/>
          <w:left w:val="nil"/>
          <w:bottom w:val="nil"/>
          <w:right w:val="nil"/>
          <w:between w:val="nil"/>
          <w:bar w:val="nil"/>
        </w:pBdr>
        <w:spacing w:before="0" w:after="240"/>
        <w:rPr>
          <w:noProof/>
        </w:rPr>
      </w:pPr>
      <w:r>
        <w:rPr>
          <w:noProof/>
        </w:rPr>
        <w:t>Jediným možným právním základem je článek 395 směrnice o DPH.</w:t>
      </w:r>
    </w:p>
    <w:p>
      <w:pPr>
        <w:pStyle w:val="ManualHeading2"/>
        <w:rPr>
          <w:rFonts w:eastAsia="Arial Unicode MS"/>
          <w:noProof/>
          <w:u w:color="000000"/>
          <w:bdr w:val="nil"/>
        </w:rPr>
      </w:pPr>
      <w:r>
        <w:rPr>
          <w:noProof/>
          <w:u w:color="000000"/>
          <w:bdr w:val="nil"/>
        </w:rPr>
        <w:t>•</w:t>
      </w:r>
      <w:r>
        <w:rPr>
          <w:noProof/>
          <w:u w:color="000000"/>
          <w:bdr w:val="nil"/>
        </w:rPr>
        <w:tab/>
        <w:t xml:space="preserve">Subsidiarita (v případě nevýlučné pravomoci) </w:t>
      </w:r>
    </w:p>
    <w:p>
      <w:pPr>
        <w:pBdr>
          <w:top w:val="nil"/>
          <w:left w:val="nil"/>
          <w:bottom w:val="nil"/>
          <w:right w:val="nil"/>
          <w:between w:val="nil"/>
          <w:bar w:val="nil"/>
        </w:pBdr>
        <w:spacing w:before="0" w:after="240"/>
        <w:rPr>
          <w:noProof/>
        </w:rPr>
      </w:pPr>
      <w:r>
        <w:rPr>
          <w:noProof/>
        </w:rPr>
        <w:t>Vzhledem k ustanovení směrnice o DPH, z něhož návrh vychází, spadá návrh do výlučné pravomoci Evropské unie. Zásada subsidiarity se proto neuplatní.</w:t>
      </w:r>
    </w:p>
    <w:p>
      <w:pPr>
        <w:pStyle w:val="ManualHeading2"/>
        <w:rPr>
          <w:rFonts w:eastAsia="Arial Unicode MS"/>
          <w:noProof/>
          <w:u w:color="000000"/>
          <w:bdr w:val="nil"/>
        </w:rPr>
      </w:pPr>
      <w:r>
        <w:rPr>
          <w:noProof/>
          <w:u w:color="000000"/>
          <w:bdr w:val="nil"/>
        </w:rPr>
        <w:t>•</w:t>
      </w:r>
      <w:r>
        <w:rPr>
          <w:noProof/>
          <w:u w:color="000000"/>
          <w:bdr w:val="nil"/>
        </w:rPr>
        <w:tab/>
        <w:t>Proporcionalita</w:t>
      </w:r>
    </w:p>
    <w:p>
      <w:pPr>
        <w:pBdr>
          <w:top w:val="nil"/>
          <w:left w:val="nil"/>
          <w:bottom w:val="nil"/>
          <w:right w:val="nil"/>
          <w:between w:val="nil"/>
          <w:bar w:val="nil"/>
        </w:pBdr>
        <w:spacing w:before="0" w:after="240"/>
        <w:rPr>
          <w:noProof/>
        </w:rPr>
      </w:pPr>
      <w:r>
        <w:rPr>
          <w:noProof/>
        </w:rPr>
        <w:t>Toto rozhodnutí se týká povolení udělovaného členskému státu na základě jeho vlastní žádosti a nezakládá žádnou povinnost.</w:t>
      </w:r>
    </w:p>
    <w:p>
      <w:pPr>
        <w:pBdr>
          <w:top w:val="nil"/>
          <w:left w:val="nil"/>
          <w:bottom w:val="nil"/>
          <w:right w:val="nil"/>
          <w:between w:val="nil"/>
          <w:bar w:val="nil"/>
        </w:pBdr>
        <w:spacing w:before="0" w:after="240"/>
        <w:rPr>
          <w:noProof/>
        </w:rPr>
      </w:pPr>
      <w:r>
        <w:rPr>
          <w:noProof/>
        </w:rPr>
        <w:t>Vzhledem k omezené oblasti působnosti odchylky je zvláštní opatření úměrné sledovanému cíli, kterým je zjednodušení výběru daně pro maloobratové osoby povinné k dani i pro daňovou správu.</w:t>
      </w:r>
    </w:p>
    <w:p>
      <w:pPr>
        <w:pStyle w:val="ManualHeading2"/>
        <w:rPr>
          <w:rFonts w:eastAsia="Arial Unicode MS"/>
          <w:noProof/>
          <w:u w:color="000000"/>
          <w:bdr w:val="nil"/>
        </w:rPr>
      </w:pPr>
      <w:r>
        <w:rPr>
          <w:noProof/>
          <w:u w:color="000000"/>
          <w:bdr w:val="nil"/>
        </w:rPr>
        <w:t>•</w:t>
      </w:r>
      <w:r>
        <w:rPr>
          <w:noProof/>
          <w:u w:color="000000"/>
          <w:bdr w:val="nil"/>
        </w:rPr>
        <w:tab/>
        <w:t>Volba nástroje</w:t>
      </w:r>
    </w:p>
    <w:p>
      <w:pPr>
        <w:pBdr>
          <w:top w:val="nil"/>
          <w:left w:val="nil"/>
          <w:bottom w:val="nil"/>
          <w:right w:val="nil"/>
          <w:between w:val="nil"/>
          <w:bar w:val="nil"/>
        </w:pBdr>
        <w:spacing w:before="0" w:after="240"/>
        <w:rPr>
          <w:noProof/>
        </w:rPr>
      </w:pPr>
      <w:r>
        <w:rPr>
          <w:noProof/>
        </w:rPr>
        <w:t>Navrhovaným nástrojem je prováděcí rozhodnutí Rady.</w:t>
      </w:r>
    </w:p>
    <w:p>
      <w:pPr>
        <w:pBdr>
          <w:top w:val="nil"/>
          <w:left w:val="nil"/>
          <w:bottom w:val="nil"/>
          <w:right w:val="nil"/>
          <w:between w:val="nil"/>
          <w:bar w:val="nil"/>
        </w:pBdr>
        <w:spacing w:before="0" w:after="240"/>
        <w:rPr>
          <w:noProof/>
        </w:rPr>
      </w:pPr>
      <w:r>
        <w:rPr>
          <w:noProof/>
        </w:rPr>
        <w:t>Podle článku 395 směrnice o DPH je odchylka od společných pravidel DPH možná pouze v případě, že ji jednomyslně schválí Rada na návrh Komise. Prováděcí rozhodnutí Rady je nejvhodnějším nástrojem, neboť může být určeno jednotlivému členskému státu.</w:t>
      </w:r>
    </w:p>
    <w:p>
      <w:pPr>
        <w:pStyle w:val="ManualHeading1"/>
        <w:rPr>
          <w:noProof/>
        </w:rPr>
      </w:pPr>
      <w:r>
        <w:rPr>
          <w:noProof/>
        </w:rPr>
        <w:t>3.</w:t>
      </w:r>
      <w:r>
        <w:rPr>
          <w:noProof/>
        </w:rPr>
        <w:tab/>
        <w:t xml:space="preserve">VÝSLEDKY HODNOCENÍ </w:t>
      </w:r>
      <w:r>
        <w:rPr>
          <w:i/>
          <w:iCs/>
          <w:noProof/>
        </w:rPr>
        <w:t>EX POST</w:t>
      </w:r>
      <w:r>
        <w:rPr>
          <w:noProof/>
        </w:rPr>
        <w:t>, KONZULTACÍ SE ZÚČASTNĚNÝMI STRANAMI A POSOUZENÍ DOPADŮ</w:t>
      </w:r>
    </w:p>
    <w:p>
      <w:pPr>
        <w:pStyle w:val="ManualHeading2"/>
        <w:rPr>
          <w:rFonts w:eastAsia="Arial Unicode MS"/>
          <w:noProof/>
          <w:u w:color="000000"/>
          <w:bdr w:val="nil"/>
        </w:rPr>
      </w:pPr>
      <w:r>
        <w:rPr>
          <w:noProof/>
          <w:u w:color="000000"/>
          <w:bdr w:val="nil"/>
        </w:rPr>
        <w:t>•</w:t>
      </w:r>
      <w:r>
        <w:rPr>
          <w:noProof/>
          <w:u w:color="000000"/>
          <w:bdr w:val="nil"/>
        </w:rPr>
        <w:tab/>
        <w:t>Konzultace se zúčastněnými stranami</w:t>
      </w:r>
    </w:p>
    <w:p>
      <w:pPr>
        <w:pBdr>
          <w:top w:val="nil"/>
          <w:left w:val="nil"/>
          <w:bottom w:val="nil"/>
          <w:right w:val="nil"/>
          <w:between w:val="nil"/>
          <w:bar w:val="nil"/>
        </w:pBdr>
        <w:spacing w:before="0" w:after="240"/>
        <w:rPr>
          <w:noProof/>
        </w:rPr>
      </w:pPr>
      <w:r>
        <w:rPr>
          <w:noProof/>
        </w:rPr>
        <w:t>Neproběhly žádné konzultace se zúčastněnými stranami. Tento návrh se zakládá na žádosti předložené Lucemburskem a týká se pouze tohoto konkrétního členského státu.</w:t>
      </w:r>
    </w:p>
    <w:p>
      <w:pPr>
        <w:pStyle w:val="ManualHeading2"/>
        <w:rPr>
          <w:rFonts w:eastAsia="Arial Unicode MS"/>
          <w:noProof/>
          <w:u w:color="000000"/>
          <w:bdr w:val="nil"/>
        </w:rPr>
      </w:pPr>
      <w:r>
        <w:rPr>
          <w:noProof/>
          <w:u w:color="000000"/>
          <w:bdr w:val="nil"/>
        </w:rPr>
        <w:t>•</w:t>
      </w:r>
      <w:r>
        <w:rPr>
          <w:noProof/>
          <w:u w:color="000000"/>
          <w:bdr w:val="nil"/>
        </w:rPr>
        <w:tab/>
        <w:t>Sběr a využití výsledků odborných konzultací</w:t>
      </w:r>
    </w:p>
    <w:p>
      <w:pPr>
        <w:pBdr>
          <w:top w:val="nil"/>
          <w:left w:val="nil"/>
          <w:bottom w:val="nil"/>
          <w:right w:val="nil"/>
          <w:between w:val="nil"/>
          <w:bar w:val="nil"/>
        </w:pBdr>
        <w:spacing w:before="0" w:after="240"/>
        <w:rPr>
          <w:noProof/>
        </w:rPr>
      </w:pPr>
      <w:r>
        <w:rPr>
          <w:noProof/>
        </w:rPr>
        <w:t xml:space="preserve">Nebylo třeba využít externích odborných konzultací. </w:t>
      </w:r>
    </w:p>
    <w:p>
      <w:pPr>
        <w:pStyle w:val="ManualHeading2"/>
        <w:rPr>
          <w:rFonts w:eastAsia="Arial Unicode MS"/>
          <w:noProof/>
          <w:u w:color="000000"/>
          <w:bdr w:val="nil"/>
        </w:rPr>
      </w:pPr>
      <w:r>
        <w:rPr>
          <w:noProof/>
          <w:u w:color="000000"/>
          <w:bdr w:val="nil"/>
        </w:rPr>
        <w:t>•</w:t>
      </w:r>
      <w:r>
        <w:rPr>
          <w:noProof/>
          <w:u w:color="000000"/>
          <w:bdr w:val="nil"/>
        </w:rPr>
        <w:tab/>
        <w:t>Posouzení dopadů</w:t>
      </w:r>
    </w:p>
    <w:p>
      <w:pPr>
        <w:pBdr>
          <w:top w:val="nil"/>
          <w:left w:val="nil"/>
          <w:bottom w:val="nil"/>
          <w:right w:val="nil"/>
          <w:between w:val="nil"/>
          <w:bar w:val="nil"/>
        </w:pBdr>
        <w:spacing w:before="0" w:after="240"/>
        <w:rPr>
          <w:noProof/>
        </w:rPr>
      </w:pPr>
      <w:r>
        <w:rPr>
          <w:noProof/>
          <w:sz w:val="23"/>
          <w:szCs w:val="23"/>
        </w:rPr>
        <w:t xml:space="preserve">Cílem návrhu prováděcího rozhodnutí Rady je prodloužit uplatňování zjednodušujícího opatření, které podniky, jejichž roční obrat nepřesahuje 35 000 EUR, osvobozuje od mnoha povinností </w:t>
      </w:r>
      <w:r>
        <w:rPr>
          <w:noProof/>
          <w:sz w:val="23"/>
          <w:szCs w:val="23"/>
        </w:rPr>
        <w:lastRenderedPageBreak/>
        <w:t>spojených s DPH. To by mohlo mít potenciální pozitivní dopad na snížení administrativní zátěže pro 1 106 osob povinných k dani (což by představovalo 1,5 % osob povinných k dani, které byly v roce 2017 registrovány pro účely DPH), a tedy i pro daňovou správu. Rozpočtový dopad z hlediska příjmů z DPH odhaduje Lucembursko na nejvýše 0,1 % vybraných příjmů z DPH.</w:t>
      </w:r>
    </w:p>
    <w:p>
      <w:pPr>
        <w:pStyle w:val="ManualHeading2"/>
        <w:rPr>
          <w:rFonts w:eastAsia="Arial Unicode MS"/>
          <w:noProof/>
          <w:u w:color="000000"/>
          <w:bdr w:val="nil"/>
        </w:rPr>
      </w:pPr>
      <w:r>
        <w:rPr>
          <w:noProof/>
          <w:u w:color="000000"/>
          <w:bdr w:val="nil"/>
        </w:rPr>
        <w:t>•</w:t>
      </w:r>
      <w:r>
        <w:rPr>
          <w:noProof/>
          <w:u w:color="000000"/>
          <w:bdr w:val="nil"/>
        </w:rPr>
        <w:tab/>
        <w:t>Základní práva</w:t>
      </w:r>
    </w:p>
    <w:p>
      <w:pPr>
        <w:pBdr>
          <w:top w:val="nil"/>
          <w:left w:val="nil"/>
          <w:bottom w:val="nil"/>
          <w:right w:val="nil"/>
          <w:between w:val="nil"/>
          <w:bar w:val="nil"/>
        </w:pBdr>
        <w:spacing w:before="0" w:after="240"/>
        <w:rPr>
          <w:noProof/>
        </w:rPr>
      </w:pPr>
      <w:r>
        <w:rPr>
          <w:noProof/>
        </w:rPr>
        <w:t>Návrh nemá žádné dopady na ochranu základních práv.</w:t>
      </w:r>
    </w:p>
    <w:p>
      <w:pPr>
        <w:pStyle w:val="ManualHeading1"/>
        <w:rPr>
          <w:noProof/>
        </w:rPr>
      </w:pPr>
      <w:r>
        <w:rPr>
          <w:noProof/>
        </w:rPr>
        <w:t>4.</w:t>
      </w:r>
      <w:r>
        <w:rPr>
          <w:noProof/>
        </w:rPr>
        <w:tab/>
        <w:t>ROZPOČTOVÉ DŮSLEDKY</w:t>
      </w:r>
    </w:p>
    <w:p>
      <w:pPr>
        <w:spacing w:before="0" w:after="240"/>
        <w:rPr>
          <w:noProof/>
        </w:rPr>
      </w:pPr>
      <w:r>
        <w:rPr>
          <w:noProof/>
        </w:rPr>
        <w:t xml:space="preserve">Návrh nebude mít negativní dopad na rozpočet EU, protože Lucembursko provede výpočet náhrady v souladu s článkem 6 nařízení Rady (EHS, Euratom) č. 1553/89.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2019/0271 (NLE)</w:t>
      </w:r>
    </w:p>
    <w:p>
      <w:pPr>
        <w:pStyle w:val="Statut"/>
        <w:rPr>
          <w:noProof/>
        </w:rPr>
      </w:pPr>
      <w:r>
        <w:rPr>
          <w:noProof/>
        </w:rPr>
        <w:t>Návrh</w:t>
      </w:r>
    </w:p>
    <w:p>
      <w:pPr>
        <w:pStyle w:val="Typedudocument"/>
        <w:rPr>
          <w:noProof/>
        </w:rPr>
      </w:pPr>
      <w:r>
        <w:rPr>
          <w:noProof/>
        </w:rPr>
        <w:t>PROVÁDĚCÍ ROZHODNUTÍ RADY,</w:t>
      </w:r>
    </w:p>
    <w:p>
      <w:pPr>
        <w:pStyle w:val="Titreobjet"/>
        <w:rPr>
          <w:noProof/>
        </w:rPr>
      </w:pPr>
      <w:r>
        <w:rPr>
          <w:noProof/>
        </w:rPr>
        <w:t>kterým se mění prováděcí rozhodnutí 2013/677/EU, kterým se Lucembursku povoluje zavést zvláštní opatření odchylující se od článku 285 směrnice 2006/112/ES o společném systému daně z přidané hodnoty</w:t>
      </w:r>
    </w:p>
    <w:p>
      <w:pPr>
        <w:pStyle w:val="Institutionquiagit"/>
        <w:rPr>
          <w:noProof/>
        </w:rPr>
      </w:pPr>
      <w:r>
        <w:rPr>
          <w:noProof/>
        </w:rPr>
        <w:t>RADA EVROPSKÉ UNIE,</w:t>
      </w:r>
    </w:p>
    <w:p>
      <w:pPr>
        <w:rPr>
          <w:noProof/>
        </w:rPr>
      </w:pPr>
      <w:r>
        <w:rPr>
          <w:noProof/>
        </w:rPr>
        <w:t xml:space="preserve">s ohledem na Smlouvu o fungování Evropské unie, </w:t>
      </w:r>
    </w:p>
    <w:p>
      <w:pPr>
        <w:rPr>
          <w:noProof/>
        </w:rPr>
      </w:pPr>
      <w:r>
        <w:rPr>
          <w:noProof/>
        </w:rPr>
        <w:t>s ohledem na směrnici Rady 2006/112/ES ze dne 28. listopadu 2006 o společném systému daně z přidané hodnoty</w:t>
      </w:r>
      <w:r>
        <w:rPr>
          <w:rStyle w:val="FootnoteReference"/>
          <w:noProof/>
        </w:rPr>
        <w:footnoteReference w:id="22"/>
      </w:r>
      <w:r>
        <w:rPr>
          <w:noProof/>
        </w:rPr>
        <w:t>, a zejména na čl. 395 odst. 1 první pododstavec uvedené směrnice,</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Podle článku 285 směrnice 2006/112/ES mohou členské státy, jež nevyužily možnost stanovenou v článku 14 druhé směrnice Rady 67/228/EHS</w:t>
      </w:r>
      <w:r>
        <w:rPr>
          <w:rStyle w:val="FootnoteReference"/>
          <w:noProof/>
        </w:rPr>
        <w:footnoteReference w:id="23"/>
      </w:r>
      <w:r>
        <w:rPr>
          <w:noProof/>
        </w:rPr>
        <w:t>, osvobodit od daně z přidané hodnoty (DPH) osoby povinné k dani, jejichž roční obrat je nejvýše roven částce 5 000 EUR nebo ekvivalentu této částky v národní měně.</w:t>
      </w:r>
    </w:p>
    <w:p>
      <w:pPr>
        <w:pStyle w:val="ManualConsidrant"/>
        <w:rPr>
          <w:noProof/>
        </w:rPr>
      </w:pPr>
      <w:r>
        <w:t>(2)</w:t>
      </w:r>
      <w:r>
        <w:tab/>
      </w:r>
      <w:r>
        <w:rPr>
          <w:noProof/>
        </w:rPr>
        <w:t>Prováděcím rozhodnutím Rady 2013/677/EU</w:t>
      </w:r>
      <w:r>
        <w:rPr>
          <w:rStyle w:val="FootnoteReference"/>
          <w:noProof/>
        </w:rPr>
        <w:footnoteReference w:id="24"/>
      </w:r>
      <w:r>
        <w:rPr>
          <w:noProof/>
        </w:rPr>
        <w:t xml:space="preserve"> bylo Lucembursku povoleno uplatňovat zvláštní opatření odchylující se od článku 285 směrnice 2006/112/ES (dále jen „odchylující se opatření“), jež umožňuje osvobodit od DPH osoby povinné k dani, jejichž roční obrat nepřesahuje 25 000 EUR. Odchylující se opatření bylo povoleno do 31. prosince 2016.</w:t>
      </w:r>
    </w:p>
    <w:p>
      <w:pPr>
        <w:pStyle w:val="ManualConsidrant"/>
        <w:rPr>
          <w:noProof/>
        </w:rPr>
      </w:pPr>
      <w:r>
        <w:t>(3)</w:t>
      </w:r>
      <w:r>
        <w:tab/>
      </w:r>
      <w:r>
        <w:rPr>
          <w:noProof/>
        </w:rPr>
        <w:t>Prováděcí rozhodnutí 2013/677/EU bylo změněno prováděcím rozhodnutím Rady (EU) 2017/319</w:t>
      </w:r>
      <w:r>
        <w:rPr>
          <w:rStyle w:val="FootnoteReference"/>
          <w:noProof/>
        </w:rPr>
        <w:footnoteReference w:id="25"/>
      </w:r>
      <w:r>
        <w:rPr>
          <w:noProof/>
        </w:rPr>
        <w:t>, aby Lucembursko mohlo osvobodit od DPH osoby povinné k dani, jejichž roční obrat nepřesahuje 30 000 EUR. Toto rozhodnutí je použitelné do 31. prosince 2019, nebo do dne, kdy vstoupí v platnost směrnice, kterou se mění články 281 až 294 směrnice 2006/112/ES týkající se zvláštního režimu pro malé podniky, podle toho, co nastane dříve. Návrh</w:t>
      </w:r>
      <w:r>
        <w:rPr>
          <w:rStyle w:val="FootnoteReference"/>
          <w:noProof/>
        </w:rPr>
        <w:footnoteReference w:id="26"/>
      </w:r>
      <w:r>
        <w:rPr>
          <w:noProof/>
        </w:rPr>
        <w:t xml:space="preserve"> této směrnice byl předložen v roce 2018, dosud však nebyl přijat.</w:t>
      </w:r>
    </w:p>
    <w:p>
      <w:pPr>
        <w:pStyle w:val="ManualConsidrant"/>
        <w:rPr>
          <w:noProof/>
        </w:rPr>
      </w:pPr>
      <w:r>
        <w:lastRenderedPageBreak/>
        <w:t>(4)</w:t>
      </w:r>
      <w:r>
        <w:tab/>
      </w:r>
      <w:r>
        <w:rPr>
          <w:noProof/>
        </w:rPr>
        <w:t>Dopisem, který Komise zaevidovala dne 2. května 2019, požádalo Lucembursko o povolení nadále uplatňovat odchylující se opatření i po 31. prosinci 2019 a zároveň zvýšit prahovou hodnotu z 30 000 EUR na 35 000 EUR.</w:t>
      </w:r>
    </w:p>
    <w:p>
      <w:pPr>
        <w:pStyle w:val="ManualConsidrant"/>
        <w:rPr>
          <w:noProof/>
        </w:rPr>
      </w:pPr>
      <w:r>
        <w:t>(5)</w:t>
      </w:r>
      <w:r>
        <w:tab/>
      </w:r>
      <w:r>
        <w:rPr>
          <w:noProof/>
        </w:rPr>
        <w:t xml:space="preserve">V souladu s čl. 395 odst. 2 druhým pododstavcem směrnice 2006/112/ES informovala Komise dopisem ze dne 21. června 2019 o žádosti Lucemburska ostatní členské státy. Dopisem ze dne 24. června 2019 uvědomila Komise Lucembursko, že má k dispozici všechny údaje potřebné k posouzení žádosti. </w:t>
      </w:r>
    </w:p>
    <w:p>
      <w:pPr>
        <w:pStyle w:val="ManualConsidrant"/>
        <w:rPr>
          <w:noProof/>
        </w:rPr>
      </w:pPr>
      <w:r>
        <w:t>(6)</w:t>
      </w:r>
      <w:r>
        <w:tab/>
      </w:r>
      <w:r>
        <w:rPr>
          <w:noProof/>
        </w:rPr>
        <w:t>Z informací poskytnutých Lucemburskem se zdá, že důvody pro odchylující se opatření zůstávají v podstatě nezměněny. Odchylující se opatření snižuje administrativní zátěž a náklady na dodržování předpisů jak pro malé podniky, tak pro daňové orgány, a proto pomáhá zjednodušit postup výběru DPH. Lucembursko odhaduje, že zvýšení prahové hodnoty na 35 000 EUR by se mohlo dotknout 1 106 osob povinných k dani, což odpovídá 1,5 % osob povinných k dani, které byly v roce 2017 v Lucembursku registrovány pro účely DPH. Takové zvýšení prahové hodnoty by tedy dále snížilo administrativní zátěž a náklady na dodržování předpisů a pomohlo by ještě více zjednodušit postup výběru daně.</w:t>
      </w:r>
    </w:p>
    <w:p>
      <w:pPr>
        <w:pStyle w:val="ManualConsidrant"/>
        <w:rPr>
          <w:noProof/>
        </w:rPr>
      </w:pPr>
      <w:r>
        <w:t>(7)</w:t>
      </w:r>
      <w:r>
        <w:tab/>
      </w:r>
      <w:r>
        <w:rPr>
          <w:noProof/>
        </w:rPr>
        <w:t xml:space="preserve">Odchylující se opatření je a nadále zůstane pro osoby povinné k dani dobrovolné. Osoby povinné k dani si budou moci stále zvolit běžný režim DPH v souladu s článkem 290 směrnice 2006/112/ES. </w:t>
      </w:r>
    </w:p>
    <w:p>
      <w:pPr>
        <w:pStyle w:val="ManualConsidrant"/>
        <w:rPr>
          <w:noProof/>
        </w:rPr>
      </w:pPr>
      <w:r>
        <w:t>(8)</w:t>
      </w:r>
      <w:r>
        <w:tab/>
      </w:r>
      <w:r>
        <w:rPr>
          <w:noProof/>
        </w:rPr>
        <w:t>Podle informací poskytnutých Lucemburskem bude mít odchylující se opatření se zvýšenou prahovou hodnotou pouze zanedbatelný vliv na celkovou výši daňových příjmů Lucemburska vybranou na stupni konečné spotřeby.</w:t>
      </w:r>
    </w:p>
    <w:p>
      <w:pPr>
        <w:pStyle w:val="ManualConsidrant"/>
        <w:rPr>
          <w:noProof/>
        </w:rPr>
      </w:pPr>
      <w:r>
        <w:t>(9)</w:t>
      </w:r>
      <w:r>
        <w:tab/>
      </w:r>
      <w:r>
        <w:rPr>
          <w:noProof/>
        </w:rPr>
        <w:t>Odchylující se opatření se zvýšenou prahovou hodnotou nebude mít nepříznivý dopad na vlastní zdroje Unie pocházející z DPH, neboť Lucembursko provede v souladu s článkem 6 nařízení Rady (EHS, Euratom) č. 1553/89</w:t>
      </w:r>
      <w:r>
        <w:rPr>
          <w:rStyle w:val="FootnoteReference"/>
          <w:noProof/>
        </w:rPr>
        <w:footnoteReference w:id="27"/>
      </w:r>
      <w:r>
        <w:rPr>
          <w:noProof/>
        </w:rPr>
        <w:t xml:space="preserve"> výpočet náhrady.</w:t>
      </w:r>
    </w:p>
    <w:p>
      <w:pPr>
        <w:pStyle w:val="ManualConsidrant"/>
        <w:rPr>
          <w:noProof/>
        </w:rPr>
      </w:pPr>
      <w:r>
        <w:t>(10)</w:t>
      </w:r>
      <w:r>
        <w:tab/>
      </w:r>
      <w:r>
        <w:rPr>
          <w:noProof/>
        </w:rPr>
        <w:t xml:space="preserve">Vzhledem k potenciálnímu pozitivnímu dopadu odchylujícího se opatření na snížení administrativní zátěže a nákladů na dodržování předpisů pro malé podniky i daňové orgány a vzhledem k tomu, že opatření nebude mít žádný významný dopad na celkové příjmy z DPH, by mělo být Lucembursku povoleno nadále uplatňovat odchylující se opatření i po další období, v němž bude prahová hodnota zvýšena na 35 000 EUR. </w:t>
      </w:r>
    </w:p>
    <w:p>
      <w:pPr>
        <w:pStyle w:val="ManualConsidrant"/>
        <w:rPr>
          <w:noProof/>
        </w:rPr>
      </w:pPr>
      <w:r>
        <w:t>(11)</w:t>
      </w:r>
      <w:r>
        <w:tab/>
      </w:r>
      <w:r>
        <w:rPr>
          <w:noProof/>
        </w:rPr>
        <w:t>Prodloužení povolení uplatňovat odchylující se opatření by mělo být časově omezeno. Lhůta by měla být dostatečně dlouhá, aby bylo možné posoudit účinnost a přiměřenost prahové hodnoty. Je proto vhodné Lucembursku povolit, aby nadále uplatňovalo odchylující se opatření do 31. prosince 2022. Bude-li však přijat návrh směrnice uvedený v 3. bodě odůvodnění a bude-li den, od kterého se mají začít používat vnitrostátní předpisy nezbytné pro dosažení souladu s uvedenou směrnicí, předcházet dni 31. prosince 2022, mělo by povolení pozbýt platnosti, jakmile se příslušné vnitrostátní předpisy stanou použitelnými.</w:t>
      </w:r>
    </w:p>
    <w:p>
      <w:pPr>
        <w:pStyle w:val="ManualConsidrant"/>
        <w:rPr>
          <w:noProof/>
        </w:rPr>
      </w:pPr>
      <w:r>
        <w:t>(12)</w:t>
      </w:r>
      <w:r>
        <w:tab/>
      </w:r>
      <w:r>
        <w:rPr>
          <w:noProof/>
        </w:rPr>
        <w:t>Prováděcí rozhodnutí 2013/677/EU by proto mělo být odpovídajícím způsobem změněno,</w:t>
      </w:r>
    </w:p>
    <w:p>
      <w:pPr>
        <w:pStyle w:val="Formuledadoption"/>
        <w:rPr>
          <w:noProof/>
        </w:rPr>
      </w:pPr>
      <w:r>
        <w:rPr>
          <w:noProof/>
        </w:rPr>
        <w:lastRenderedPageBreak/>
        <w:t xml:space="preserve">PŘIJALA TOTO ROZHODNUTÍ: </w:t>
      </w:r>
    </w:p>
    <w:p>
      <w:pPr>
        <w:pStyle w:val="Titrearticle"/>
        <w:rPr>
          <w:noProof/>
        </w:rPr>
      </w:pPr>
      <w:r>
        <w:rPr>
          <w:noProof/>
        </w:rPr>
        <w:t>Článek 1</w:t>
      </w:r>
    </w:p>
    <w:p>
      <w:pPr>
        <w:rPr>
          <w:noProof/>
        </w:rPr>
      </w:pPr>
      <w:r>
        <w:rPr>
          <w:noProof/>
        </w:rPr>
        <w:t>Články 1 a 2 prováděcího rozhodnutí 2013/677/EU se nahrazují tímto:</w:t>
      </w:r>
    </w:p>
    <w:p>
      <w:pPr>
        <w:pStyle w:val="Titrearticle"/>
        <w:rPr>
          <w:noProof/>
        </w:rPr>
      </w:pPr>
      <w:r>
        <w:rPr>
          <w:noProof/>
        </w:rPr>
        <w:t>„Článek 1</w:t>
      </w:r>
    </w:p>
    <w:p>
      <w:pPr>
        <w:rPr>
          <w:noProof/>
        </w:rPr>
      </w:pPr>
      <w:r>
        <w:rPr>
          <w:noProof/>
        </w:rPr>
        <w:t>Odchylně od článku 285 směrnice 2006/112/ES se Lucembursku povoluje osvobodit od DPH osoby povinné k dani, jejichž roční obrat nepřesahuje 35 000 EUR.</w:t>
      </w:r>
    </w:p>
    <w:p>
      <w:pPr>
        <w:pStyle w:val="Titrearticle"/>
        <w:rPr>
          <w:noProof/>
        </w:rPr>
      </w:pPr>
      <w:r>
        <w:rPr>
          <w:noProof/>
        </w:rPr>
        <w:t>Článek 2</w:t>
      </w:r>
    </w:p>
    <w:p>
      <w:pPr>
        <w:rPr>
          <w:noProof/>
        </w:rPr>
      </w:pPr>
      <w:r>
        <w:rPr>
          <w:noProof/>
        </w:rPr>
        <w:t>Toto rozhodnutí se použije do dne, který nastane dříve:</w:t>
      </w:r>
    </w:p>
    <w:p>
      <w:pPr>
        <w:pStyle w:val="Point0"/>
        <w:rPr>
          <w:noProof/>
        </w:rPr>
      </w:pPr>
      <w:r>
        <w:rPr>
          <w:noProof/>
        </w:rPr>
        <w:t>a)</w:t>
      </w:r>
      <w:r>
        <w:rPr>
          <w:noProof/>
        </w:rPr>
        <w:tab/>
        <w:t>31. prosince 2022;</w:t>
      </w:r>
    </w:p>
    <w:p>
      <w:pPr>
        <w:pStyle w:val="ListParagraph"/>
        <w:rPr>
          <w:noProof/>
        </w:rPr>
      </w:pPr>
    </w:p>
    <w:p>
      <w:pPr>
        <w:pStyle w:val="Point0"/>
        <w:rPr>
          <w:noProof/>
        </w:rPr>
      </w:pPr>
      <w:r>
        <w:rPr>
          <w:noProof/>
        </w:rPr>
        <w:t>b)</w:t>
      </w:r>
      <w:r>
        <w:rPr>
          <w:noProof/>
        </w:rPr>
        <w:tab/>
        <w:t>dne, od kterého mají členské státy používat vnitrostátní předpisy, jež musí přijmout v případě přijetí směrnice, kterou se mění články 281 až 294 směrnice 2006/112/ES týkající se zvláštního režimu pro malé podniky.“.</w:t>
      </w:r>
    </w:p>
    <w:p>
      <w:pPr>
        <w:pStyle w:val="Titrearticle"/>
        <w:rPr>
          <w:noProof/>
        </w:rPr>
      </w:pPr>
      <w:r>
        <w:rPr>
          <w:noProof/>
        </w:rPr>
        <w:t>Článek 2</w:t>
      </w:r>
    </w:p>
    <w:p>
      <w:pPr>
        <w:rPr>
          <w:noProof/>
        </w:rPr>
      </w:pPr>
      <w:r>
        <w:rPr>
          <w:noProof/>
        </w:rPr>
        <w:t>Toto rozhodnutí se použije od 1. ledna 2020.</w:t>
      </w:r>
    </w:p>
    <w:p>
      <w:pPr>
        <w:pStyle w:val="Titrearticle"/>
        <w:rPr>
          <w:noProof/>
        </w:rPr>
      </w:pPr>
      <w:r>
        <w:rPr>
          <w:noProof/>
        </w:rPr>
        <w:t>Článek 3</w:t>
      </w:r>
    </w:p>
    <w:p>
      <w:pPr>
        <w:keepNext/>
        <w:keepLines/>
        <w:rPr>
          <w:noProof/>
          <w:color w:val="000000"/>
        </w:rPr>
      </w:pPr>
      <w:r>
        <w:rPr>
          <w:noProof/>
        </w:rPr>
        <w:t>Toto rozhodnutí je určeno Lucemburskému velkovévodství.</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Úř. věst. L 347, 11.12.2006, s. 1.</w:t>
      </w:r>
    </w:p>
  </w:footnote>
  <w:footnote w:id="2">
    <w:p>
      <w:pPr>
        <w:pStyle w:val="FootnoteText"/>
      </w:pPr>
      <w:r>
        <w:rPr>
          <w:rStyle w:val="FootnoteReference"/>
        </w:rPr>
        <w:footnoteRef/>
      </w:r>
      <w:r>
        <w:tab/>
        <w:t>Druhá směrnice Rady 67/228/EHS ze dne 11. dubna 1967 o harmonizaci právních předpisů členských států týkajících se daní z obratu – Struktura a způsoby použití společného systému daně z přidané hodnoty (Úř. věst. 71, 14.4.1967, s. 1303/67).</w:t>
      </w:r>
    </w:p>
  </w:footnote>
  <w:footnote w:id="3">
    <w:p>
      <w:pPr>
        <w:pStyle w:val="FootnoteText"/>
        <w:rPr>
          <w:i/>
        </w:rPr>
      </w:pPr>
      <w:r>
        <w:rPr>
          <w:rStyle w:val="FootnoteReference"/>
        </w:rPr>
        <w:footnoteRef/>
      </w:r>
      <w:r>
        <w:tab/>
        <w:t>Šestá směrnice Rady 77/388/EHS ze dne 17. května 1977 o harmonizaci právních předpisů členských států týkajících se daní z obratu – Společný systém daně z přidané hodnoty: jednotný základ daně (Úř. věst. L 145, 13.6.1977, s. 1).</w:t>
      </w:r>
    </w:p>
  </w:footnote>
  <w:footnote w:id="4">
    <w:p>
      <w:pPr>
        <w:pStyle w:val="FootnoteText"/>
      </w:pPr>
      <w:r>
        <w:rPr>
          <w:rStyle w:val="FootnoteReference"/>
        </w:rPr>
        <w:footnoteRef/>
      </w:r>
      <w:r>
        <w:tab/>
        <w:t>Prováděcí rozhodnutí Rady 2013/677/EU ze dne 15. listopadu 2013, kterým se Lucembursku povoluje zavést zvláštní opatření odchylující se od článku 285 směrnice 2006/112/ES o společném systému daně z přidané hodnoty (Úř. věst. L 316, 27.11.2013, s. 33).</w:t>
      </w:r>
    </w:p>
  </w:footnote>
  <w:footnote w:id="5">
    <w:p>
      <w:pPr>
        <w:pStyle w:val="FootnoteText"/>
      </w:pPr>
      <w:r>
        <w:rPr>
          <w:rStyle w:val="FootnoteReference"/>
        </w:rPr>
        <w:footnoteRef/>
      </w:r>
      <w:r>
        <w:tab/>
        <w:t>Prováděcí rozhodnutí Rady (EU) 2017/319 ze dne 21. února 2017, kterým se mění prováděcí rozhodnutí 2013/677/EU, kterým se Lucembursku povoluje zavést zvláštní opatření odchylující se od článku 285 směrnice 2006/112/ES o společném systému daně z přidané hodnoty (Úř. věst. L 47, 24.2.2017, s. 7).</w:t>
      </w:r>
    </w:p>
  </w:footnote>
  <w:footnote w:id="6">
    <w:p>
      <w:pPr>
        <w:pStyle w:val="FootnoteText"/>
      </w:pPr>
      <w:r>
        <w:rPr>
          <w:rStyle w:val="FootnoteReference"/>
        </w:rPr>
        <w:footnoteRef/>
      </w:r>
      <w:r>
        <w:tab/>
        <w:t>Návrh směrnice Rady, kterou se mění směrnice 2006/112/ES o společném systému daně z přidané hodnoty, pokud jde o zvláštní režim pro malé podniky, COM(2018) 21 final.</w:t>
      </w:r>
    </w:p>
  </w:footnote>
  <w:footnote w:id="7">
    <w:p>
      <w:pPr>
        <w:pStyle w:val="FootnoteText"/>
      </w:pPr>
      <w:r>
        <w:rPr>
          <w:rStyle w:val="FootnoteReference"/>
        </w:rPr>
        <w:footnoteRef/>
      </w:r>
      <w:r>
        <w:tab/>
        <w:t>Prováděcí rozhodnutí Rady (EU) 2018/279 ze dne 20. února 2018, kterým se Maltě povoluje uplatňovat zvláštní opatření odchylující se od článku 287 směrnice 2006/112/ES o společném systému daně z přidané hodnoty (Úř. věst. L 54, 24.2.2018, s. 14).</w:t>
      </w:r>
    </w:p>
  </w:footnote>
  <w:footnote w:id="8">
    <w:p>
      <w:pPr>
        <w:pStyle w:val="FootnoteText"/>
      </w:pPr>
      <w:r>
        <w:rPr>
          <w:rStyle w:val="FootnoteReference"/>
        </w:rPr>
        <w:footnoteRef/>
      </w:r>
      <w:r>
        <w:tab/>
        <w:t>Prováděcí rozhodnutí Rady (EU) 2018/1904 ze dne 4. prosince 2018, kterým se Nizozemsku povoluje zavést zvláštní opatření odchylující se od článku 285 směrnice 2006/112/ES o společném systému daně z přidané hodnoty (Úř. věst. L 310, 6.12.2018, s. 25).</w:t>
      </w:r>
    </w:p>
  </w:footnote>
  <w:footnote w:id="9">
    <w:p>
      <w:pPr>
        <w:pStyle w:val="FootnoteText"/>
      </w:pPr>
      <w:r>
        <w:rPr>
          <w:rStyle w:val="FootnoteReference"/>
        </w:rPr>
        <w:footnoteRef/>
      </w:r>
      <w:r>
        <w:tab/>
        <w:t>Prováděcí rozhodnutí Rady (EU) 2018/1919 ze dne 4. prosince 2018, kterým se mění rozhodnutí 2009/790/ES, kterým se Polské republice povoluje použít opatření odchylující se od článku 287 směrnice 2006/112/ES o společném systému daně z přidané hodnoty (Úř. věst. L 311, 7.12.2018, s. 32).</w:t>
      </w:r>
    </w:p>
  </w:footnote>
  <w:footnote w:id="10">
    <w:p>
      <w:pPr>
        <w:pStyle w:val="FootnoteText"/>
      </w:pPr>
      <w:r>
        <w:rPr>
          <w:rStyle w:val="FootnoteReference"/>
        </w:rPr>
        <w:footnoteRef/>
      </w:r>
      <w:r>
        <w:tab/>
        <w:t>Prováděcí rozhodnutí Rady (EU) 2017/563 ze dne 21. března 2017, kterým se Estonské republice povoluje použít zvláštní opatření odchylující se od článku 287 směrnice 2006/112/ES o společném systému daně z přidané hodnoty (Úř. věst. L 80, 25.3.2017, s. 33).</w:t>
      </w:r>
    </w:p>
  </w:footnote>
  <w:footnote w:id="11">
    <w:p>
      <w:pPr>
        <w:pStyle w:val="FootnoteText"/>
      </w:pPr>
      <w:r>
        <w:rPr>
          <w:rStyle w:val="FootnoteReference"/>
        </w:rPr>
        <w:footnoteRef/>
      </w:r>
      <w:r>
        <w:tab/>
        <w:t>Prováděcí rozhodnutí Rady (EU) 2017/2408 ze dne 18. prosince 2017, kterým se Lotyšské republice povoluje uplatňovat zvláštní opatření odchylující se od článku 287 směrnice 2006/112/ES o společném systému daně z přidané hodnoty (Úř. věst. L 342, 21.12.2017, s. 8).</w:t>
      </w:r>
    </w:p>
  </w:footnote>
  <w:footnote w:id="12">
    <w:p>
      <w:pPr>
        <w:pStyle w:val="FootnoteText"/>
      </w:pPr>
      <w:r>
        <w:rPr>
          <w:rStyle w:val="FootnoteReference"/>
        </w:rPr>
        <w:footnoteRef/>
      </w:r>
      <w:r>
        <w:tab/>
        <w:t>Prováděcí rozhodnutí Rady (EU) 2017/1768 ze dne 25. září 2017, kterým se Chorvatské republice povoluje zavést zvláštní opatření odchylující se od článku 287 směrnice 2006/112/ES o společném systému daně z přidané hodnoty (Úř. věst. L 250, 28.9.2017, s. 71).</w:t>
      </w:r>
    </w:p>
  </w:footnote>
  <w:footnote w:id="13">
    <w:p>
      <w:pPr>
        <w:pStyle w:val="FootnoteText"/>
      </w:pPr>
      <w:r>
        <w:rPr>
          <w:rStyle w:val="FootnoteReference"/>
        </w:rPr>
        <w:footnoteRef/>
      </w:r>
      <w:r>
        <w:tab/>
        <w:t>Prováděcí rozhodnutí Rady (EU) 2017/1853 ze dne 10. října 2017, kterým se mění prováděcí rozhodnutí 2011/335/EU, kterým se Litevské republice povoluje použít opatření odchylující se od článku 287 směrnice 2006/112/ES o společném systému daně z přidané hodnoty (Úř. věst. L 265, 14.10.2017, s. 15).</w:t>
      </w:r>
    </w:p>
  </w:footnote>
  <w:footnote w:id="14">
    <w:p>
      <w:pPr>
        <w:pStyle w:val="FootnoteText"/>
      </w:pPr>
      <w:r>
        <w:rPr>
          <w:rStyle w:val="FootnoteReference"/>
        </w:rPr>
        <w:footnoteRef/>
      </w:r>
      <w:r>
        <w:tab/>
        <w:t>Prováděcí rozhodnutí Rady (EU) 2018/1700 ze dne 6. listopadu 2018, kterým se mění prováděcí rozhodnutí 2013/54/EU, kterým se Republice Slovinsko povoluje zavést zvláštní opatření odchylující se od článku 287 směrnice 2006/112/ES o společném systému daně z přidané hodnoty (Úř. věst. L 285, 13.11.2018, s. 78).</w:t>
      </w:r>
    </w:p>
  </w:footnote>
  <w:footnote w:id="15">
    <w:p>
      <w:pPr>
        <w:pStyle w:val="FootnoteText"/>
      </w:pPr>
      <w:r>
        <w:rPr>
          <w:rStyle w:val="FootnoteReference"/>
        </w:rPr>
        <w:footnoteRef/>
      </w:r>
      <w:r>
        <w:tab/>
        <w:t>Prováděcí rozhodnutí Rady (EU) 2016/1988 ze dne 8. listopadu 2016 o změně prováděcího rozhodnutí 2013/678/EU, kterým se Italské republice povoluje dále uplatňovat zvláštní opatření odchylující se od článku 285 směrnice 2006/112/ES o společném systému daně z přidané hodnoty (Úř. věst. L 306, 15.11.2016, s. 11).</w:t>
      </w:r>
    </w:p>
  </w:footnote>
  <w:footnote w:id="16">
    <w:p>
      <w:pPr>
        <w:pStyle w:val="FootnoteText"/>
      </w:pPr>
      <w:r>
        <w:rPr>
          <w:rStyle w:val="FootnoteReference"/>
        </w:rPr>
        <w:footnoteRef/>
      </w:r>
      <w:r>
        <w:tab/>
        <w:t>Prováděcí rozhodnutí Rady (EU) 2017/1855 ze dne 10. října 2017, kterým se Rumunsku povoluje uplatňovat zvláštní opatření odchylující se od článku 287 směrnice 2006/112/ES o společném systému daně z přidané hodnoty (Úř. věst. L 265, 14.10.2017, s. 19).</w:t>
      </w:r>
    </w:p>
  </w:footnote>
  <w:footnote w:id="17">
    <w:p>
      <w:pPr>
        <w:pStyle w:val="FootnoteText"/>
      </w:pPr>
      <w:r>
        <w:rPr>
          <w:rStyle w:val="FootnoteReference"/>
        </w:rPr>
        <w:footnoteRef/>
      </w:r>
      <w:r>
        <w:tab/>
        <w:t>Sdělení Komise Evropskému parlamentu, Radě a Evropskému hospodářskému a sociálnímu výboru o akčním plánu v oblasti DPH – Směrem k jednotné oblasti DPH v EU – Čas přijmout rozhodnutí (COM(2016) 148 final).</w:t>
      </w:r>
    </w:p>
  </w:footnote>
  <w:footnote w:id="18">
    <w:p>
      <w:pPr>
        <w:pStyle w:val="FootnoteText"/>
      </w:pPr>
      <w:r>
        <w:rPr>
          <w:rStyle w:val="FootnoteReference"/>
        </w:rPr>
        <w:footnoteRef/>
      </w:r>
      <w:r>
        <w:tab/>
        <w:t xml:space="preserve">Sdělení Komise Evropskému parlamentu, Radě, Evropskému hospodářskému a sociálnímu výboru a Výboru regionů – Pracovní program Komise na rok 2017 (COM(2016) 710 final). </w:t>
      </w:r>
    </w:p>
  </w:footnote>
  <w:footnote w:id="19">
    <w:p>
      <w:pPr>
        <w:pStyle w:val="FootnoteText"/>
      </w:pPr>
      <w:r>
        <w:rPr>
          <w:rStyle w:val="FootnoteReference"/>
        </w:rPr>
        <w:footnoteRef/>
      </w:r>
      <w:r>
        <w:tab/>
        <w:t>Sdělení Komise Evropskému parlamentu, Radě, Evropskému hospodářskému a sociálnímu výboru a Výboru regionů – Zlepšování jednotného trhu: více příležitostí pro lidi a podniky, (COM(2015) 550 final).</w:t>
      </w:r>
    </w:p>
  </w:footnote>
  <w:footnote w:id="20">
    <w:p>
      <w:pPr>
        <w:pStyle w:val="FootnoteText"/>
      </w:pPr>
      <w:r>
        <w:rPr>
          <w:rStyle w:val="FootnoteReference"/>
        </w:rPr>
        <w:footnoteRef/>
      </w:r>
      <w:r>
        <w:tab/>
        <w:t>Sdělení Komise Evropskému parlamentu, Radě, Evropskému hospodářskému a sociálnímu výboru a Výboru regionů – Budoucí evropští lídři: Iniciativa pro začínající a rychle se rozvíjející podniky (COM(2016) 733 final).</w:t>
      </w:r>
    </w:p>
  </w:footnote>
  <w:footnote w:id="21">
    <w:p>
      <w:pPr>
        <w:pStyle w:val="FootnoteText"/>
      </w:pPr>
      <w:r>
        <w:rPr>
          <w:rStyle w:val="FootnoteReference"/>
        </w:rPr>
        <w:footnoteRef/>
      </w:r>
      <w:r>
        <w:tab/>
        <w:t xml:space="preserve">Sdělení Komise Radě, Evropskému parlamentu, Evropskému hospodářskému a sociálnímu výboru a Výboru regionů – „Zelenou malým a středním podnikům.“„Small Business Act“ pro Evropu (KOM(2008) 394 v konečném znění). </w:t>
      </w:r>
    </w:p>
  </w:footnote>
  <w:footnote w:id="22">
    <w:p>
      <w:pPr>
        <w:pStyle w:val="FootnoteText"/>
      </w:pPr>
      <w:r>
        <w:rPr>
          <w:rStyle w:val="FootnoteReference"/>
        </w:rPr>
        <w:footnoteRef/>
      </w:r>
      <w:r>
        <w:tab/>
        <w:t>Úř. věst. L 347, 11.12.2006, s. 1.</w:t>
      </w:r>
    </w:p>
  </w:footnote>
  <w:footnote w:id="23">
    <w:p>
      <w:pPr>
        <w:pStyle w:val="FootnoteText"/>
      </w:pPr>
      <w:r>
        <w:rPr>
          <w:rStyle w:val="FootnoteReference"/>
        </w:rPr>
        <w:footnoteRef/>
      </w:r>
      <w:r>
        <w:tab/>
        <w:t>Druhá směrnice Rady 67/228/EHS ze dne 11. dubna 1967 o harmonizaci právních předpisů členských států týkajících se daní z obratu – Struktura a způsoby použití společného systému daně z přidané hodnoty (Úř. věst. 71, 14.4.1967, s. 1303/67).</w:t>
      </w:r>
    </w:p>
  </w:footnote>
  <w:footnote w:id="24">
    <w:p>
      <w:pPr>
        <w:pStyle w:val="FootnoteText"/>
      </w:pPr>
      <w:r>
        <w:rPr>
          <w:rStyle w:val="FootnoteReference"/>
        </w:rPr>
        <w:footnoteRef/>
      </w:r>
      <w:r>
        <w:tab/>
        <w:t>Prováděcí rozhodnutí Rady 2013/677/EU ze dne 15. listopadu 2013, kterým se Lucembursku povoluje zavést zvláštní opatření odchylující se od článku 285 směrnice 2006/112/ES o společném systému daně z přidané hodnoty (Úř. věst. L 316, 27.11.2013, s. 33).</w:t>
      </w:r>
    </w:p>
  </w:footnote>
  <w:footnote w:id="25">
    <w:p>
      <w:pPr>
        <w:pStyle w:val="FootnoteText"/>
      </w:pPr>
      <w:r>
        <w:rPr>
          <w:rStyle w:val="FootnoteReference"/>
        </w:rPr>
        <w:footnoteRef/>
      </w:r>
      <w:r>
        <w:tab/>
        <w:t>Prováděcí rozhodnutí Rady (EU) 2017/319 ze dne 21. února 2017, kterým se mění prováděcí rozhodnutí 2013/677/EU, kterým se Lucembursku povoluje zavést zvláštní opatření odchylující se od článku 285 směrnice 2006/112/ES o společném systému daně z přidané hodnoty (Úř. věst. L 47, 24.2.2017, s. 7).</w:t>
      </w:r>
    </w:p>
  </w:footnote>
  <w:footnote w:id="26">
    <w:p>
      <w:pPr>
        <w:pStyle w:val="FootnoteText"/>
      </w:pPr>
      <w:r>
        <w:rPr>
          <w:rStyle w:val="FootnoteReference"/>
        </w:rPr>
        <w:footnoteRef/>
      </w:r>
      <w:r>
        <w:tab/>
        <w:t>COM(2018) 21 final ze dne 18. ledna 2018.</w:t>
      </w:r>
    </w:p>
  </w:footnote>
  <w:footnote w:id="27">
    <w:p>
      <w:pPr>
        <w:pStyle w:val="FootnoteText"/>
      </w:pPr>
      <w:r>
        <w:rPr>
          <w:rStyle w:val="FootnoteReference"/>
        </w:rPr>
        <w:footnoteRef/>
      </w:r>
      <w:r>
        <w:tab/>
        <w:t>Nařízení Rady (EHS, Euratom) č. 1553/89 ze dne 29. května 1989 o konečné jednotné úpravě vybírání vlastních zdrojů vycházejících z daně z přidané hodnoty (Úř. věst. L 155, 7.6.1989, s.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842"/>
        </w:tabs>
        <w:ind w:left="1842"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2 10:59: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332FB2E8-5FB6-4BDA-9D3D-851AEDCAB641"/>
    <w:docVar w:name="LW_COVERPAGE_TYPE" w:val="1"/>
    <w:docVar w:name="LW_CROSSREFERENCE" w:val="&lt;UNUSED&gt;"/>
    <w:docVar w:name="LW_DocType" w:val="COM"/>
    <w:docVar w:name="LW_EMISSION" w:val="28.11.2019"/>
    <w:docVar w:name="LW_EMISSION_ISODATE" w:val="2019-11-28"/>
    <w:docVar w:name="LW_EMISSION_LOCATION" w:val="BRX"/>
    <w:docVar w:name="LW_EMISSION_PREFIX" w:val="V Bruselu dne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271"/>
    <w:docVar w:name="LW_REF.II.NEW.CP_YEAR" w:val="2019"/>
    <w:docVar w:name="LW_REF.INST.NEW" w:val="COM"/>
    <w:docVar w:name="LW_REF.INST.NEW_ADOPTED" w:val="final"/>
    <w:docVar w:name="LW_REF.INST.NEW_TEXT" w:val="(2019) 6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ým se m\u283?ní provád\u283?cí rozhodnutí 2013/677/EU, kterým se Lucembursku povoluje zavést zvlá\u353?tní opat\u345?ení odchylující se od \u269?lánku 285 sm\u283?rnice 2006/112/ES o spole\u269?ném systému dan\u283? z p\u345?idané hodnoty"/>
    <w:docVar w:name="LW_TYPE.DOC.CP" w:val="PROVÁD\u282?CÍ 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090">
      <w:bodyDiv w:val="1"/>
      <w:marLeft w:val="0"/>
      <w:marRight w:val="0"/>
      <w:marTop w:val="0"/>
      <w:marBottom w:val="0"/>
      <w:divBdr>
        <w:top w:val="none" w:sz="0" w:space="0" w:color="auto"/>
        <w:left w:val="none" w:sz="0" w:space="0" w:color="auto"/>
        <w:bottom w:val="none" w:sz="0" w:space="0" w:color="auto"/>
        <w:right w:val="none" w:sz="0" w:space="0" w:color="auto"/>
      </w:divBdr>
    </w:div>
    <w:div w:id="200825691">
      <w:bodyDiv w:val="1"/>
      <w:marLeft w:val="0"/>
      <w:marRight w:val="0"/>
      <w:marTop w:val="0"/>
      <w:marBottom w:val="0"/>
      <w:divBdr>
        <w:top w:val="none" w:sz="0" w:space="0" w:color="auto"/>
        <w:left w:val="none" w:sz="0" w:space="0" w:color="auto"/>
        <w:bottom w:val="none" w:sz="0" w:space="0" w:color="auto"/>
        <w:right w:val="none" w:sz="0" w:space="0" w:color="auto"/>
      </w:divBdr>
    </w:div>
    <w:div w:id="851410333">
      <w:bodyDiv w:val="1"/>
      <w:marLeft w:val="0"/>
      <w:marRight w:val="0"/>
      <w:marTop w:val="0"/>
      <w:marBottom w:val="0"/>
      <w:divBdr>
        <w:top w:val="none" w:sz="0" w:space="0" w:color="auto"/>
        <w:left w:val="none" w:sz="0" w:space="0" w:color="auto"/>
        <w:bottom w:val="none" w:sz="0" w:space="0" w:color="auto"/>
        <w:right w:val="none" w:sz="0" w:space="0" w:color="auto"/>
      </w:divBdr>
    </w:div>
    <w:div w:id="1208683066">
      <w:bodyDiv w:val="1"/>
      <w:marLeft w:val="0"/>
      <w:marRight w:val="0"/>
      <w:marTop w:val="0"/>
      <w:marBottom w:val="0"/>
      <w:divBdr>
        <w:top w:val="none" w:sz="0" w:space="0" w:color="auto"/>
        <w:left w:val="none" w:sz="0" w:space="0" w:color="auto"/>
        <w:bottom w:val="none" w:sz="0" w:space="0" w:color="auto"/>
        <w:right w:val="none" w:sz="0" w:space="0" w:color="auto"/>
      </w:divBdr>
    </w:div>
    <w:div w:id="1372537966">
      <w:bodyDiv w:val="1"/>
      <w:marLeft w:val="0"/>
      <w:marRight w:val="0"/>
      <w:marTop w:val="0"/>
      <w:marBottom w:val="0"/>
      <w:divBdr>
        <w:top w:val="none" w:sz="0" w:space="0" w:color="auto"/>
        <w:left w:val="none" w:sz="0" w:space="0" w:color="auto"/>
        <w:bottom w:val="none" w:sz="0" w:space="0" w:color="auto"/>
        <w:right w:val="none" w:sz="0" w:space="0" w:color="auto"/>
      </w:divBdr>
    </w:div>
    <w:div w:id="1728340801">
      <w:bodyDiv w:val="1"/>
      <w:marLeft w:val="0"/>
      <w:marRight w:val="0"/>
      <w:marTop w:val="0"/>
      <w:marBottom w:val="0"/>
      <w:divBdr>
        <w:top w:val="none" w:sz="0" w:space="0" w:color="auto"/>
        <w:left w:val="none" w:sz="0" w:space="0" w:color="auto"/>
        <w:bottom w:val="none" w:sz="0" w:space="0" w:color="auto"/>
        <w:right w:val="none" w:sz="0" w:space="0" w:color="auto"/>
      </w:divBdr>
      <w:divsChild>
        <w:div w:id="374429681">
          <w:marLeft w:val="0"/>
          <w:marRight w:val="0"/>
          <w:marTop w:val="0"/>
          <w:marBottom w:val="0"/>
          <w:divBdr>
            <w:top w:val="none" w:sz="0" w:space="0" w:color="auto"/>
            <w:left w:val="none" w:sz="0" w:space="0" w:color="auto"/>
            <w:bottom w:val="none" w:sz="0" w:space="0" w:color="auto"/>
            <w:right w:val="none" w:sz="0" w:space="0" w:color="auto"/>
          </w:divBdr>
          <w:divsChild>
            <w:div w:id="685403097">
              <w:marLeft w:val="0"/>
              <w:marRight w:val="0"/>
              <w:marTop w:val="0"/>
              <w:marBottom w:val="0"/>
              <w:divBdr>
                <w:top w:val="none" w:sz="0" w:space="0" w:color="auto"/>
                <w:left w:val="none" w:sz="0" w:space="0" w:color="auto"/>
                <w:bottom w:val="none" w:sz="0" w:space="0" w:color="auto"/>
                <w:right w:val="none" w:sz="0" w:space="0" w:color="auto"/>
              </w:divBdr>
              <w:divsChild>
                <w:div w:id="1070469656">
                  <w:marLeft w:val="0"/>
                  <w:marRight w:val="0"/>
                  <w:marTop w:val="0"/>
                  <w:marBottom w:val="0"/>
                  <w:divBdr>
                    <w:top w:val="none" w:sz="0" w:space="0" w:color="auto"/>
                    <w:left w:val="none" w:sz="0" w:space="0" w:color="auto"/>
                    <w:bottom w:val="none" w:sz="0" w:space="0" w:color="auto"/>
                    <w:right w:val="none" w:sz="0" w:space="0" w:color="auto"/>
                  </w:divBdr>
                  <w:divsChild>
                    <w:div w:id="976299249">
                      <w:marLeft w:val="-150"/>
                      <w:marRight w:val="-150"/>
                      <w:marTop w:val="0"/>
                      <w:marBottom w:val="0"/>
                      <w:divBdr>
                        <w:top w:val="none" w:sz="0" w:space="0" w:color="auto"/>
                        <w:left w:val="none" w:sz="0" w:space="0" w:color="auto"/>
                        <w:bottom w:val="none" w:sz="0" w:space="0" w:color="auto"/>
                        <w:right w:val="none" w:sz="0" w:space="0" w:color="auto"/>
                      </w:divBdr>
                      <w:divsChild>
                        <w:div w:id="1708333529">
                          <w:marLeft w:val="0"/>
                          <w:marRight w:val="0"/>
                          <w:marTop w:val="0"/>
                          <w:marBottom w:val="0"/>
                          <w:divBdr>
                            <w:top w:val="none" w:sz="0" w:space="0" w:color="auto"/>
                            <w:left w:val="none" w:sz="0" w:space="0" w:color="auto"/>
                            <w:bottom w:val="none" w:sz="0" w:space="0" w:color="auto"/>
                            <w:right w:val="none" w:sz="0" w:space="0" w:color="auto"/>
                          </w:divBdr>
                          <w:divsChild>
                            <w:div w:id="474369682">
                              <w:marLeft w:val="0"/>
                              <w:marRight w:val="0"/>
                              <w:marTop w:val="0"/>
                              <w:marBottom w:val="0"/>
                              <w:divBdr>
                                <w:top w:val="none" w:sz="0" w:space="0" w:color="auto"/>
                                <w:left w:val="none" w:sz="0" w:space="0" w:color="auto"/>
                                <w:bottom w:val="none" w:sz="0" w:space="0" w:color="auto"/>
                                <w:right w:val="none" w:sz="0" w:space="0" w:color="auto"/>
                              </w:divBdr>
                              <w:divsChild>
                                <w:div w:id="430130331">
                                  <w:marLeft w:val="0"/>
                                  <w:marRight w:val="0"/>
                                  <w:marTop w:val="0"/>
                                  <w:marBottom w:val="300"/>
                                  <w:divBdr>
                                    <w:top w:val="none" w:sz="0" w:space="0" w:color="auto"/>
                                    <w:left w:val="none" w:sz="0" w:space="0" w:color="auto"/>
                                    <w:bottom w:val="none" w:sz="0" w:space="0" w:color="auto"/>
                                    <w:right w:val="none" w:sz="0" w:space="0" w:color="auto"/>
                                  </w:divBdr>
                                  <w:divsChild>
                                    <w:div w:id="896549263">
                                      <w:marLeft w:val="0"/>
                                      <w:marRight w:val="0"/>
                                      <w:marTop w:val="0"/>
                                      <w:marBottom w:val="0"/>
                                      <w:divBdr>
                                        <w:top w:val="none" w:sz="0" w:space="0" w:color="auto"/>
                                        <w:left w:val="none" w:sz="0" w:space="0" w:color="auto"/>
                                        <w:bottom w:val="none" w:sz="0" w:space="0" w:color="auto"/>
                                        <w:right w:val="none" w:sz="0" w:space="0" w:color="auto"/>
                                      </w:divBdr>
                                      <w:divsChild>
                                        <w:div w:id="56049473">
                                          <w:marLeft w:val="0"/>
                                          <w:marRight w:val="0"/>
                                          <w:marTop w:val="0"/>
                                          <w:marBottom w:val="0"/>
                                          <w:divBdr>
                                            <w:top w:val="none" w:sz="0" w:space="0" w:color="auto"/>
                                            <w:left w:val="none" w:sz="0" w:space="0" w:color="auto"/>
                                            <w:bottom w:val="none" w:sz="0" w:space="0" w:color="auto"/>
                                            <w:right w:val="none" w:sz="0" w:space="0" w:color="auto"/>
                                          </w:divBdr>
                                          <w:divsChild>
                                            <w:div w:id="16893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CFA239-45CF-4D98-9B7D-FDA8B825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2717</Words>
  <Characters>14917</Characters>
  <Application>Microsoft Office Word</Application>
  <DocSecurity>0</DocSecurity>
  <Lines>266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2019-10-16T09:16:00Z</cp:lastPrinted>
  <dcterms:created xsi:type="dcterms:W3CDTF">2019-11-08T12:49:00Z</dcterms:created>
  <dcterms:modified xsi:type="dcterms:W3CDTF">2019-11-22T09:59:00Z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