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6BC0DA9-CF37-42BC-B60D-50046E20FAB0"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widowControl w:val="0"/>
        <w:shd w:val="clear" w:color="auto" w:fill="FFFFFF"/>
        <w:autoSpaceDE w:val="0"/>
        <w:autoSpaceDN w:val="0"/>
        <w:adjustRightInd w:val="0"/>
        <w:spacing w:before="230" w:after="0" w:line="269" w:lineRule="exact"/>
        <w:rPr>
          <w:noProof/>
        </w:rPr>
      </w:pPr>
      <w:r>
        <w:rPr>
          <w:noProof/>
        </w:rPr>
        <w:t>Vastavalt nõukogu 28. novembri 2006. aasta direktiivi 2006/112/EÜ (mis käsitleb ühist käibemaksusüsteemi)</w:t>
      </w:r>
      <w:r>
        <w:rPr>
          <w:rStyle w:val="FootnoteReference"/>
          <w:noProof/>
        </w:rPr>
        <w:footnoteReference w:id="1"/>
      </w:r>
      <w:r>
        <w:rPr>
          <w:noProof/>
        </w:rPr>
        <w:t xml:space="preserve"> (edaspidi „käibemaksudirektiiv“) artikli 395 lõikele 1 võib nõukogu komisjoni ettepaneku põhjal anda ühehäälselt igale liikmesriigile loa võtta erimeetmeid kõnealuse direktiivi sätetest erandite tegemiseks eesmärgiga lihtsustada käibemaksu kogumist või hoida ära teatavat liiki maksudest kõrvalehoidumist või maksustamise vältimist.</w:t>
      </w:r>
    </w:p>
    <w:p>
      <w:pPr>
        <w:widowControl w:val="0"/>
        <w:shd w:val="clear" w:color="auto" w:fill="FFFFFF"/>
        <w:autoSpaceDE w:val="0"/>
        <w:autoSpaceDN w:val="0"/>
        <w:adjustRightInd w:val="0"/>
        <w:spacing w:before="230" w:after="0" w:line="269" w:lineRule="exact"/>
        <w:rPr>
          <w:noProof/>
        </w:rPr>
      </w:pPr>
      <w:r>
        <w:rPr>
          <w:noProof/>
        </w:rPr>
        <w:t xml:space="preserve">Kirjas, mille komisjon registreeris 2. mail 2019, taotles Luksemburg luba jätkata käibemaksuvabastuse kohaldamist maksukohustuslaste suhtes, kelle aastakäive ei ületa teatavat summat, nagu on sätestatud käibemaksudirektiivi artiklis 285, ning suurendada seda 30 000 eurolt 35 000 eurole. </w:t>
      </w:r>
    </w:p>
    <w:p>
      <w:pPr>
        <w:widowControl w:val="0"/>
        <w:shd w:val="clear" w:color="auto" w:fill="FFFFFF"/>
        <w:autoSpaceDE w:val="0"/>
        <w:autoSpaceDN w:val="0"/>
        <w:adjustRightInd w:val="0"/>
        <w:spacing w:before="230" w:after="0" w:line="269" w:lineRule="exact"/>
        <w:rPr>
          <w:noProof/>
          <w:color w:val="008000"/>
        </w:rPr>
      </w:pPr>
      <w:r>
        <w:rPr>
          <w:noProof/>
        </w:rPr>
        <w:t>Käibemaksudirektiivi artikli 395 lõike 2 kohaselt teatas komisjon 21. juuni 2019. aasta kirjaga Luksemburgi taotlusest teistele liikmesriikidele. Komisjon teatas 24. juuni 2019. aasta kirjaga Luksemburgile, et tal on taotluse hindamiseks kogu vajalik teave.</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rPr>
          <w:noProof/>
        </w:rPr>
      </w:pPr>
      <w:r>
        <w:rPr>
          <w:noProof/>
        </w:rPr>
        <w:t xml:space="preserve">Käibemaksudirektiivi XII jaotise 1. peatükiga on liikmesriikidel lubatud kohaldada väikeettevõtjate suhtes erikorda, sealhulgas kohaldada käibemaksuvabastust selliste maksukohustuslaste suhtes, kelle aastakäive ei ületa teatavat summat. Selle maksuvabastuse alla kuuluvad maksukohustuslased ei pea oma tarnete pealt käibemaksu tasuma ning seega ei saa sisendkäibemaksu maha arvata. </w:t>
      </w:r>
    </w:p>
    <w:p>
      <w:pPr>
        <w:rPr>
          <w:noProof/>
        </w:rPr>
      </w:pPr>
      <w:r>
        <w:rPr>
          <w:noProof/>
        </w:rPr>
        <w:t>Võimalus kohaldada väikeettevõtjate suhtes spetsiaalseid käibemaksueeskirju, sealhulgas maksuvabastusi või astmelisi maksusoodustusi, kehtestati kõigepealt nõukogu direktiivi 67/228/EMÜ</w:t>
      </w:r>
      <w:r>
        <w:rPr>
          <w:rStyle w:val="FootnoteReference"/>
          <w:noProof/>
        </w:rPr>
        <w:footnoteReference w:id="2"/>
      </w:r>
      <w:r>
        <w:rPr>
          <w:noProof/>
        </w:rPr>
        <w:t xml:space="preserve"> artikliga 14. Liikmesriikidel, kes kõnealuse sättega ettenähtud võimalust siiski ei kasutanud, lubati hiljem vastavalt direktiivi 77/388/EMÜ</w:t>
      </w:r>
      <w:r>
        <w:rPr>
          <w:rStyle w:val="FootnoteReference"/>
          <w:noProof/>
        </w:rPr>
        <w:footnoteReference w:id="3"/>
      </w:r>
      <w:r>
        <w:rPr>
          <w:noProof/>
        </w:rPr>
        <w:t xml:space="preserve"> artikli 24 lõike 2 punktile b, mis on nüüdseks uuesti sõnastatud käibemaksudirektiivi artikli 285 esimeseks lõikeks, kohaldada käibemaksuvabastust üksnes selliste maksukohustuslaste suhtes, kelle aastakäive ei ületa 5 000 eurot või samaväärset summat riigi vääringus. Käibemaksudirektiivi artikli 285 teise lõigu kohaselt võivad kõnealused liikmesriigid anda astmelisi maksusoodustusi maksukohustuslastele, kelle aastakäive ületab liikmesriikide poolt maksuvabastuse kohaldamiseks kehtestatud ülemmäära. </w:t>
      </w:r>
    </w:p>
    <w:p>
      <w:pPr>
        <w:rPr>
          <w:noProof/>
        </w:rPr>
      </w:pPr>
      <w:r>
        <w:rPr>
          <w:noProof/>
        </w:rPr>
        <w:t xml:space="preserve">Kuni 2012. aasta lõpuni kohaldas Luksemburg käibemaksuvabastust maksukohustuslaste suhtes, kelle aastakäive ei ületanud 10 000 eurot. Samal ajal kasutas Luksemburg käibemaksudirektiivi artikli 285 teise lõigu kohast võimalust anda astmelisi maksusoodustusi maksukohustuslastele, kelle aastakäive on vahemikus 10 000–25 000 eurot. </w:t>
      </w:r>
    </w:p>
    <w:p>
      <w:pPr>
        <w:pBdr>
          <w:top w:val="nil"/>
          <w:left w:val="nil"/>
          <w:bottom w:val="nil"/>
          <w:right w:val="nil"/>
          <w:between w:val="nil"/>
          <w:bar w:val="nil"/>
        </w:pBdr>
        <w:spacing w:before="0" w:after="240"/>
        <w:rPr>
          <w:b/>
          <w:noProof/>
        </w:rPr>
      </w:pPr>
      <w:r>
        <w:rPr>
          <w:noProof/>
        </w:rPr>
        <w:t xml:space="preserve">Seejärel taotles Luksemburg erandit artikli 285 esimesest lõigust ja sai loa kohaldada väikeettevõtjate maksuvabastuskava raames 25 000 euro suurust käibekünnist, lõpetades samal ajal astmelise maksusoodustuse kohaldamise. Nõukogu rakendusotsusega </w:t>
      </w:r>
      <w:r>
        <w:rPr>
          <w:noProof/>
        </w:rPr>
        <w:lastRenderedPageBreak/>
        <w:t>2013/677/EL</w:t>
      </w:r>
      <w:r>
        <w:rPr>
          <w:rStyle w:val="FootnoteReference"/>
          <w:noProof/>
        </w:rPr>
        <w:footnoteReference w:id="4"/>
      </w:r>
      <w:r>
        <w:rPr>
          <w:noProof/>
        </w:rPr>
        <w:t xml:space="preserve"> lubati Luksemburgil kohaldada eespool nimetatud erandmeedet kuni 31. detsembrini 2016. </w:t>
      </w:r>
    </w:p>
    <w:p>
      <w:pPr>
        <w:pBdr>
          <w:top w:val="nil"/>
          <w:left w:val="nil"/>
          <w:bottom w:val="nil"/>
          <w:right w:val="nil"/>
          <w:between w:val="nil"/>
          <w:bar w:val="nil"/>
        </w:pBdr>
        <w:spacing w:before="0" w:after="240"/>
        <w:rPr>
          <w:noProof/>
        </w:rPr>
      </w:pPr>
      <w:r>
        <w:rPr>
          <w:noProof/>
        </w:rPr>
        <w:t>Nõukogu rakendusotsusega 2017/319/EL</w:t>
      </w:r>
      <w:r>
        <w:rPr>
          <w:rStyle w:val="FootnoteReference"/>
          <w:noProof/>
        </w:rPr>
        <w:footnoteReference w:id="5"/>
      </w:r>
      <w:r>
        <w:rPr>
          <w:noProof/>
        </w:rPr>
        <w:t xml:space="preserve"> lubati Luksemburgil pikendada erandmeetme kehtivusaega kuni 31. detsembrini 2019 ja suurendada samal ajal künnist 25 000 eurolt 30 000 euroni. </w:t>
      </w:r>
    </w:p>
    <w:p>
      <w:pPr>
        <w:pBdr>
          <w:top w:val="nil"/>
          <w:left w:val="nil"/>
          <w:bottom w:val="nil"/>
          <w:right w:val="nil"/>
          <w:between w:val="nil"/>
          <w:bar w:val="nil"/>
        </w:pBdr>
        <w:spacing w:before="0" w:after="240"/>
        <w:rPr>
          <w:noProof/>
        </w:rPr>
      </w:pPr>
      <w:r>
        <w:rPr>
          <w:noProof/>
        </w:rPr>
        <w:t>Luksemburgi praegune taotlus pikendada erandi kehtivusaega veelgi ja suurendada künnist 30 000 eurolt 35 000 euroni põhineb samadel alustel, mis on esitatud eelmistes taotlustes. Eelkõige väidab Luksemburg, et erandmeede vähendab nii väikeettevõtjate kui ka maksuhaldurite halduskoormust. Sellega seoses lihtsustab erandmeede maksukogumise menetlust ja kuulub seega käibemaksudirektiivi artikli 395 lõike 1 esimese lõigu eesmärkide hulka.</w:t>
      </w:r>
    </w:p>
    <w:p>
      <w:pPr>
        <w:rPr>
          <w:noProof/>
        </w:rPr>
      </w:pPr>
      <w:r>
        <w:rPr>
          <w:noProof/>
        </w:rPr>
        <w:t>Luksemburg rõhutab, et taotletud erand on kooskõlas komisjoni 2018. aasta ettepaneku (milles käsitletakse uusi lihtsustuseeskirju väikeettevõtjate käibemaksu kohta)</w:t>
      </w:r>
      <w:r>
        <w:rPr>
          <w:rStyle w:val="FootnoteReference"/>
          <w:noProof/>
        </w:rPr>
        <w:footnoteReference w:id="6"/>
      </w:r>
      <w:r>
        <w:rPr>
          <w:noProof/>
        </w:rPr>
        <w:t xml:space="preserve"> põhimõtetega, kuivõrd ettepanek võimaldab liikmesriikidel kehtestada käibemaksust vabastamiseks nõutava aastakäibe künnise, mis ei ole suurem kui 85 000 eurot (või samaväärne summa riigi vääringus).</w:t>
      </w:r>
    </w:p>
    <w:p>
      <w:pPr>
        <w:pBdr>
          <w:top w:val="nil"/>
          <w:left w:val="nil"/>
          <w:bottom w:val="nil"/>
          <w:right w:val="nil"/>
          <w:between w:val="nil"/>
          <w:bar w:val="nil"/>
        </w:pBdr>
        <w:spacing w:before="0" w:after="240"/>
        <w:rPr>
          <w:noProof/>
          <w:color w:val="000000"/>
          <w:szCs w:val="24"/>
        </w:rPr>
      </w:pPr>
      <w:r>
        <w:rPr>
          <w:noProof/>
        </w:rPr>
        <w:t xml:space="preserve">Luksemburgi väitel oleks taotletava erimeetme mõju lõpptarbimise etapis kogutava käibemaksutulu kogusummale tühine (mitte üle 0,1 %), nagu on nõutud käibemaksudirektiivi artikli 395 lõike 1 teises lõigus. </w:t>
      </w:r>
    </w:p>
    <w:p>
      <w:pPr>
        <w:pBdr>
          <w:top w:val="nil"/>
          <w:left w:val="nil"/>
          <w:bottom w:val="nil"/>
          <w:right w:val="nil"/>
          <w:between w:val="nil"/>
          <w:bar w:val="nil"/>
        </w:pBdr>
        <w:spacing w:before="0" w:after="240"/>
        <w:rPr>
          <w:noProof/>
        </w:rPr>
      </w:pPr>
      <w:r>
        <w:rPr>
          <w:noProof/>
        </w:rPr>
        <w:t>Täpsemalt märgitakse, et 2017. aastal kasutas erandit 105 maksukohustuslast, kelle käive jäi vahemikku 10 000–30 000 eurot (2015. aastal 64 ja 2016. aastal 73). Sellel aastal moodustab selliste ettevõtete arv 0,14 % käibemaksukohustuslaste arvust. Luksemburgi hinnangul on käibemaksust saadava tulu maksimaalne vähenemine maksuvabastuse tõttu 271 525,60 eurot. See summa moodustab 0,01 % 2017. aasta käibemaksutulu kogusummast. Luksemburg eeldab, et künnise tõstmine 35 000 euroni võib mõjutada 1106 maksukohustuslast, kes moodustavad 2017. aastal 1,5 % käibemaksukohustuslastest. Kui oletada, et ükski neist maksukohustuslastest ei vali tavapärast käibemaksuga maksustamist, ei tohiks maksuvabastuskünnise 30 000 eurolt 35 000 euroni tõstmisest tulenev tulu vähenemine ületada 0,1 % kogu käibemaksutulust.</w:t>
      </w:r>
    </w:p>
    <w:p>
      <w:pPr>
        <w:autoSpaceDE w:val="0"/>
        <w:autoSpaceDN w:val="0"/>
        <w:adjustRightInd w:val="0"/>
        <w:spacing w:before="0" w:after="0"/>
        <w:rPr>
          <w:noProof/>
          <w:color w:val="000000"/>
          <w:szCs w:val="24"/>
        </w:rPr>
      </w:pPr>
      <w:r>
        <w:rPr>
          <w:noProof/>
        </w:rPr>
        <w:t xml:space="preserve">Luksemburgi esitatud teabe põhjal ilmneb, et erandmeetme pikendamise taotluse eesmärk on vabastada väikeettevõtjad mitmest tavapärase käibemaksukorra kohasest käibemaksukohustustest ning vähendada maksuhalduri koormust maksude kogumisel ja väikeettevõtjate auditeerimisel. See võimaldaks maksuhalduril keskenduda kontrollitegevuses suurematele maksukohustuslastele. Erandmeede on seega kooskõlas käibemaksudirektiivi artikli 395 lõike 1 esimese lõiguga, mis võimaldab liikmesriikidel kehtestada erimeetmeid, millega kehtestatakse erand käibemaksudirektiivi sätetest, et lihtsustada käibemaksu kogumise menetlust. Sellega seoses märgitakse, et meetme kohaldamine on praegu ja ka tulevikus kõikide maksukohustuslaste jaoks vabatahtlik. </w:t>
      </w:r>
    </w:p>
    <w:p>
      <w:pPr>
        <w:autoSpaceDE w:val="0"/>
        <w:autoSpaceDN w:val="0"/>
        <w:adjustRightInd w:val="0"/>
        <w:spacing w:before="0" w:after="0"/>
        <w:rPr>
          <w:noProof/>
          <w:color w:val="000000"/>
          <w:szCs w:val="24"/>
        </w:rPr>
      </w:pPr>
    </w:p>
    <w:p>
      <w:pPr>
        <w:pBdr>
          <w:top w:val="nil"/>
          <w:left w:val="nil"/>
          <w:bottom w:val="nil"/>
          <w:right w:val="nil"/>
          <w:between w:val="nil"/>
          <w:bar w:val="nil"/>
        </w:pBdr>
        <w:spacing w:before="0" w:after="240"/>
        <w:rPr>
          <w:noProof/>
          <w:color w:val="000000"/>
          <w:szCs w:val="24"/>
        </w:rPr>
      </w:pPr>
      <w:r>
        <w:rPr>
          <w:noProof/>
        </w:rPr>
        <w:t>Nagu Luksemburg on tõendanud, ei mõjuta erandmeetme võtmine eeldatavasti kuigi palju tema poolt lõpptarbimisetapil kogutava maksutulu kogusummat. Eeldatavasti ei mõjuta see ka negatiivselt käibemaksust laekuvaid liidu omavahendeid. Seega on erandmeede kooskõlas käibemaksudirektiivi artikli 395 lõike 1 teise lõiguga.</w:t>
      </w:r>
    </w:p>
    <w:p>
      <w:pPr>
        <w:pBdr>
          <w:top w:val="nil"/>
          <w:left w:val="nil"/>
          <w:bottom w:val="nil"/>
          <w:right w:val="nil"/>
          <w:between w:val="nil"/>
          <w:bar w:val="nil"/>
        </w:pBdr>
        <w:spacing w:before="0" w:after="240"/>
        <w:rPr>
          <w:noProof/>
          <w:color w:val="000000"/>
          <w:szCs w:val="24"/>
        </w:rPr>
      </w:pPr>
      <w:r>
        <w:rPr>
          <w:noProof/>
        </w:rPr>
        <w:t xml:space="preserve">Eespool öeldut arvesse võttes ja arvestades, et ELi õigusraamistik ja faktiline olukord jäävad samaks, näib erandmeetme kehtivusaja taotletud pikendamine olevat põhjendatud. Seetõttu tehakse ettepanek taotlus rahuldada. </w:t>
      </w:r>
    </w:p>
    <w:p>
      <w:pPr>
        <w:autoSpaceDE w:val="0"/>
        <w:autoSpaceDN w:val="0"/>
        <w:adjustRightInd w:val="0"/>
        <w:spacing w:before="0" w:after="0"/>
        <w:rPr>
          <w:noProof/>
          <w:color w:val="000000"/>
          <w:szCs w:val="24"/>
        </w:rPr>
      </w:pPr>
      <w:r>
        <w:rPr>
          <w:noProof/>
        </w:rPr>
        <w:t xml:space="preserve">Luksemburgi taotluses ei ole märgitud taotletava erandi tähtaega. Samas peaksid käibemaksudirektiivi erandid olema tavaliselt ajaliselt piiratud, et oleks võimalik hinnata nende tõhusust ja asjakohasust. Nagu eespool märgitud, vaadatakse praegu läbi ka käibemaksudirektiivi artiklite 281–294 sätteid väikeettevõtjate suhtes kohaldatava erikorra kohta. 2018. aasta ettepanekus väikeettevõtjate suhtes kohaldatavate lihtsustatud käibemaksueeskirjade kohta nõutakse, et liikmesriigid võtaksid vastu ja avaldaksid hiljemalt 30. juuniks 2022 õigusnormid, mis on vajalikud uute eeskirjade järgimiseks. </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rPr>
        <w:t xml:space="preserve">Seepärast tehakse ettepanek pikendada erandi kehtivusaega kuni 31. detsembrini 2022. Kui võetakse vastu direktiiv, millega muudetakse käibemaksudirektiivi artikleid 281–294 väikeettevõtjate erikorra kohta, ning selle tulemusena jõustuvad asjakohased siseriiklikud õigusnormid alates 1. juulist 2022, nimelt enne erandmeetme kehtivusaja lõppemist 31. detsembril 2022, lõpetatakse käesoleva otsuse kohaldamine. </w:t>
      </w:r>
    </w:p>
    <w:p>
      <w:pPr>
        <w:autoSpaceDE w:val="0"/>
        <w:autoSpaceDN w:val="0"/>
        <w:adjustRightInd w:val="0"/>
        <w:spacing w:before="0" w:after="0"/>
        <w:rPr>
          <w:noProof/>
          <w:color w:val="000000"/>
          <w:szCs w:val="24"/>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pStyle w:val="Default"/>
        <w:jc w:val="both"/>
        <w:rPr>
          <w:noProof/>
          <w:lang w:val="et-EE"/>
        </w:rPr>
      </w:pPr>
      <w:r>
        <w:rPr>
          <w:noProof/>
          <w:lang w:val="et-EE"/>
        </w:rPr>
        <w:t>Samasuguseid erandeid, mis vabastavad käibemaksumaksukohustuslased, kelle aastakäive jääb allapoole teatavat künnist, nagu on sätestatud käibemaksudirektiivi artiklis 285, on tehtud ka teistele liikmesriikidele. Maltal</w:t>
      </w:r>
      <w:r>
        <w:rPr>
          <w:rStyle w:val="FootnoteReference"/>
          <w:noProof/>
        </w:rPr>
        <w:footnoteReference w:id="7"/>
      </w:r>
      <w:r>
        <w:rPr>
          <w:noProof/>
          <w:lang w:val="et-EE"/>
        </w:rPr>
        <w:t xml:space="preserve"> on lubatud kohaldada 20 000 euro suurune künnis; Madalmaadele</w:t>
      </w:r>
      <w:r>
        <w:rPr>
          <w:rStyle w:val="FootnoteReference"/>
          <w:noProof/>
        </w:rPr>
        <w:footnoteReference w:id="8"/>
      </w:r>
      <w:r>
        <w:rPr>
          <w:noProof/>
          <w:lang w:val="et-EE"/>
        </w:rPr>
        <w:t xml:space="preserve"> 25 000 euro suurune künnis; Poolale</w:t>
      </w:r>
      <w:r>
        <w:rPr>
          <w:rStyle w:val="FootnoteReference"/>
          <w:noProof/>
        </w:rPr>
        <w:footnoteReference w:id="9"/>
      </w:r>
      <w:r>
        <w:rPr>
          <w:noProof/>
          <w:lang w:val="et-EE"/>
        </w:rPr>
        <w:t>, Eestile</w:t>
      </w:r>
      <w:r>
        <w:rPr>
          <w:rStyle w:val="FootnoteReference"/>
          <w:noProof/>
        </w:rPr>
        <w:footnoteReference w:id="10"/>
      </w:r>
      <w:r>
        <w:rPr>
          <w:noProof/>
          <w:lang w:val="et-EE"/>
        </w:rPr>
        <w:t xml:space="preserve"> ja Lätile</w:t>
      </w:r>
      <w:r>
        <w:rPr>
          <w:rStyle w:val="FootnoteReference"/>
          <w:noProof/>
        </w:rPr>
        <w:footnoteReference w:id="11"/>
      </w:r>
      <w:r>
        <w:rPr>
          <w:noProof/>
          <w:lang w:val="et-EE"/>
        </w:rPr>
        <w:t xml:space="preserve"> 40 000 euro suurune künnis; Horvaatiale</w:t>
      </w:r>
      <w:r>
        <w:rPr>
          <w:rStyle w:val="FootnoteReference"/>
          <w:noProof/>
        </w:rPr>
        <w:footnoteReference w:id="12"/>
      </w:r>
      <w:r>
        <w:rPr>
          <w:noProof/>
          <w:lang w:val="et-EE"/>
        </w:rPr>
        <w:t xml:space="preserve"> ja Leedule</w:t>
      </w:r>
      <w:r>
        <w:rPr>
          <w:rStyle w:val="FootnoteReference"/>
          <w:noProof/>
        </w:rPr>
        <w:footnoteReference w:id="13"/>
      </w:r>
      <w:r>
        <w:rPr>
          <w:noProof/>
          <w:lang w:val="et-EE"/>
        </w:rPr>
        <w:t xml:space="preserve"> 45 000 euro suurune künnis; Sloveeniale</w:t>
      </w:r>
      <w:r>
        <w:rPr>
          <w:rStyle w:val="FootnoteReference"/>
          <w:noProof/>
        </w:rPr>
        <w:footnoteReference w:id="14"/>
      </w:r>
      <w:r>
        <w:rPr>
          <w:noProof/>
          <w:lang w:val="et-EE"/>
        </w:rPr>
        <w:t xml:space="preserve"> 50 000 </w:t>
      </w:r>
      <w:r>
        <w:rPr>
          <w:noProof/>
          <w:lang w:val="et-EE"/>
        </w:rPr>
        <w:lastRenderedPageBreak/>
        <w:t>euro suurune künnis; Itaaliale</w:t>
      </w:r>
      <w:r>
        <w:rPr>
          <w:rStyle w:val="FootnoteReference"/>
          <w:noProof/>
        </w:rPr>
        <w:footnoteReference w:id="15"/>
      </w:r>
      <w:r>
        <w:rPr>
          <w:noProof/>
          <w:lang w:val="et-EE"/>
        </w:rPr>
        <w:t xml:space="preserve"> 65 000 euro suurune künnis ning Rumeeniale</w:t>
      </w:r>
      <w:r>
        <w:rPr>
          <w:rStyle w:val="FootnoteReference"/>
          <w:noProof/>
        </w:rPr>
        <w:footnoteReference w:id="16"/>
      </w:r>
      <w:r>
        <w:rPr>
          <w:noProof/>
          <w:lang w:val="et-EE"/>
        </w:rPr>
        <w:t xml:space="preserve"> 88 500 euro suurune künnis.</w:t>
      </w:r>
    </w:p>
    <w:p>
      <w:pPr>
        <w:pStyle w:val="Default"/>
        <w:jc w:val="both"/>
        <w:rPr>
          <w:noProof/>
          <w:lang w:val="et-EE"/>
        </w:rPr>
      </w:pPr>
    </w:p>
    <w:p>
      <w:pPr>
        <w:pBdr>
          <w:top w:val="nil"/>
          <w:left w:val="nil"/>
          <w:bottom w:val="nil"/>
          <w:right w:val="nil"/>
          <w:between w:val="nil"/>
          <w:bar w:val="nil"/>
        </w:pBdr>
        <w:spacing w:before="0" w:after="240"/>
        <w:rPr>
          <w:noProof/>
          <w:color w:val="000000"/>
          <w:szCs w:val="24"/>
        </w:rPr>
      </w:pPr>
      <w:r>
        <w:rPr>
          <w:noProof/>
        </w:rPr>
        <w:t>Meede on kooskõlas ka 2018. aasta ettepanekuga lihtsustada käibemaksueeskirju väikeste ja keskmise suurusega ettevõtjate jaoks, mis põhineb käibemaksu tegevuskaval</w:t>
      </w:r>
      <w:r>
        <w:rPr>
          <w:rStyle w:val="FootnoteReference"/>
          <w:noProof/>
        </w:rPr>
        <w:footnoteReference w:id="17"/>
      </w:r>
      <w:r>
        <w:rPr>
          <w:noProof/>
        </w:rPr>
        <w:t xml:space="preserve"> ja mille eesmärk on luua nende ettevõtete jaoks ajakohane lihtsustatud kava. Eelkõige püütakse sellega vähendada käibemaksunõuete täitmisega seotud kulusid ja konkurentsimoonutusi nii riigis kui ka ELi tasandil, vähendada künniseefekti negatiivset mõju ning lihtsustada ettevõtjatel eeskirjade järgimist ja maksuhalduritel järelevalve tegemist.</w:t>
      </w:r>
    </w:p>
    <w:p>
      <w:pPr>
        <w:autoSpaceDE w:val="0"/>
        <w:autoSpaceDN w:val="0"/>
        <w:adjustRightInd w:val="0"/>
        <w:spacing w:before="0" w:after="0"/>
        <w:rPr>
          <w:noProof/>
        </w:rPr>
      </w:pPr>
      <w:r>
        <w:rPr>
          <w:noProof/>
        </w:rPr>
        <w:t>Käibemaksudirektiivi kohaldamisega seotud erandite kehtivus peaks alati olema ajaliselt piiratud, et oleks võimalik hinnata nende erandite mõju. Võttes arvesse nõudeid, mis on esitatud 2018. aasta ettepanekus, mis käsitleb väikeettevõtjate suhtes kohaldatavaid lihtsamaid käibemaksueeskirju, tehakse ettepanek pikendada erandi kehtivusaega kuni 31. detsembrini 2022 või kuupäevani, millest alates liikmesriigid peavad kohaldama mis tahes siseriiklikke sätteid, mille nad peavad vastu võtma juhul, kui võetakse vastu direktiiv, millega muudetakse käibemaksudirektiivi artikleid 281–294 väikeettevõtete erikorra kohta.</w:t>
      </w:r>
    </w:p>
    <w:p>
      <w:pPr>
        <w:pStyle w:val="Default"/>
        <w:rPr>
          <w:rFonts w:ascii="EUAlbertina" w:hAnsi="EUAlbertina" w:cs="EUAlbertina"/>
          <w:noProof/>
          <w:lang w:val="et-EE"/>
        </w:rPr>
      </w:pPr>
    </w:p>
    <w:p>
      <w:pPr>
        <w:pBdr>
          <w:top w:val="nil"/>
          <w:left w:val="nil"/>
          <w:bottom w:val="nil"/>
          <w:right w:val="nil"/>
          <w:between w:val="nil"/>
          <w:bar w:val="nil"/>
        </w:pBdr>
        <w:spacing w:before="0" w:after="240"/>
        <w:rPr>
          <w:b/>
          <w:noProof/>
        </w:rPr>
      </w:pPr>
      <w:r>
        <w:rPr>
          <w:noProof/>
        </w:rPr>
        <w:t>Kavandatud meede on seega kooskõlas käibemaksudirektiivi sätetega.</w:t>
      </w:r>
    </w:p>
    <w:p>
      <w:pPr>
        <w:pStyle w:val="Text1"/>
        <w:rPr>
          <w:b/>
          <w:noProof/>
        </w:rPr>
      </w:pPr>
      <w:r>
        <w:rPr>
          <w:b/>
          <w:noProof/>
        </w:rPr>
        <w:t xml:space="preserve">Kooskõla muude liidu tegevuspõhimõtetega </w:t>
      </w:r>
    </w:p>
    <w:p>
      <w:pPr>
        <w:pBdr>
          <w:top w:val="nil"/>
          <w:left w:val="nil"/>
          <w:bottom w:val="nil"/>
          <w:right w:val="nil"/>
          <w:between w:val="nil"/>
          <w:bar w:val="nil"/>
        </w:pBdr>
        <w:spacing w:before="0" w:after="240"/>
        <w:rPr>
          <w:noProof/>
          <w:color w:val="000000"/>
          <w:szCs w:val="24"/>
        </w:rPr>
      </w:pPr>
      <w:r>
        <w:rPr>
          <w:noProof/>
        </w:rPr>
        <w:t>Meede on kooskõlas komisjoni 2017. aasta tööprogrammiga,</w:t>
      </w:r>
      <w:r>
        <w:rPr>
          <w:rStyle w:val="FootnoteReference"/>
          <w:noProof/>
          <w:szCs w:val="23"/>
        </w:rPr>
        <w:footnoteReference w:id="18"/>
      </w:r>
      <w:r>
        <w:rPr>
          <w:noProof/>
        </w:rPr>
        <w:t xml:space="preserve"> milles märgiti, et väikeettevõtjate käibemaksukohustuse täitmisega seotud halduskoormus on suur ning tehnilised uuendused tekitavad tõhusa maksukogumise jaoks uusi väljakutseid, ja rõhutati vajadust lihtsustada väiksemate ettevõtjate jaoks käibemaksukorda. </w:t>
      </w:r>
    </w:p>
    <w:p>
      <w:pPr>
        <w:pBdr>
          <w:top w:val="nil"/>
          <w:left w:val="nil"/>
          <w:bottom w:val="nil"/>
          <w:right w:val="nil"/>
          <w:between w:val="nil"/>
          <w:bar w:val="nil"/>
        </w:pBdr>
        <w:spacing w:before="0" w:after="240"/>
        <w:rPr>
          <w:noProof/>
          <w:sz w:val="23"/>
          <w:szCs w:val="23"/>
        </w:rPr>
      </w:pPr>
      <w:r>
        <w:rPr>
          <w:noProof/>
        </w:rPr>
        <w:t>Samuti on see kooskõlas 2015. aasta ühtse turu strateegiaga,</w:t>
      </w:r>
      <w:r>
        <w:rPr>
          <w:rStyle w:val="FootnoteReference"/>
          <w:noProof/>
          <w:szCs w:val="23"/>
        </w:rPr>
        <w:footnoteReference w:id="19"/>
      </w:r>
      <w:r>
        <w:rPr>
          <w:noProof/>
        </w:rPr>
        <w:t xml:space="preserve"> milles komisjon seadis eesmärgiks aidata väikestel ja keskmise suurusega ettevõtjatel kasvada, muu hulgas vähendades halduskoormust, mis takistab neil ühtse turu võimaluste täielikku ärakasutamist.</w:t>
      </w:r>
      <w:r>
        <w:rPr>
          <w:noProof/>
          <w:sz w:val="23"/>
          <w:szCs w:val="23"/>
        </w:rPr>
        <w:t xml:space="preserve"> </w:t>
      </w:r>
    </w:p>
    <w:p>
      <w:pPr>
        <w:pBdr>
          <w:top w:val="nil"/>
          <w:left w:val="nil"/>
          <w:bottom w:val="nil"/>
          <w:right w:val="nil"/>
          <w:between w:val="nil"/>
          <w:bar w:val="nil"/>
        </w:pBdr>
        <w:spacing w:before="0" w:after="240"/>
        <w:rPr>
          <w:noProof/>
          <w:color w:val="000000"/>
          <w:szCs w:val="24"/>
        </w:rPr>
      </w:pPr>
      <w:r>
        <w:rPr>
          <w:noProof/>
        </w:rPr>
        <w:t>Lisaks on meede kooskõlas ELi poliitikaga, mis käsitleb väikesi ja keskmise suurusega ettevõtjaid, nagu on märgitud 2016. aasta teatises idufirmade kohta</w:t>
      </w:r>
      <w:r>
        <w:rPr>
          <w:rStyle w:val="FootnoteReference"/>
          <w:noProof/>
        </w:rPr>
        <w:footnoteReference w:id="20"/>
      </w:r>
      <w:r>
        <w:rPr>
          <w:noProof/>
        </w:rPr>
        <w:t xml:space="preserve"> ja 2008. aasta teatises </w:t>
      </w:r>
      <w:r>
        <w:rPr>
          <w:noProof/>
        </w:rPr>
        <w:lastRenderedPageBreak/>
        <w:t>„„Kõigepealt mõtle väikestele“ – Euroopa väikeettevõtlusalgatus „Small Business Act““,</w:t>
      </w:r>
      <w:r>
        <w:rPr>
          <w:rStyle w:val="FootnoteReference"/>
          <w:noProof/>
          <w:szCs w:val="23"/>
        </w:rPr>
        <w:footnoteReference w:id="21"/>
      </w:r>
      <w:r>
        <w:rPr>
          <w:noProof/>
        </w:rPr>
        <w:t xml:space="preserve"> milles kutsutakse liikmesriike üles võtma õigusaktide väljatöötamisel arvesse VKEde eripära ja lihtsustama olemasolevat regulatiivset keskkonda.</w:t>
      </w:r>
    </w:p>
    <w:p>
      <w:pPr>
        <w:pBdr>
          <w:top w:val="nil"/>
          <w:left w:val="nil"/>
          <w:bottom w:val="nil"/>
          <w:right w:val="nil"/>
          <w:between w:val="nil"/>
          <w:bar w:val="nil"/>
        </w:pBdr>
        <w:spacing w:before="0" w:after="240"/>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noProof/>
        </w:rPr>
      </w:pPr>
      <w:r>
        <w:rPr>
          <w:noProof/>
        </w:rPr>
        <w:t>Käibemaksudirektiivi artikkel 395 on ainus võimalik õiguslik alus.</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pBdr>
          <w:top w:val="nil"/>
          <w:left w:val="nil"/>
          <w:bottom w:val="nil"/>
          <w:right w:val="nil"/>
          <w:between w:val="nil"/>
          <w:bar w:val="nil"/>
        </w:pBdr>
        <w:spacing w:before="0" w:after="240"/>
        <w:rPr>
          <w:noProof/>
        </w:rPr>
      </w:pPr>
      <w:r>
        <w:rPr>
          <w:noProof/>
        </w:rPr>
        <w:t>Võttes arvesse käibemaksudirektiivi sätet, millel ettepanek põhineb, kuulub ettepanek Euroopa Liidu ainupädevusse. Seepärast subsidiaarsuse põhimõtet ei kohaldata.</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pBdr>
          <w:top w:val="nil"/>
          <w:left w:val="nil"/>
          <w:bottom w:val="nil"/>
          <w:right w:val="nil"/>
          <w:between w:val="nil"/>
          <w:bar w:val="nil"/>
        </w:pBdr>
        <w:spacing w:before="0" w:after="240"/>
        <w:rPr>
          <w:noProof/>
        </w:rPr>
      </w:pPr>
      <w:r>
        <w:rPr>
          <w:noProof/>
        </w:rPr>
        <w:t>Otsus käsitleb liikmesriigile tema enda taotlusel antud luba ja sellega ei määrata mingeid kohustusi.</w:t>
      </w:r>
    </w:p>
    <w:p>
      <w:pPr>
        <w:pBdr>
          <w:top w:val="nil"/>
          <w:left w:val="nil"/>
          <w:bottom w:val="nil"/>
          <w:right w:val="nil"/>
          <w:between w:val="nil"/>
          <w:bar w:val="nil"/>
        </w:pBdr>
        <w:spacing w:before="0" w:after="240"/>
        <w:rPr>
          <w:noProof/>
        </w:rPr>
      </w:pPr>
      <w:r>
        <w:rPr>
          <w:noProof/>
        </w:rPr>
        <w:t>Erandi piiratud ulatust arvestades on erimeede kooskõlas taotletava eesmärgiga, st lihtsustada maksukogumist väikeste maksukohustuslaste ja maksuhalduri jaoks.</w:t>
      </w:r>
    </w:p>
    <w:p>
      <w:pPr>
        <w:pStyle w:val="ManualHeading2"/>
        <w:rPr>
          <w:rFonts w:eastAsia="Arial Unicode MS"/>
          <w:noProof/>
          <w:u w:color="000000"/>
          <w:bdr w:val="nil"/>
        </w:rPr>
      </w:pPr>
      <w:r>
        <w:rPr>
          <w:noProof/>
          <w:u w:color="000000"/>
          <w:bdr w:val="nil"/>
        </w:rPr>
        <w:t>•</w:t>
      </w:r>
      <w:r>
        <w:rPr>
          <w:noProof/>
          <w:u w:color="000000"/>
          <w:bdr w:val="nil"/>
        </w:rPr>
        <w:tab/>
        <w:t>Vahendi valik</w:t>
      </w:r>
    </w:p>
    <w:p>
      <w:pPr>
        <w:pBdr>
          <w:top w:val="nil"/>
          <w:left w:val="nil"/>
          <w:bottom w:val="nil"/>
          <w:right w:val="nil"/>
          <w:between w:val="nil"/>
          <w:bar w:val="nil"/>
        </w:pBdr>
        <w:spacing w:before="0" w:after="240"/>
        <w:rPr>
          <w:noProof/>
        </w:rPr>
      </w:pPr>
      <w:r>
        <w:rPr>
          <w:noProof/>
        </w:rPr>
        <w:t>Kavandatav vahend: nõukogu rakendusotsus.</w:t>
      </w:r>
    </w:p>
    <w:p>
      <w:pPr>
        <w:pBdr>
          <w:top w:val="nil"/>
          <w:left w:val="nil"/>
          <w:bottom w:val="nil"/>
          <w:right w:val="nil"/>
          <w:between w:val="nil"/>
          <w:bar w:val="nil"/>
        </w:pBdr>
        <w:spacing w:before="0" w:after="240"/>
        <w:rPr>
          <w:noProof/>
        </w:rPr>
      </w:pPr>
      <w:r>
        <w:rPr>
          <w:noProof/>
        </w:rPr>
        <w:t>Käibemaksudirektiivi artikli 395 kohaselt on erandi tegemine ühistest käibemaksueeskirjadest võimalik vaid komisjoni ettepaneku põhjal nõukogus ühehäälselt antud loa alusel. Nõukogu rakendusotsus on ainus sobiv õigusakt, sest selle saab adresseerida üksikule liikmesriigile.</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Konsulteerimine sidusrühmadega</w:t>
      </w:r>
    </w:p>
    <w:p>
      <w:pPr>
        <w:pBdr>
          <w:top w:val="nil"/>
          <w:left w:val="nil"/>
          <w:bottom w:val="nil"/>
          <w:right w:val="nil"/>
          <w:between w:val="nil"/>
          <w:bar w:val="nil"/>
        </w:pBdr>
        <w:spacing w:before="0" w:after="240"/>
        <w:rPr>
          <w:noProof/>
        </w:rPr>
      </w:pPr>
      <w:r>
        <w:rPr>
          <w:noProof/>
        </w:rPr>
        <w:t>Sidusrühmadega ei konsulteeritud. Käesolev ettepanek põhineb Luksemburgi esitatud taotlusel ja käsitleb ainult kõnealust konkreetset liikmesriiki.</w:t>
      </w:r>
    </w:p>
    <w:p>
      <w:pPr>
        <w:pStyle w:val="ManualHeading2"/>
        <w:rPr>
          <w:rFonts w:eastAsia="Arial Unicode MS"/>
          <w:noProof/>
          <w:u w:color="000000"/>
          <w:bdr w:val="nil"/>
        </w:rPr>
      </w:pPr>
      <w:r>
        <w:rPr>
          <w:noProof/>
          <w:u w:color="000000"/>
          <w:bdr w:val="nil"/>
        </w:rPr>
        <w:t>•</w:t>
      </w:r>
      <w:r>
        <w:rPr>
          <w:noProof/>
          <w:u w:color="000000"/>
          <w:bdr w:val="nil"/>
        </w:rPr>
        <w:tab/>
        <w:t>Eksperdiarvamuste kogumine ja kasutamine</w:t>
      </w:r>
    </w:p>
    <w:p>
      <w:pPr>
        <w:pBdr>
          <w:top w:val="nil"/>
          <w:left w:val="nil"/>
          <w:bottom w:val="nil"/>
          <w:right w:val="nil"/>
          <w:between w:val="nil"/>
          <w:bar w:val="nil"/>
        </w:pBdr>
        <w:spacing w:before="0" w:after="240"/>
        <w:rPr>
          <w:noProof/>
        </w:rPr>
      </w:pPr>
      <w:r>
        <w:rPr>
          <w:noProof/>
        </w:rPr>
        <w:t xml:space="preserve">Välisekspertide arvamusi ei olnud vaja kasutada. </w:t>
      </w:r>
    </w:p>
    <w:p>
      <w:pPr>
        <w:pStyle w:val="ManualHeading2"/>
        <w:rPr>
          <w:rFonts w:eastAsia="Arial Unicode MS"/>
          <w:noProof/>
          <w:u w:color="000000"/>
          <w:bdr w:val="nil"/>
        </w:rPr>
      </w:pPr>
      <w:r>
        <w:rPr>
          <w:noProof/>
          <w:u w:color="000000"/>
          <w:bdr w:val="nil"/>
        </w:rPr>
        <w:t>•</w:t>
      </w:r>
      <w:r>
        <w:rPr>
          <w:noProof/>
          <w:u w:color="000000"/>
          <w:bdr w:val="nil"/>
        </w:rPr>
        <w:tab/>
        <w:t>Mõjuhinnang</w:t>
      </w:r>
    </w:p>
    <w:p>
      <w:pPr>
        <w:pBdr>
          <w:top w:val="nil"/>
          <w:left w:val="nil"/>
          <w:bottom w:val="nil"/>
          <w:right w:val="nil"/>
          <w:between w:val="nil"/>
          <w:bar w:val="nil"/>
        </w:pBdr>
        <w:spacing w:before="0" w:after="240"/>
        <w:rPr>
          <w:noProof/>
        </w:rPr>
      </w:pPr>
      <w:r>
        <w:rPr>
          <w:noProof/>
          <w:sz w:val="23"/>
          <w:szCs w:val="23"/>
        </w:rPr>
        <w:t>Ettepanek võtta vastu nõukogu rakendusotsus on tehtud selleks, et pikendada lihtsustamismeedet, millega vabastatakse mitmest käibemaksukohustusest ettevõtjad, kelle aastakäive ei ületa 35 000 eurot. See võib aidata vähendada 1 106 maksukohustuslase (kes moodustavad 2017. aastal registreeritud käibemaksukohuslastest 1,5 %) ja sellest tulenevalt ka maksuhalduri halduskoormust. Käibemaksutulu eelarvemõju ei ületa Luksemburgi hinnangul 0,1 % kogutud käibemaksutulust.</w:t>
      </w:r>
    </w:p>
    <w:p>
      <w:pPr>
        <w:pStyle w:val="ManualHeading2"/>
        <w:rPr>
          <w:rFonts w:eastAsia="Arial Unicode MS"/>
          <w:noProof/>
          <w:u w:color="000000"/>
          <w:bdr w:val="nil"/>
        </w:rPr>
      </w:pPr>
      <w:r>
        <w:rPr>
          <w:noProof/>
          <w:u w:color="000000"/>
          <w:bdr w:val="nil"/>
        </w:rPr>
        <w:lastRenderedPageBreak/>
        <w:t>•</w:t>
      </w:r>
      <w:r>
        <w:rPr>
          <w:noProof/>
          <w:u w:color="000000"/>
          <w:bdr w:val="nil"/>
        </w:rPr>
        <w:tab/>
        <w:t>Põhiõigused</w:t>
      </w:r>
    </w:p>
    <w:p>
      <w:pPr>
        <w:pBdr>
          <w:top w:val="nil"/>
          <w:left w:val="nil"/>
          <w:bottom w:val="nil"/>
          <w:right w:val="nil"/>
          <w:between w:val="nil"/>
          <w:bar w:val="nil"/>
        </w:pBdr>
        <w:spacing w:before="0" w:after="240"/>
        <w:rPr>
          <w:noProof/>
        </w:rPr>
      </w:pPr>
      <w:r>
        <w:rPr>
          <w:noProof/>
        </w:rPr>
        <w:t>Ettepanek ei mõjuta põhiõiguste kaitset.</w:t>
      </w:r>
    </w:p>
    <w:p>
      <w:pPr>
        <w:pStyle w:val="ManualHeading1"/>
        <w:rPr>
          <w:noProof/>
        </w:rPr>
      </w:pPr>
      <w:r>
        <w:rPr>
          <w:noProof/>
        </w:rPr>
        <w:t>4.</w:t>
      </w:r>
      <w:r>
        <w:rPr>
          <w:noProof/>
        </w:rPr>
        <w:tab/>
        <w:t>MÕJU EELARVELE</w:t>
      </w:r>
    </w:p>
    <w:p>
      <w:pPr>
        <w:spacing w:before="0" w:after="240"/>
        <w:rPr>
          <w:noProof/>
        </w:rPr>
      </w:pPr>
      <w:r>
        <w:rPr>
          <w:noProof/>
        </w:rPr>
        <w:t xml:space="preserve">Ettepanekul puudub negatiivne mõju ELi eelarvele, sest Luksemburg arvutab välja nõukogu määruse (EMÜ, Euratom) 1553/89 artikli 6 kohase hüvitise.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2019/0271 (NLE)</w:t>
      </w:r>
    </w:p>
    <w:p>
      <w:pPr>
        <w:pStyle w:val="Statut"/>
        <w:rPr>
          <w:noProof/>
        </w:rPr>
      </w:pPr>
      <w:r>
        <w:rPr>
          <w:noProof/>
        </w:rPr>
        <w:t>Ettepanek:</w:t>
      </w:r>
    </w:p>
    <w:p>
      <w:pPr>
        <w:pStyle w:val="Typedudocument"/>
        <w:rPr>
          <w:noProof/>
        </w:rPr>
      </w:pPr>
      <w:r>
        <w:rPr>
          <w:noProof/>
        </w:rPr>
        <w:t>NÕUKOGU RAKENDUSOTSUS,</w:t>
      </w:r>
    </w:p>
    <w:p>
      <w:pPr>
        <w:pStyle w:val="Titreobjet"/>
        <w:rPr>
          <w:noProof/>
        </w:rPr>
      </w:pPr>
      <w:r>
        <w:rPr>
          <w:noProof/>
        </w:rPr>
        <w:t>millega muudetakse rakendusotsust 2013/677/EL, mille kohaselt lubatakse Luksemburgil kehtestada erimeede, millega tehakse erand ühist käibemaksusüsteemi käsitleva direktiivi 2006/112/EÜ artiklist 285</w:t>
      </w:r>
    </w:p>
    <w:p>
      <w:pPr>
        <w:pStyle w:val="Institutionquiagit"/>
        <w:rPr>
          <w:noProof/>
        </w:rPr>
      </w:pPr>
      <w:r>
        <w:rPr>
          <w:noProof/>
        </w:rPr>
        <w:t>EUROOPA LIIDU NÕUKOGU,</w:t>
      </w:r>
    </w:p>
    <w:p>
      <w:pPr>
        <w:rPr>
          <w:noProof/>
        </w:rPr>
      </w:pPr>
      <w:r>
        <w:rPr>
          <w:noProof/>
        </w:rPr>
        <w:t xml:space="preserve">võttes arvesse Euroopa Liidu toimimise lepingut, </w:t>
      </w:r>
    </w:p>
    <w:p>
      <w:pPr>
        <w:rPr>
          <w:noProof/>
        </w:rPr>
      </w:pPr>
      <w:r>
        <w:rPr>
          <w:noProof/>
        </w:rPr>
        <w:t>võttes arvesse nõukogu 28. novembri 2006. aasta direktiivi 2006/112/EÜ, mis käsitleb ühist käibemaksusüsteemi,</w:t>
      </w:r>
      <w:r>
        <w:rPr>
          <w:rStyle w:val="FootnoteReference"/>
          <w:noProof/>
        </w:rPr>
        <w:footnoteReference w:id="22"/>
      </w:r>
      <w:r>
        <w:rPr>
          <w:noProof/>
        </w:rPr>
        <w:t xml:space="preserve"> eriti selle artikli 395 lõiget 1,</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Direktiivi 2006/112/EÜ artikli 285 kohaselt võivad liikmesriigid, kes ei ole kasutanud nõukogu teise direktiivi 67/228/EMÜ</w:t>
      </w:r>
      <w:r>
        <w:rPr>
          <w:rStyle w:val="FootnoteReference"/>
          <w:noProof/>
        </w:rPr>
        <w:footnoteReference w:id="23"/>
      </w:r>
      <w:r>
        <w:rPr>
          <w:noProof/>
        </w:rPr>
        <w:t xml:space="preserve"> artiklis 14 sätestatud võimalust, vabastada käibemaksust maksukohustuslased, kelle aastakäive ei ületa 5 000 eurot või sellele vastavat summat omavääringus.</w:t>
      </w:r>
    </w:p>
    <w:p>
      <w:pPr>
        <w:pStyle w:val="ManualConsidrant"/>
        <w:rPr>
          <w:noProof/>
        </w:rPr>
      </w:pPr>
      <w:r>
        <w:t>(2)</w:t>
      </w:r>
      <w:r>
        <w:tab/>
      </w:r>
      <w:r>
        <w:rPr>
          <w:noProof/>
        </w:rPr>
        <w:t>Nõukogu rakendusotsusega 2013/677/EL</w:t>
      </w:r>
      <w:r>
        <w:rPr>
          <w:rStyle w:val="FootnoteReference"/>
          <w:noProof/>
        </w:rPr>
        <w:footnoteReference w:id="24"/>
      </w:r>
      <w:r>
        <w:rPr>
          <w:noProof/>
        </w:rPr>
        <w:t xml:space="preserve"> lubati Luksemburgil kohaldada erimeedet, millega tehakse erand direktiivi 2006/112/EÜ artiklist 285 (edaspidi „erandmeede“), käibemaksuvabastust maksukohustuslaste suhtes, kelle aastakäive ei ületa 25 000 eurot. Erandmeedet lubati kasutada kuni 31. detsembrini 2016.</w:t>
      </w:r>
    </w:p>
    <w:p>
      <w:pPr>
        <w:pStyle w:val="ManualConsidrant"/>
        <w:rPr>
          <w:noProof/>
        </w:rPr>
      </w:pPr>
      <w:r>
        <w:t>(3)</w:t>
      </w:r>
      <w:r>
        <w:tab/>
      </w:r>
      <w:r>
        <w:rPr>
          <w:noProof/>
        </w:rPr>
        <w:t>Rakendusotsust 2013/677/EL muudeti nõukogu rakendusotsusega 2017/319/EL</w:t>
      </w:r>
      <w:r>
        <w:rPr>
          <w:rStyle w:val="FootnoteReference"/>
          <w:noProof/>
        </w:rPr>
        <w:footnoteReference w:id="25"/>
      </w:r>
      <w:r>
        <w:rPr>
          <w:noProof/>
        </w:rPr>
        <w:t>, et anda Luksemburgile luba vabastada käibemaksust maksukohustuslased, kelle aastakäive ei ületa 30 000 eurot. See luba kehtib kuni 31. detsembrini 2019 või kuupäevani, mil jõustub direktiiv, millega muudetakse direktiivi 2006/112/EÜ artikleid 281–294, milles käsitletakse väikeettevõtjate erikorda, olenevalt sellest, kumb kuupäev on varasem. Ettepanek</w:t>
      </w:r>
      <w:r>
        <w:rPr>
          <w:rStyle w:val="FootnoteReference"/>
          <w:noProof/>
        </w:rPr>
        <w:footnoteReference w:id="26"/>
      </w:r>
      <w:r>
        <w:rPr>
          <w:noProof/>
        </w:rPr>
        <w:t xml:space="preserve"> sellise direktiivi vastuvõtmiseks esitati 2018. aastal, kuid seda ei ole veel vastu võetud.</w:t>
      </w:r>
    </w:p>
    <w:p>
      <w:pPr>
        <w:pStyle w:val="ManualConsidrant"/>
        <w:rPr>
          <w:noProof/>
        </w:rPr>
      </w:pPr>
      <w:r>
        <w:t>(4)</w:t>
      </w:r>
      <w:r>
        <w:tab/>
      </w:r>
      <w:r>
        <w:rPr>
          <w:noProof/>
        </w:rPr>
        <w:t>Kirjas, mille komisjon registreeris 2. mail 2019, taotles Luksemburg luba kohaldada jätkuvalt erandmeedet pärast 31. detsembrit 2019 ning samal ajal suurendada künnist 30 000 eurolt 35 000 euroni.</w:t>
      </w:r>
    </w:p>
    <w:p>
      <w:pPr>
        <w:pStyle w:val="ManualConsidrant"/>
        <w:rPr>
          <w:noProof/>
        </w:rPr>
      </w:pPr>
      <w:r>
        <w:lastRenderedPageBreak/>
        <w:t>(5)</w:t>
      </w:r>
      <w:r>
        <w:tab/>
      </w:r>
      <w:r>
        <w:rPr>
          <w:noProof/>
        </w:rPr>
        <w:t xml:space="preserve">Direktiivi 2006/112/EÜ artikli 395 lõike 2 teise lõigu kohaselt teatas komisjon 21. juuni 2019. aasta kirjaga teistele liikmesriikidele Luksemburgi esitatud taotlusest. Komisjon teatas 24. juuni 2019. aasta kirjaga Luksemburgile, et tal on taotluse hindamiseks kogu vajalik teave. </w:t>
      </w:r>
    </w:p>
    <w:p>
      <w:pPr>
        <w:pStyle w:val="ManualConsidrant"/>
        <w:rPr>
          <w:noProof/>
        </w:rPr>
      </w:pPr>
      <w:r>
        <w:t>(6)</w:t>
      </w:r>
      <w:r>
        <w:tab/>
      </w:r>
      <w:r>
        <w:rPr>
          <w:noProof/>
        </w:rPr>
        <w:t>Luksemburgi esitatud teabest nähtub, et erandmeetme taotlemise põhjused jäävad suures osas samaks. Erandmeede vähendab nii väikeettevõtjate kui ka maksuhaldurite halduskoormust ja nõuete täitmisega seotud kulusid ning aitab seega lihtsustada käibemaksu kogumise menetlust. Luksemburgi hinnangul võib maksuvabastuse künnise tõstmine 35 000 euroni mõjutada 1 106 maksukohustuslast, mis vastab 1,5 %-le Luksemburgi käibemaksukohustuslastest 2017. aastal. Selline künnise tõstmine vähendaks seega veelgi halduskoormust ja nõuete täitmisega seotud kulusid ning aitaks veelgi lihtsustada maksukogumise menetlust.</w:t>
      </w:r>
    </w:p>
    <w:p>
      <w:pPr>
        <w:pStyle w:val="ManualConsidrant"/>
        <w:rPr>
          <w:noProof/>
        </w:rPr>
      </w:pPr>
      <w:r>
        <w:t>(7)</w:t>
      </w:r>
      <w:r>
        <w:tab/>
      </w:r>
      <w:r>
        <w:rPr>
          <w:noProof/>
        </w:rPr>
        <w:t xml:space="preserve">Erandmeede on maksukohustuslaste jaoks vabatahtlik ja jääb selleks. Maksukohustuslastel on endiselt võimalus valida tavapärane käibemaksusüsteem kooskõlas direktiivi 2006/112/EÜ artikliga 290. </w:t>
      </w:r>
    </w:p>
    <w:p>
      <w:pPr>
        <w:pStyle w:val="ManualConsidrant"/>
        <w:rPr>
          <w:noProof/>
        </w:rPr>
      </w:pPr>
      <w:r>
        <w:t>(8)</w:t>
      </w:r>
      <w:r>
        <w:tab/>
      </w:r>
      <w:r>
        <w:rPr>
          <w:noProof/>
        </w:rPr>
        <w:t>Luksemburgi esitatud teabe kohaselt avaldab kõrgema künnisega erandmeede üksnes väheolulist mõju lõplikus tarbimisetapis kogutava Luksemburgi maksutulu summale.</w:t>
      </w:r>
    </w:p>
    <w:p>
      <w:pPr>
        <w:pStyle w:val="ManualConsidrant"/>
        <w:rPr>
          <w:noProof/>
        </w:rPr>
      </w:pPr>
      <w:r>
        <w:t>(9)</w:t>
      </w:r>
      <w:r>
        <w:tab/>
      </w:r>
      <w:r>
        <w:rPr>
          <w:noProof/>
        </w:rPr>
        <w:t>Kõrgema künnisega erandmeede ei mõju ebasoodsalt käibemaksust saadavatele ELi omavahenditele, sest Luksemburg arvutab välja nõukogu määruse (EMÜ, Euratom) nr 1553/89</w:t>
      </w:r>
      <w:r>
        <w:rPr>
          <w:rStyle w:val="FootnoteReference"/>
          <w:noProof/>
        </w:rPr>
        <w:footnoteReference w:id="27"/>
      </w:r>
      <w:r>
        <w:rPr>
          <w:rStyle w:val="FootnoteReference"/>
          <w:noProof/>
        </w:rPr>
        <w:t>..</w:t>
      </w:r>
      <w:r>
        <w:rPr>
          <w:noProof/>
        </w:rPr>
        <w:t>artikli 6 kohase hüvitise.</w:t>
      </w:r>
    </w:p>
    <w:p>
      <w:pPr>
        <w:pStyle w:val="ManualConsidrant"/>
        <w:rPr>
          <w:noProof/>
        </w:rPr>
      </w:pPr>
      <w:r>
        <w:t>(10)</w:t>
      </w:r>
      <w:r>
        <w:tab/>
      </w:r>
      <w:r>
        <w:rPr>
          <w:noProof/>
        </w:rPr>
        <w:t xml:space="preserve">Võttes arvesse erandmeetme võimalikku positiivset mõju väikeettevõtjate ja maksuhaldurite halduskoormuse ja nõuete täitmisega seotud kulude vähendamisel ning asjaolu, et see ei avalda olulist mõju kogu käibemaksutulule, tuleks Luksemburgil lubada jätkata erandmeetme kohaldamist veel ühe ajavahemiku jooksul ja suurendada kõnealuse ajavahemiku puhul künnist 35 000 euroni. </w:t>
      </w:r>
    </w:p>
    <w:p>
      <w:pPr>
        <w:pStyle w:val="ManualConsidrant"/>
        <w:rPr>
          <w:noProof/>
        </w:rPr>
      </w:pPr>
      <w:r>
        <w:t>(11)</w:t>
      </w:r>
      <w:r>
        <w:tab/>
      </w:r>
      <w:r>
        <w:rPr>
          <w:noProof/>
        </w:rPr>
        <w:t>Erandmeetme kohaldamise loa pikendamine peaks olema ajaliselt piiratud. Tähtaeg peaks olema piisav, et võimaldada hinnata künnise tõhusust ja asjakohasust. Seepärast on asjakohane anda Luksemburgile luba jätkata erandmeetmete kohaldamist kuni 31. detsembrini 2022. Kui põhjenduses 3 osutatud ettepanek võtta vastu direktiiv võetakse vastu ja kuupäev, millest alates kohaldatakse direktiivi täitmiseks vajalikke siseriiklikke sätteid, on varasem kui 31. detsember 2022, tuleks loa kehtivus lõpetada, kui neid siseriiklikke sätteid hakatakse kohaldama.</w:t>
      </w:r>
    </w:p>
    <w:p>
      <w:pPr>
        <w:pStyle w:val="ManualConsidrant"/>
        <w:rPr>
          <w:noProof/>
        </w:rPr>
      </w:pPr>
      <w:r>
        <w:t>(12)</w:t>
      </w:r>
      <w:r>
        <w:tab/>
      </w:r>
      <w:r>
        <w:rPr>
          <w:noProof/>
        </w:rPr>
        <w:t>Seepärast tuleks rakendusotsust 2013/677/EL vastavalt muuta,</w:t>
      </w:r>
    </w:p>
    <w:p>
      <w:pPr>
        <w:pStyle w:val="Formuledadoption"/>
        <w:rPr>
          <w:noProof/>
        </w:rPr>
      </w:pPr>
      <w:r>
        <w:rPr>
          <w:noProof/>
        </w:rPr>
        <w:t xml:space="preserve">ON VASTU VÕTNUD KÄESOLEVA OTSUSE: </w:t>
      </w:r>
    </w:p>
    <w:p>
      <w:pPr>
        <w:pStyle w:val="Titrearticle"/>
        <w:rPr>
          <w:noProof/>
        </w:rPr>
      </w:pPr>
      <w:r>
        <w:rPr>
          <w:noProof/>
        </w:rPr>
        <w:t>Artikkel 1</w:t>
      </w:r>
    </w:p>
    <w:p>
      <w:pPr>
        <w:rPr>
          <w:noProof/>
        </w:rPr>
      </w:pPr>
      <w:r>
        <w:rPr>
          <w:noProof/>
        </w:rPr>
        <w:t>Rakendusotsuse 2013/677/EL artiklid 1 ja 2 asendatakse järgmisega:</w:t>
      </w:r>
    </w:p>
    <w:p>
      <w:pPr>
        <w:pStyle w:val="Titrearticle"/>
        <w:rPr>
          <w:noProof/>
        </w:rPr>
      </w:pPr>
      <w:r>
        <w:rPr>
          <w:noProof/>
        </w:rPr>
        <w:t>„Artikkel 1</w:t>
      </w:r>
    </w:p>
    <w:p>
      <w:pPr>
        <w:rPr>
          <w:noProof/>
        </w:rPr>
      </w:pPr>
      <w:r>
        <w:rPr>
          <w:noProof/>
        </w:rPr>
        <w:t>Erandina direktiivi 2006/112/EÜ artiklist 285 lubatakse Luksemburgil anda käibemaksuvabastus maksukohustuslastele, kelle aastakäive ei ületa 35 000 eurot.</w:t>
      </w:r>
    </w:p>
    <w:p>
      <w:pPr>
        <w:pStyle w:val="Titrearticle"/>
        <w:rPr>
          <w:noProof/>
        </w:rPr>
      </w:pPr>
      <w:r>
        <w:rPr>
          <w:noProof/>
        </w:rPr>
        <w:lastRenderedPageBreak/>
        <w:t>Artikkel 2</w:t>
      </w:r>
    </w:p>
    <w:p>
      <w:pPr>
        <w:rPr>
          <w:noProof/>
        </w:rPr>
      </w:pPr>
      <w:r>
        <w:rPr>
          <w:noProof/>
        </w:rPr>
        <w:t>Käesolevat otsust kohaldatakse seni, kuni saabub esimene järgmisest kahest kuupäevast:</w:t>
      </w:r>
    </w:p>
    <w:p>
      <w:pPr>
        <w:pStyle w:val="Point0"/>
        <w:rPr>
          <w:noProof/>
        </w:rPr>
      </w:pPr>
      <w:r>
        <w:t>(a)</w:t>
      </w:r>
      <w:r>
        <w:tab/>
      </w:r>
      <w:r>
        <w:rPr>
          <w:noProof/>
        </w:rPr>
        <w:t>31. detsember 2022;</w:t>
      </w:r>
    </w:p>
    <w:p>
      <w:pPr>
        <w:pStyle w:val="ListParagraph"/>
        <w:rPr>
          <w:noProof/>
        </w:rPr>
      </w:pPr>
    </w:p>
    <w:p>
      <w:pPr>
        <w:pStyle w:val="Point0"/>
        <w:rPr>
          <w:noProof/>
        </w:rPr>
      </w:pPr>
      <w:r>
        <w:t>(b)</w:t>
      </w:r>
      <w:r>
        <w:tab/>
      </w:r>
      <w:r>
        <w:rPr>
          <w:noProof/>
        </w:rPr>
        <w:t>kuupäev, millest alates liikmesriigid peavad kohaldama kõiki siseriiklikke sätteid, mille nad on kohustatud vastu võtma juhul, kui võetakse vastu direktiiv, millega muudetakse direktiivi 2006/112/EÜ artikleid 281–294 väikeettevõtjate erikorra kohta.“</w:t>
      </w:r>
    </w:p>
    <w:p>
      <w:pPr>
        <w:pStyle w:val="Titrearticle"/>
        <w:rPr>
          <w:noProof/>
        </w:rPr>
      </w:pPr>
      <w:r>
        <w:rPr>
          <w:noProof/>
        </w:rPr>
        <w:t>Artikkel 2</w:t>
      </w:r>
    </w:p>
    <w:p>
      <w:pPr>
        <w:rPr>
          <w:noProof/>
        </w:rPr>
      </w:pPr>
      <w:r>
        <w:rPr>
          <w:noProof/>
        </w:rPr>
        <w:t>Käesolevat otsust kohaldatakse alates 1. jaanuarist 2020.</w:t>
      </w:r>
    </w:p>
    <w:p>
      <w:pPr>
        <w:pStyle w:val="Titrearticle"/>
        <w:rPr>
          <w:noProof/>
        </w:rPr>
      </w:pPr>
      <w:r>
        <w:rPr>
          <w:noProof/>
        </w:rPr>
        <w:t>Artikkel 3</w:t>
      </w:r>
    </w:p>
    <w:p>
      <w:pPr>
        <w:keepNext/>
        <w:keepLines/>
        <w:rPr>
          <w:noProof/>
          <w:color w:val="000000"/>
        </w:rPr>
      </w:pPr>
      <w:r>
        <w:rPr>
          <w:noProof/>
        </w:rPr>
        <w:t>Käesolev otsus on adresseeritud Luksemburgi Suurhertsogiriigile.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347, 11.12.2006, lk 1.</w:t>
      </w:r>
    </w:p>
  </w:footnote>
  <w:footnote w:id="2">
    <w:p>
      <w:pPr>
        <w:pStyle w:val="FootnoteText"/>
      </w:pPr>
      <w:r>
        <w:rPr>
          <w:rStyle w:val="FootnoteReference"/>
        </w:rPr>
        <w:footnoteRef/>
      </w:r>
      <w:r>
        <w:tab/>
        <w:t>Nõukogu 11. aprilli 1967. aasta teine direktiiv 67/228/EMÜ käibemakse käsitlevate liikmesriikide õigusaktide ühtlustamise kohta – ühise käibemaksusüsteemi struktuur ja kohaldamiskord (EÜT 71, 14.4.1967, lk 1303/67).</w:t>
      </w:r>
    </w:p>
  </w:footnote>
  <w:footnote w:id="3">
    <w:p>
      <w:pPr>
        <w:pStyle w:val="FootnoteText"/>
        <w:rPr>
          <w:i/>
        </w:rPr>
      </w:pPr>
      <w:r>
        <w:rPr>
          <w:rStyle w:val="FootnoteReference"/>
        </w:rPr>
        <w:footnoteRef/>
      </w:r>
      <w:r>
        <w:tab/>
        <w:t>Nõukogu 17. mai 1977. aasta kuues direktiiv 77/388/EMÜ kumuleeruvate käibemaksudega seotud liikmesriikide õigusaktide ühtlustamise kohta – ühine käibemaksusüsteem: ühtne maksubaas (EÜT L 145, 13.6.1977, lk 1).</w:t>
      </w:r>
    </w:p>
  </w:footnote>
  <w:footnote w:id="4">
    <w:p>
      <w:pPr>
        <w:pStyle w:val="FootnoteText"/>
      </w:pPr>
      <w:r>
        <w:rPr>
          <w:rStyle w:val="FootnoteReference"/>
        </w:rPr>
        <w:footnoteRef/>
      </w:r>
      <w:r>
        <w:tab/>
        <w:t>Nõukogu 15. novembri 2013. aasta rakendusotsus 2013/677/EL, mille kohaselt lubatakse Luksemburgil kehtestada erimeede, millega tehakse erand ühist käibemaksusüsteemi käsitleva direktiivi 2006/112/EÜ artiklist 285 (ELT L 316, 27.11.2013, lk 33).</w:t>
      </w:r>
    </w:p>
  </w:footnote>
  <w:footnote w:id="5">
    <w:p>
      <w:pPr>
        <w:pStyle w:val="FootnoteText"/>
      </w:pPr>
      <w:r>
        <w:rPr>
          <w:rStyle w:val="FootnoteReference"/>
        </w:rPr>
        <w:footnoteRef/>
      </w:r>
      <w:r>
        <w:tab/>
        <w:t>Nõukogu 21. veebruari 2017. aasta rakendusotsus (EL) 2017/319, millega muudetakse rakendusotsust 2013/677/EL, mille kohaselt lubatakse Luksemburgil kehtestada erimeede, millega tehakse erand ühist käibemaksusüsteemi käsitleva direktiivi 2006/112/EÜ artiklist 285 (ELT L 47, 24.2.2017, lk 7).</w:t>
      </w:r>
    </w:p>
  </w:footnote>
  <w:footnote w:id="6">
    <w:p>
      <w:pPr>
        <w:pStyle w:val="FootnoteText"/>
      </w:pPr>
      <w:r>
        <w:rPr>
          <w:rStyle w:val="FootnoteReference"/>
        </w:rPr>
        <w:footnoteRef/>
      </w:r>
      <w:r>
        <w:tab/>
        <w:t>Ettepanek: Nõukogu direktiiv, millega muudetakse direktiivi 2006/112/EÜ (mis käsitleb ühist käibemaksusüsteemi) väikeettevõtete erikorra osas (COM(2018) 21 final).</w:t>
      </w:r>
    </w:p>
  </w:footnote>
  <w:footnote w:id="7">
    <w:p>
      <w:pPr>
        <w:pStyle w:val="FootnoteText"/>
      </w:pPr>
      <w:r>
        <w:rPr>
          <w:rStyle w:val="FootnoteReference"/>
        </w:rPr>
        <w:footnoteRef/>
      </w:r>
      <w:r>
        <w:tab/>
        <w:t>Nõukogu 20. veebruari 2018. aasta rakendusotsus (EL) 2018/279, millega lubatakse Maltal kohaldada erimeedet, millega tehakse erand direktiivi 2006/112/EÜ (mis käsitleb ühist käibemaksusüsteemi) artiklist 287 (ELT L 54, 24.2.2018, lk 14).</w:t>
      </w:r>
    </w:p>
  </w:footnote>
  <w:footnote w:id="8">
    <w:p>
      <w:pPr>
        <w:pStyle w:val="FootnoteText"/>
      </w:pPr>
      <w:r>
        <w:rPr>
          <w:rStyle w:val="FootnoteReference"/>
        </w:rPr>
        <w:footnoteRef/>
      </w:r>
      <w:r>
        <w:tab/>
        <w:t>Nõukogu 4. detsembri 2018. aasta rakendusotsus (EL) 2018/1904, mille kohaselt lubatakse Madalmaadel kehtestada erimeede, millega tehakse erand ühist käibemaksusüsteemi käsitleva direktiivi 2006/112/EÜ artiklist 285 (ELT L 310, 6.12.2018, lk 25).</w:t>
      </w:r>
    </w:p>
  </w:footnote>
  <w:footnote w:id="9">
    <w:p>
      <w:pPr>
        <w:pStyle w:val="FootnoteText"/>
      </w:pPr>
      <w:r>
        <w:rPr>
          <w:rStyle w:val="FootnoteReference"/>
        </w:rPr>
        <w:footnoteRef/>
      </w:r>
      <w:r>
        <w:tab/>
        <w:t>Nõukogu 4. detsembri 2018. aasta rakendusotsus (EL) 2018/1919, millega muudetakse otsust 2009/790/EÜ, mille kohaselt lubatakse Poola Vabariigil kohaldada meedet, millega tehakse erand direktiivi 2006/112/EÜ (mis käsitleb ühist käibemaksusüsteemi) artiklist 287 (ELT L 311, 7.12.2018, lk 32).</w:t>
      </w:r>
    </w:p>
  </w:footnote>
  <w:footnote w:id="10">
    <w:p>
      <w:pPr>
        <w:pStyle w:val="FootnoteText"/>
      </w:pPr>
      <w:r>
        <w:rPr>
          <w:rStyle w:val="FootnoteReference"/>
        </w:rPr>
        <w:footnoteRef/>
      </w:r>
      <w:r>
        <w:tab/>
        <w:t>Nõukogu 21. märtsi 2017. aasta rakendusotsus (EL) 2017/563, millega lubatakse Eesti Vabariigil kohaldada erimeedet, millega tehakse erand direktiivi 2006/112/EÜ (mis käsitleb ühist käibemaksusüsteemi) artiklist 287 (ELT L 80, 25.3.2017, lk 33).</w:t>
      </w:r>
    </w:p>
  </w:footnote>
  <w:footnote w:id="11">
    <w:p>
      <w:pPr>
        <w:pStyle w:val="FootnoteText"/>
      </w:pPr>
      <w:r>
        <w:rPr>
          <w:rStyle w:val="FootnoteReference"/>
        </w:rPr>
        <w:footnoteRef/>
      </w:r>
      <w:r>
        <w:tab/>
        <w:t>Nõukogu 18. detsembri 2017. aasta rakendusotsus (EL) 2017/2408, millega lubatakse Läti Vabariigil kohaldada erimeedet, millega tehakse erand direktiivi 2006/112/EÜ (mis käsitleb ühist käibemaksusüsteemi) artiklist 287 (ELT L 342, 21.12.2017, lk 8).</w:t>
      </w:r>
    </w:p>
  </w:footnote>
  <w:footnote w:id="12">
    <w:p>
      <w:pPr>
        <w:pStyle w:val="FootnoteText"/>
      </w:pPr>
      <w:r>
        <w:rPr>
          <w:rStyle w:val="FootnoteReference"/>
        </w:rPr>
        <w:footnoteRef/>
      </w:r>
      <w:r>
        <w:tab/>
        <w:t>Nõukogu 25. septembri 2017. aasta rakendusotsus (EL) 2017/1768, millega lubatakse Horvaatia Vabariigil kehtestada erimeede, millega tehakse erand direktiivi 2006/112/EÜ (mis käsitleb ühist käibemaksusüsteemi) artiklist 287 (ELT L 250, 28.9.2017, lk 71).</w:t>
      </w:r>
    </w:p>
  </w:footnote>
  <w:footnote w:id="13">
    <w:p>
      <w:pPr>
        <w:pStyle w:val="FootnoteText"/>
      </w:pPr>
      <w:r>
        <w:rPr>
          <w:rStyle w:val="FootnoteReference"/>
        </w:rPr>
        <w:footnoteRef/>
      </w:r>
      <w:r>
        <w:tab/>
        <w:t>Nõukogu 10. oktoobri 2017. aasta rakendusotsus (EL) 2017/1853, millega muudetakse rakendusotsust 2011/335/EL, mille kohaselt lubatakse Leedu Vabariigil kohaldada meedet, millega tehakse erand direktiivi 2006/112/EÜ (mis käsitleb ühist käibemaksusüsteemi) artiklist 287 (ELT L 265, 14.10.2017, lk 15).</w:t>
      </w:r>
    </w:p>
  </w:footnote>
  <w:footnote w:id="14">
    <w:p>
      <w:pPr>
        <w:pStyle w:val="FootnoteText"/>
      </w:pPr>
      <w:r>
        <w:rPr>
          <w:rStyle w:val="FootnoteReference"/>
        </w:rPr>
        <w:footnoteRef/>
      </w:r>
      <w:r>
        <w:tab/>
        <w:t>Nõukogu 6. novembri 2018. aasta rakendusotsus (EL) 2018/1700, millega muudetakse rakendusotsust 2013/54/EL, mille kohaselt lubatakse Sloveenia Vabariigil kehtestada erimeede, millega tehakse erand direktiivi 2006/112/EÜ (mis käsitleb ühist käibemaksusüsteemi) artiklist 287 (ELT L 285, 13.11.2018, lk 78).</w:t>
      </w:r>
    </w:p>
  </w:footnote>
  <w:footnote w:id="15">
    <w:p>
      <w:pPr>
        <w:pStyle w:val="FootnoteText"/>
      </w:pPr>
      <w:r>
        <w:rPr>
          <w:rStyle w:val="FootnoteReference"/>
        </w:rPr>
        <w:footnoteRef/>
      </w:r>
      <w:r>
        <w:tab/>
        <w:t>Nõukogu 8. novembri 2016. aasta rakendusotsus (EL) 2016/1988, millega muudetakse rakendusotsust 2013/678/EL, millega Itaalia Vabariigil lubatakse jätkuvalt kohaldada erimeedet, millega tehakse erand ühist käibemaksusüsteemi käsitleva direktiivi 2006/112/EÜ artiklist 285 (ELT L 306, 15.11.2016, lk 11).</w:t>
      </w:r>
    </w:p>
  </w:footnote>
  <w:footnote w:id="16">
    <w:p>
      <w:pPr>
        <w:pStyle w:val="FootnoteText"/>
      </w:pPr>
      <w:r>
        <w:rPr>
          <w:rStyle w:val="FootnoteReference"/>
        </w:rPr>
        <w:footnoteRef/>
      </w:r>
      <w:r>
        <w:tab/>
        <w:t>Nõukogu 10. oktoobri 2017. aasta rakendusotsus (EL) 2017/1855, mille kohaselt lubatakse Rumeenial kohaldada erimeedet, millega tehakse erand direktiivi 2006/112/EÜ (mis käsitleb ühist käibemaksusüsteemi) artiklist 287 (ELT L 265, 14.10.2017, lk 19).</w:t>
      </w:r>
    </w:p>
  </w:footnote>
  <w:footnote w:id="17">
    <w:p>
      <w:pPr>
        <w:pStyle w:val="FootnoteText"/>
      </w:pPr>
      <w:r>
        <w:rPr>
          <w:rStyle w:val="FootnoteReference"/>
        </w:rPr>
        <w:footnoteRef/>
      </w:r>
      <w:r>
        <w:tab/>
        <w:t>Komisjoni teatis Euroopa Parlamendile, nõukogule ning Euroopa Majandus- ja Sotsiaalkomiteele käibemaksu tegevuskava kohta „Ühtse ELi käibemaksuala suunas – On aeg otsustada“ (COM(2016) 148 final).</w:t>
      </w:r>
    </w:p>
  </w:footnote>
  <w:footnote w:id="18">
    <w:p>
      <w:pPr>
        <w:pStyle w:val="FootnoteText"/>
      </w:pPr>
      <w:r>
        <w:rPr>
          <w:rStyle w:val="FootnoteReference"/>
        </w:rPr>
        <w:footnoteRef/>
      </w:r>
      <w:r>
        <w:tab/>
        <w:t xml:space="preserve">Komisjoni teatis Euroopa Parlamendile, nõukogule, Euroopa Majandus- ja Sotsiaalkomiteele ning Regioonide Komiteele „Komisjoni 2017. aasta tööprogramm“ (COM(2016) 710 final). </w:t>
      </w:r>
    </w:p>
  </w:footnote>
  <w:footnote w:id="19">
    <w:p>
      <w:pPr>
        <w:pStyle w:val="FootnoteText"/>
      </w:pPr>
      <w:r>
        <w:rPr>
          <w:rStyle w:val="FootnoteReference"/>
        </w:rPr>
        <w:footnoteRef/>
      </w:r>
      <w:r>
        <w:tab/>
        <w:t>Komisjoni teatis Euroopa Parlamendile, nõukogule, Euroopa Majandus- ja Sotsiaalkomiteele ning Regioonide Komiteele „Ühtse turu täiustamine: rohkem võimalusi inimestele ja ettevõtetele“ (COM(2015) 550 final).</w:t>
      </w:r>
    </w:p>
  </w:footnote>
  <w:footnote w:id="20">
    <w:p>
      <w:pPr>
        <w:pStyle w:val="FootnoteText"/>
      </w:pPr>
      <w:r>
        <w:rPr>
          <w:rStyle w:val="FootnoteReference"/>
        </w:rPr>
        <w:footnoteRef/>
      </w:r>
      <w:r>
        <w:tab/>
        <w:t>Komisjoni teatis Euroopa Parlamendile, nõukogule, Euroopa Majandus- ja Sotsiaalkomiteele ning Regioonide Komiteele „Euroopa uued liidrid: idu- ja kasvufirmade algatus“ (COM(2016) 733 final).</w:t>
      </w:r>
    </w:p>
  </w:footnote>
  <w:footnote w:id="21">
    <w:p>
      <w:pPr>
        <w:pStyle w:val="FootnoteText"/>
      </w:pPr>
      <w:r>
        <w:rPr>
          <w:rStyle w:val="FootnoteReference"/>
        </w:rPr>
        <w:footnoteRef/>
      </w:r>
      <w:r>
        <w:tab/>
        <w:t xml:space="preserve">Komisjoni teatis Euroopa Parlamendile, nõukogule, Euroopa Majandus- ja Sotsiaalkomiteele ning Regioonide Komiteele „„Kõigepealt mõtle väikestele” – Euroopa väikeettevõtlusalgatus „Small Business Act““ (KOM(2008) 394 (lõplik)). </w:t>
      </w:r>
    </w:p>
  </w:footnote>
  <w:footnote w:id="22">
    <w:p>
      <w:pPr>
        <w:pStyle w:val="FootnoteText"/>
      </w:pPr>
      <w:r>
        <w:rPr>
          <w:rStyle w:val="FootnoteReference"/>
        </w:rPr>
        <w:footnoteRef/>
      </w:r>
      <w:r>
        <w:tab/>
        <w:t>ELT L 347, 11.12.2006, lk 1.</w:t>
      </w:r>
    </w:p>
  </w:footnote>
  <w:footnote w:id="23">
    <w:p>
      <w:pPr>
        <w:pStyle w:val="FootnoteText"/>
      </w:pPr>
      <w:r>
        <w:rPr>
          <w:rStyle w:val="FootnoteReference"/>
        </w:rPr>
        <w:footnoteRef/>
      </w:r>
      <w:r>
        <w:tab/>
        <w:t>Nõukogu 11. aprilli 1967. aasta teine direktiiv 67/228/EMÜ käibemakse käsitlevate liikmesriikide õigusaktide ühtlustamise kohta – ühise käibemaksusüsteemi struktuur ja kohaldamiskord (EÜT 71, 14.4.1967, lk 1303/67).</w:t>
      </w:r>
    </w:p>
  </w:footnote>
  <w:footnote w:id="24">
    <w:p>
      <w:pPr>
        <w:pStyle w:val="FootnoteText"/>
      </w:pPr>
      <w:r>
        <w:rPr>
          <w:rStyle w:val="FootnoteReference"/>
        </w:rPr>
        <w:footnoteRef/>
      </w:r>
      <w:r>
        <w:tab/>
        <w:t>Nõukogu 15. novembri 2013. aasta rakendusotsus 2013/677/EL, mille kohaselt lubatakse Luksemburgil kehtestada erimeede, millega tehakse erand ühist käibemaksusüsteemi käsitleva direktiivi 2006/112/EÜ artiklist 285 (ELT L 316, 27.11.2013, lk 33).</w:t>
      </w:r>
    </w:p>
  </w:footnote>
  <w:footnote w:id="25">
    <w:p>
      <w:pPr>
        <w:pStyle w:val="FootnoteText"/>
      </w:pPr>
      <w:r>
        <w:rPr>
          <w:rStyle w:val="FootnoteReference"/>
        </w:rPr>
        <w:footnoteRef/>
      </w:r>
      <w:r>
        <w:tab/>
        <w:t>Nõukogu 21. veebruari 2017. aasta rakendusotsus (EL) 2017/319, millega muudetakse rakendusotsust 2013/677/EL, mille kohaselt lubatakse Luksemburgil kehtestada erimeede, millega tehakse erand ühist käibemaksusüsteemi käsitleva direktiivi 2006/112/EÜ artiklist 285 (ELT L 47, 24.2.2017, lk 7).</w:t>
      </w:r>
    </w:p>
  </w:footnote>
  <w:footnote w:id="26">
    <w:p>
      <w:pPr>
        <w:pStyle w:val="FootnoteText"/>
      </w:pPr>
      <w:r>
        <w:rPr>
          <w:rStyle w:val="FootnoteReference"/>
        </w:rPr>
        <w:footnoteRef/>
      </w:r>
      <w:r>
        <w:tab/>
        <w:t>COM(2018)21 final, 18. jaanuar 2018.</w:t>
      </w:r>
    </w:p>
  </w:footnote>
  <w:footnote w:id="27">
    <w:p>
      <w:pPr>
        <w:pStyle w:val="FootnoteText"/>
      </w:pPr>
      <w:r>
        <w:rPr>
          <w:rStyle w:val="FootnoteReference"/>
        </w:rPr>
        <w:footnoteRef/>
      </w:r>
      <w:r>
        <w:tab/>
        <w:t>Nõukogu 29. mai 1989. aasta määrus (EMÜ, Euratom) nr 1553/89 käibemaksust laekuvate omavahendite kogumise kindla ühtse korra kohta (EÜT L 155, 7.6.1989, lk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842"/>
        </w:tabs>
        <w:ind w:left="1842"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2 10:58: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B6BC0DA9-CF37-42BC-B60D-50046E20FAB0"/>
    <w:docVar w:name="LW_COVERPAGE_TYPE" w:val="1"/>
    <w:docVar w:name="LW_CROSSREFERENCE" w:val="&lt;UNUSED&gt;"/>
    <w:docVar w:name="LW_DocType" w:val="COM"/>
    <w:docVar w:name="LW_EMISSION" w:val="28.11.2019"/>
    <w:docVar w:name="LW_EMISSION_ISODATE" w:val="2019-11-28"/>
    <w:docVar w:name="LW_EMISSION_LOCATION" w:val="BRX"/>
    <w:docVar w:name="LW_EMISSION_PREFIX" w:val="Brüssel,"/>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71"/>
    <w:docVar w:name="LW_REF.II.NEW.CP_YEAR" w:val="2019"/>
    <w:docVar w:name="LW_REF.INST.NEW" w:val="COM"/>
    <w:docVar w:name="LW_REF.INST.NEW_ADOPTED" w:val="final"/>
    <w:docVar w:name="LW_REF.INST.NEW_TEXT" w:val="(2019) 6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rakendusotsust 2013/677/EL, mille kohaselt lubatakse Luksemburgil kehtestada erimeede, millega tehakse erand ühist käibemaksusüsteemi käsitleva direktiivi 2006/112/EÜ artiklist 285"/>
    <w:docVar w:name="LW_TYPE.DOC.CP" w:val="NÕUKOGU RAKENDUS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8090">
      <w:bodyDiv w:val="1"/>
      <w:marLeft w:val="0"/>
      <w:marRight w:val="0"/>
      <w:marTop w:val="0"/>
      <w:marBottom w:val="0"/>
      <w:divBdr>
        <w:top w:val="none" w:sz="0" w:space="0" w:color="auto"/>
        <w:left w:val="none" w:sz="0" w:space="0" w:color="auto"/>
        <w:bottom w:val="none" w:sz="0" w:space="0" w:color="auto"/>
        <w:right w:val="none" w:sz="0" w:space="0" w:color="auto"/>
      </w:divBdr>
    </w:div>
    <w:div w:id="200825691">
      <w:bodyDiv w:val="1"/>
      <w:marLeft w:val="0"/>
      <w:marRight w:val="0"/>
      <w:marTop w:val="0"/>
      <w:marBottom w:val="0"/>
      <w:divBdr>
        <w:top w:val="none" w:sz="0" w:space="0" w:color="auto"/>
        <w:left w:val="none" w:sz="0" w:space="0" w:color="auto"/>
        <w:bottom w:val="none" w:sz="0" w:space="0" w:color="auto"/>
        <w:right w:val="none" w:sz="0" w:space="0" w:color="auto"/>
      </w:divBdr>
    </w:div>
    <w:div w:id="851410333">
      <w:bodyDiv w:val="1"/>
      <w:marLeft w:val="0"/>
      <w:marRight w:val="0"/>
      <w:marTop w:val="0"/>
      <w:marBottom w:val="0"/>
      <w:divBdr>
        <w:top w:val="none" w:sz="0" w:space="0" w:color="auto"/>
        <w:left w:val="none" w:sz="0" w:space="0" w:color="auto"/>
        <w:bottom w:val="none" w:sz="0" w:space="0" w:color="auto"/>
        <w:right w:val="none" w:sz="0" w:space="0" w:color="auto"/>
      </w:divBdr>
    </w:div>
    <w:div w:id="1208683066">
      <w:bodyDiv w:val="1"/>
      <w:marLeft w:val="0"/>
      <w:marRight w:val="0"/>
      <w:marTop w:val="0"/>
      <w:marBottom w:val="0"/>
      <w:divBdr>
        <w:top w:val="none" w:sz="0" w:space="0" w:color="auto"/>
        <w:left w:val="none" w:sz="0" w:space="0" w:color="auto"/>
        <w:bottom w:val="none" w:sz="0" w:space="0" w:color="auto"/>
        <w:right w:val="none" w:sz="0" w:space="0" w:color="auto"/>
      </w:divBdr>
    </w:div>
    <w:div w:id="1372537966">
      <w:bodyDiv w:val="1"/>
      <w:marLeft w:val="0"/>
      <w:marRight w:val="0"/>
      <w:marTop w:val="0"/>
      <w:marBottom w:val="0"/>
      <w:divBdr>
        <w:top w:val="none" w:sz="0" w:space="0" w:color="auto"/>
        <w:left w:val="none" w:sz="0" w:space="0" w:color="auto"/>
        <w:bottom w:val="none" w:sz="0" w:space="0" w:color="auto"/>
        <w:right w:val="none" w:sz="0" w:space="0" w:color="auto"/>
      </w:divBdr>
    </w:div>
    <w:div w:id="1728340801">
      <w:bodyDiv w:val="1"/>
      <w:marLeft w:val="0"/>
      <w:marRight w:val="0"/>
      <w:marTop w:val="0"/>
      <w:marBottom w:val="0"/>
      <w:divBdr>
        <w:top w:val="none" w:sz="0" w:space="0" w:color="auto"/>
        <w:left w:val="none" w:sz="0" w:space="0" w:color="auto"/>
        <w:bottom w:val="none" w:sz="0" w:space="0" w:color="auto"/>
        <w:right w:val="none" w:sz="0" w:space="0" w:color="auto"/>
      </w:divBdr>
      <w:divsChild>
        <w:div w:id="374429681">
          <w:marLeft w:val="0"/>
          <w:marRight w:val="0"/>
          <w:marTop w:val="0"/>
          <w:marBottom w:val="0"/>
          <w:divBdr>
            <w:top w:val="none" w:sz="0" w:space="0" w:color="auto"/>
            <w:left w:val="none" w:sz="0" w:space="0" w:color="auto"/>
            <w:bottom w:val="none" w:sz="0" w:space="0" w:color="auto"/>
            <w:right w:val="none" w:sz="0" w:space="0" w:color="auto"/>
          </w:divBdr>
          <w:divsChild>
            <w:div w:id="685403097">
              <w:marLeft w:val="0"/>
              <w:marRight w:val="0"/>
              <w:marTop w:val="0"/>
              <w:marBottom w:val="0"/>
              <w:divBdr>
                <w:top w:val="none" w:sz="0" w:space="0" w:color="auto"/>
                <w:left w:val="none" w:sz="0" w:space="0" w:color="auto"/>
                <w:bottom w:val="none" w:sz="0" w:space="0" w:color="auto"/>
                <w:right w:val="none" w:sz="0" w:space="0" w:color="auto"/>
              </w:divBdr>
              <w:divsChild>
                <w:div w:id="1070469656">
                  <w:marLeft w:val="0"/>
                  <w:marRight w:val="0"/>
                  <w:marTop w:val="0"/>
                  <w:marBottom w:val="0"/>
                  <w:divBdr>
                    <w:top w:val="none" w:sz="0" w:space="0" w:color="auto"/>
                    <w:left w:val="none" w:sz="0" w:space="0" w:color="auto"/>
                    <w:bottom w:val="none" w:sz="0" w:space="0" w:color="auto"/>
                    <w:right w:val="none" w:sz="0" w:space="0" w:color="auto"/>
                  </w:divBdr>
                  <w:divsChild>
                    <w:div w:id="976299249">
                      <w:marLeft w:val="-150"/>
                      <w:marRight w:val="-150"/>
                      <w:marTop w:val="0"/>
                      <w:marBottom w:val="0"/>
                      <w:divBdr>
                        <w:top w:val="none" w:sz="0" w:space="0" w:color="auto"/>
                        <w:left w:val="none" w:sz="0" w:space="0" w:color="auto"/>
                        <w:bottom w:val="none" w:sz="0" w:space="0" w:color="auto"/>
                        <w:right w:val="none" w:sz="0" w:space="0" w:color="auto"/>
                      </w:divBdr>
                      <w:divsChild>
                        <w:div w:id="1708333529">
                          <w:marLeft w:val="0"/>
                          <w:marRight w:val="0"/>
                          <w:marTop w:val="0"/>
                          <w:marBottom w:val="0"/>
                          <w:divBdr>
                            <w:top w:val="none" w:sz="0" w:space="0" w:color="auto"/>
                            <w:left w:val="none" w:sz="0" w:space="0" w:color="auto"/>
                            <w:bottom w:val="none" w:sz="0" w:space="0" w:color="auto"/>
                            <w:right w:val="none" w:sz="0" w:space="0" w:color="auto"/>
                          </w:divBdr>
                          <w:divsChild>
                            <w:div w:id="474369682">
                              <w:marLeft w:val="0"/>
                              <w:marRight w:val="0"/>
                              <w:marTop w:val="0"/>
                              <w:marBottom w:val="0"/>
                              <w:divBdr>
                                <w:top w:val="none" w:sz="0" w:space="0" w:color="auto"/>
                                <w:left w:val="none" w:sz="0" w:space="0" w:color="auto"/>
                                <w:bottom w:val="none" w:sz="0" w:space="0" w:color="auto"/>
                                <w:right w:val="none" w:sz="0" w:space="0" w:color="auto"/>
                              </w:divBdr>
                              <w:divsChild>
                                <w:div w:id="430130331">
                                  <w:marLeft w:val="0"/>
                                  <w:marRight w:val="0"/>
                                  <w:marTop w:val="0"/>
                                  <w:marBottom w:val="300"/>
                                  <w:divBdr>
                                    <w:top w:val="none" w:sz="0" w:space="0" w:color="auto"/>
                                    <w:left w:val="none" w:sz="0" w:space="0" w:color="auto"/>
                                    <w:bottom w:val="none" w:sz="0" w:space="0" w:color="auto"/>
                                    <w:right w:val="none" w:sz="0" w:space="0" w:color="auto"/>
                                  </w:divBdr>
                                  <w:divsChild>
                                    <w:div w:id="896549263">
                                      <w:marLeft w:val="0"/>
                                      <w:marRight w:val="0"/>
                                      <w:marTop w:val="0"/>
                                      <w:marBottom w:val="0"/>
                                      <w:divBdr>
                                        <w:top w:val="none" w:sz="0" w:space="0" w:color="auto"/>
                                        <w:left w:val="none" w:sz="0" w:space="0" w:color="auto"/>
                                        <w:bottom w:val="none" w:sz="0" w:space="0" w:color="auto"/>
                                        <w:right w:val="none" w:sz="0" w:space="0" w:color="auto"/>
                                      </w:divBdr>
                                      <w:divsChild>
                                        <w:div w:id="56049473">
                                          <w:marLeft w:val="0"/>
                                          <w:marRight w:val="0"/>
                                          <w:marTop w:val="0"/>
                                          <w:marBottom w:val="0"/>
                                          <w:divBdr>
                                            <w:top w:val="none" w:sz="0" w:space="0" w:color="auto"/>
                                            <w:left w:val="none" w:sz="0" w:space="0" w:color="auto"/>
                                            <w:bottom w:val="none" w:sz="0" w:space="0" w:color="auto"/>
                                            <w:right w:val="none" w:sz="0" w:space="0" w:color="auto"/>
                                          </w:divBdr>
                                          <w:divsChild>
                                            <w:div w:id="16893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FFEF5D-4FCE-4F1D-B86A-66D9DC12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2025</Words>
  <Characters>15236</Characters>
  <Application>Microsoft Office Word</Application>
  <DocSecurity>0</DocSecurity>
  <Lines>258</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2019-10-16T09:16:00Z</cp:lastPrinted>
  <dcterms:created xsi:type="dcterms:W3CDTF">2019-11-08T08:53:00Z</dcterms:created>
  <dcterms:modified xsi:type="dcterms:W3CDTF">2019-11-22T09:58:00Z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