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7013645-CC2B-497A-9117-933F281AECD5" style="width:450.75pt;height:420.7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noProof/>
          <w:szCs w:val="20"/>
        </w:rPr>
        <w:lastRenderedPageBreak/>
        <w:t>BILAGA I</w:t>
      </w:r>
    </w:p>
    <w:p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>
        <w:rPr>
          <w:rFonts w:ascii="Times New Roman" w:hAnsi="Times New Roman"/>
          <w:b/>
          <w:noProof/>
          <w:szCs w:val="20"/>
        </w:rPr>
        <w:t>UPPDATERINGEN 2019 AV LÖNERNA OCH PENSIONERNA FÖR TJÄNSTEMÄN OCH ÖVRIGA ANSTÄLLDA I EUROPEISKA UNIONEN OCH AV DE TILLÄMPLIGA KORRIGERINGSKOEFFICIENTERNA PÅ DESSA LÖNER OCH PENSIONER</w:t>
      </w:r>
    </w:p>
    <w:p>
      <w:pPr>
        <w:widowControl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1.1. Tabell över månatliga grundlöner för varje lönegrad och löneklass i tjänstegrupperna AD och AST enligt artikel 66 i tjänsteföreskrifterna, tillämpliga från och med den 1 juli 2019:</w:t>
      </w:r>
    </w:p>
    <w:tbl>
      <w:tblPr>
        <w:tblW w:w="7300" w:type="dxa"/>
        <w:tblInd w:w="103" w:type="dxa"/>
        <w:tblLook w:val="04A0" w:firstRow="1" w:lastRow="0" w:firstColumn="1" w:lastColumn="0" w:noHBand="0" w:noVBand="1"/>
      </w:tblPr>
      <w:tblGrid>
        <w:gridCol w:w="1339"/>
        <w:gridCol w:w="1180"/>
        <w:gridCol w:w="1180"/>
        <w:gridCol w:w="1180"/>
        <w:gridCol w:w="1180"/>
        <w:gridCol w:w="1360"/>
      </w:tblGrid>
      <w:tr>
        <w:trPr>
          <w:trHeight w:val="50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1/7/2019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LÖNEKLASS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LÖNEGRAD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18 994,33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19 792,50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20 624,20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16 787,82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17 493,27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18 228,35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18 735,49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18 994,33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14 837,60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15 461,11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16 110,80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16 559,04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16 787,82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13 113,98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13 665,04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14 239,26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14 635,43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14 837,60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11 590,57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12 077,61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12 585,13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12 935,26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13 113,98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10 244,12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10 674,58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11 123,14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11 432,61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11 590,57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9 054,10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9 434,55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9 831,02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10 104,52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10 244,12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8 002,30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8 338,57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8 688,98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8 930,71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9 054,10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7 072,70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7 369,90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7 679,59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7 893,26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8 002,30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6 251,08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6 513,76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6 787,48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6 976,32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7 072,70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5 524,91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5 757,08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5 998,99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6 165,90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6 251,08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4 883,11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5 088,30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5 302,11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5 449,63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5 524,91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4 315,85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4 497,20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4 686,18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4 816,55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4 883,11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3 814,47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3 974,78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4 141,81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4 257,02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4 315,85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3 371,37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3 513,03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3 660,66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3 762,50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3 814,47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2 979,73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3 104,93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3 235,40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3 325,43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3 371,37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2. Tabell över månatliga grundlöner för varje lönegrad och löneklass i tjänstegrupperna AST/SC enligt artikel 66 i tjänsteföreskrifterna, tillämpliga från och med den 1 juli 2019:</w:t>
      </w:r>
    </w:p>
    <w:tbl>
      <w:tblPr>
        <w:tblW w:w="6155" w:type="dxa"/>
        <w:tblInd w:w="103" w:type="dxa"/>
        <w:tblLook w:val="04A0" w:firstRow="1" w:lastRow="0" w:firstColumn="1" w:lastColumn="0" w:noHBand="0" w:noVBand="1"/>
      </w:tblPr>
      <w:tblGrid>
        <w:gridCol w:w="1339"/>
        <w:gridCol w:w="995"/>
        <w:gridCol w:w="995"/>
        <w:gridCol w:w="995"/>
        <w:gridCol w:w="995"/>
        <w:gridCol w:w="995"/>
      </w:tblGrid>
      <w:tr>
        <w:trPr>
          <w:trHeight w:val="2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1/7/2019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/>
                <w:noProof/>
              </w:rPr>
              <w:t>LÖNEKLASS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LÖNEGRAD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4 844,35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5 047,92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5 260,04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5 406,37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5 481,07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4 281,60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4 461,52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4 649,65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4 778,33</w:t>
            </w:r>
          </w:p>
        </w:tc>
        <w:tc>
          <w:tcPr>
            <w:tcW w:w="995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4 844,35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3 784,23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3 943,23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4 108,94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4 223,26</w:t>
            </w:r>
          </w:p>
        </w:tc>
        <w:tc>
          <w:tcPr>
            <w:tcW w:w="995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4 281,60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3 344,61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3 485,15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3 631,63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3 732,64</w:t>
            </w:r>
          </w:p>
        </w:tc>
        <w:tc>
          <w:tcPr>
            <w:tcW w:w="995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3 784,23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2 956,07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3 080,30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3 209,75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3 299,04</w:t>
            </w:r>
          </w:p>
        </w:tc>
        <w:tc>
          <w:tcPr>
            <w:tcW w:w="995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3 344,61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2 612,68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2 722,47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2 836,88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2 915,78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2 956,07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3. Tabell över de korrigeringskoefficienter som tillämpas på lönerna och pensionerna för tjänstemän och övriga anställda vid Europeiska unionen enligt artikel 64 i tjänsteföreskrifterna, innehållande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de korrigeringskoefficienter som från och med den 1 juli 2019 tillämpas på lönerna för tjänstemän och övriga anställda enligt artikel 64 i tjänsteföreskrifterna (anges i kolumn 2 i tabellen nedan),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de korrigeringskoefficienter som från och med den 1 januari 2020 enligt artikel 17.3 i bilaga VII till tjänsteföreskrifterna tillämpas på överföringar för tjänstemän och övriga anställda (anges i kolumn 3 i tabellen nedan),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de korrigeringskoefficienter som från och med den 1 juli 2019 enligt artikel 20.1 i bilaga XIII till tjänsteföreskrifterna tillämpas på pensioner (anges i kolumn 4 i tabellen nedan).</w:t>
      </w:r>
    </w:p>
    <w:tbl>
      <w:tblPr>
        <w:tblW w:w="5901" w:type="dxa"/>
        <w:tblInd w:w="93" w:type="dxa"/>
        <w:tblLook w:val="04A0" w:firstRow="1" w:lastRow="0" w:firstColumn="1" w:lastColumn="0" w:noHBand="0" w:noVBand="1"/>
      </w:tblPr>
      <w:tblGrid>
        <w:gridCol w:w="1540"/>
        <w:gridCol w:w="1561"/>
        <w:gridCol w:w="1400"/>
        <w:gridCol w:w="1400"/>
      </w:tblGrid>
      <w:tr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4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Löner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Överföring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Pensioner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Land/ort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1.7.2019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1.1.2020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1.7.2019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Bulgarien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57,5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Tjeckien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Danmark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132,2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Tyskland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100,5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Bonn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Karlsruhe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München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Estland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Irland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123,3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Grekland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Spanien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89,2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Frankrike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110,0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Kroatien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Italien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Varese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Cypern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82,4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Lettland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Litauen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67,7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Ungern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Malta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Nederländerna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111,3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Österrike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108,2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108,2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Polen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Portugal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Rumänien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Slovenien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Slovakien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69,2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Finland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120,3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Sverige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110,5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Förenade kungariket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121,4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Culham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</w:tbl>
    <w:p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4.1. Beloppet för föräldraledighetsersättning enligt artikel 42a andra stycket i tjänsteföreskrifterna ska från och med den 1 juli 2019 vara 1 023,56 euro.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4.2. Beloppet för föräldraledighetsersättning enligt artikel 42a tredje stycket i tjänsteföreskrifterna ska från och med den 1 juli 2019 vara 1 364,75 euro.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5.1. Grundbeloppet för hushållstillägg enligt artikel 1.1 i bilaga VII till tjänsteföreskrifterna ska från och med den 1 juli 2019 vara 191,44 euro.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5.2. Tillägget för underhållsberättigat barn enligt artikel 2.1 i bilaga VII till tjänsteföreskrifterna ska från och med den 1 juli 2019 vara 418,31 euro.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5.3. Utbildningstillägget enligt artikel 3.1 i bilaga VII till tjänsteföreskrifterna ska från och med den 1 juli 2019 vara 283,82 euro.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5.4. Utbildningstillägget enligt artikel 3.2 i bilaga VII till tjänsteföreskrifterna ska från och med den 1 juli 2019 vara 102,18 euro.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5.5. Minimibeloppet för utlandstillägg enligt artikel 69 i tjänsteföreskrifterna och artikel 4.1 andra stycket i bilaga VII till dessa ska från och med den 1 juli 2019 vara 567,38 euro.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5.6. Beloppet för utlandstillägg enligt artikel 134 i anställningsvillkoren för övriga anställda ska från och med den 1 juli 2019 vara 407,88 euro.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6.1. Beloppet för kilometerersättning enligt artikel 7.2 i bilaga VII till tjänsteföreskrifterna ska från och med den 1 juli 2019 vara </w:t>
      </w:r>
    </w:p>
    <w:tbl>
      <w:tblPr>
        <w:tblW w:w="2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81"/>
        <w:gridCol w:w="1399"/>
      </w:tblGrid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 euro per km för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 till 200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0,2110 euro per km för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201 till 1 000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0,3518 euro per km för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1 001 till 2 000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0,2110 euro per km för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2 001 till 3 000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0,0703 euro per km för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3 001 till 4 000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0,0340 euro per km för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4 001 till 10 000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 euro per km över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10 000 km:</w:t>
            </w:r>
          </w:p>
        </w:tc>
      </w:tr>
    </w:tbl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6.2. Schablontillägget till kilometerersättning enligt artikel 7.2 i bilaga VII till tjänsteföreskrifterna ska från och med den 1 juli 2019 vara 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– 105,51 euro om det geografiska avståndet mellan de orter som avses i punkt 1 är mellan 600 km och 1 200 km,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– 211,02 euro om det geografiska avståndet mellan de orter som avses i punkt 1 är längre än 1 200 km.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7.1. Beloppet för kilometerersättning enligt artikel 8.2 i bilaga VII till tjänsteföreskrifterna ska från och med den 1 januari 2020 vara</w:t>
      </w:r>
    </w:p>
    <w:tbl>
      <w:tblPr>
        <w:tblW w:w="2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67"/>
        <w:gridCol w:w="1413"/>
      </w:tblGrid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 euro per km för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 till 200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0,4255 euro per km för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201 till 1 000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0,7091 euro per km för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1 001 till 2 000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0,4255 euro per km för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2 001 till 3 000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0,1417 euro per km för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3 001 till 4 000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0,0684 euro per km för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4 001 till 10 000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0 euro per km över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10 000 km:  </w:t>
            </w:r>
          </w:p>
        </w:tc>
      </w:tr>
    </w:tbl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7.2. Schablontillägget till kilometerersättning enligt artikel 8.2 i bilaga VII till tjänsteföreskrifterna ska från och med den 1 januari 2020 vara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– 212,72 euro om det geografiska avståndet mellan anställningsorten och ursprungsorten är mellan 600 km och 1 200 km,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– 425,41 euro om det geografiska avståndet mellan anställningsorten och ursprungsorten är längre än 1 200 km.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8. Beloppet för dagtraktamente enligt artikel 10.1 i bilaga VII till tjänsteföreskrifterna ska från och med den 1 juli 2019 vara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43,97 EUR för en tjänsteman som har rätt till hushållstillägg, och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35,46 EUR för en tjänsteman som inte har rätt till hushållstillägg.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</w:rPr>
        <w:t>9. Minimibeloppet för bosättningsbidrag enligt artikel 24.3 i anställningsvillkoren för övriga anställda ska från och med den 1 juli 2019 vara</w:t>
      </w:r>
      <w:r>
        <w:rPr>
          <w:rFonts w:ascii="Times New Roman" w:hAnsi="Times New Roman"/>
          <w:noProof/>
          <w:szCs w:val="20"/>
        </w:rPr>
        <w:t xml:space="preserve"> 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1 251,74 euro för en anställd som har rätt till hushållstillägg, och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744,28 EUR för en anställd som inte har rätt till hushållstillägg.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10.1. Den undre och den övre gränsen för arbetslöshetsersättning enligt artikel 28a.3 andra stycket i anställningsvillkoren för övriga anställda ska från och med den 1 juli 2019 vara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1 501,22 euro (undre gräns),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3 002,43 euro (övre gräns). 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10.2. Den standardersättning som avses i artikel 28a.7 i anställningsvillkoren för övriga anställda ska från och med den 1 juli 2019 vara 1 364,75 euro.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11. Tabell över beloppen i skalan för grundlöner enligt artikel 93 i anställningsvillkoren för övriga anställda från och med den 1 juli 2019: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8"/>
        <w:gridCol w:w="1198"/>
        <w:gridCol w:w="1001"/>
        <w:gridCol w:w="104"/>
        <w:gridCol w:w="899"/>
        <w:gridCol w:w="87"/>
        <w:gridCol w:w="916"/>
        <w:gridCol w:w="71"/>
        <w:gridCol w:w="933"/>
        <w:gridCol w:w="52"/>
        <w:gridCol w:w="951"/>
        <w:gridCol w:w="35"/>
        <w:gridCol w:w="968"/>
        <w:gridCol w:w="19"/>
        <w:gridCol w:w="986"/>
      </w:tblGrid>
      <w:tr>
        <w:trPr>
          <w:trHeight w:val="315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TJÄNSTEGRUPP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Cs w:val="24"/>
              </w:rPr>
            </w:pPr>
            <w:r>
              <w:rPr>
                <w:rFonts w:ascii="Arial Narrow" w:hAnsi="Arial Narrow"/>
                <w:noProof/>
              </w:rPr>
              <w:t>1/7/2019</w:t>
            </w:r>
          </w:p>
        </w:tc>
        <w:tc>
          <w:tcPr>
            <w:tcW w:w="378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LÖNEKLASS</w:t>
            </w:r>
          </w:p>
        </w:tc>
      </w:tr>
      <w:tr>
        <w:trPr>
          <w:trHeight w:val="255"/>
        </w:trPr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LÖNEGRAD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2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4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7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IV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6 547,83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6 683,99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6 822,98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6 964,87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7 109,72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7 257,57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7 408,48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5 787,14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5 907,48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6 030,33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6 155,74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6 283,75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6 414,42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6 547,83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5 114,82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5 221,17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5 329,76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5 440,60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5 553,75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5 669,25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5 787,14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4 520,60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4 614,61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4 710,58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4 808,54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4 908,54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5 010,61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5 114,82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3 995,43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4 078,52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4 163,34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4 249,92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4 338,32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4 428,50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4 520,60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3 531,26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3 604,70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3 679,65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3 756,19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3 834,29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3 914,03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3 995,43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III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4 520,54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4 614,54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4 710,51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4 808,45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4 908,44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5 010,51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5 114,71</w:t>
            </w:r>
          </w:p>
        </w:tc>
      </w:tr>
      <w:tr>
        <w:trPr>
          <w:trHeight w:val="270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3 995,40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4 078,47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4 163,28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4 249,85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4 338,23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4 428,44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4 520,54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3 531,25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3 604,68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3 679,63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3 756,16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3 834,26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3 914,00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3 995,40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3 121,03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3 185,93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3 252,18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3 319,82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3 388,86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3 459,31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3 531,25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2 758,47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2 815,83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2 874,39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2 934,15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2 995,18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3 057,46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3 121,03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3 120,96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3 185,88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3 252,14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3 319,76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3 388,84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3 459,31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3 531,26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2 758,34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2 815,70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2 874,27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2 934,05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2 995,07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3 057,37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3 120,96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2 437,84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2 488,53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2 540,30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2 593,15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2 647,06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2 702,13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2 758,34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2 154,58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2 199,39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2 245,14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2 291,85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2 339,50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2 388,17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2 437,84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2 654,27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2 709,35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2 765,60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2 822,99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2 881,57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2 941,37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3 002,43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2 346,48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2 395,18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2 444,90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2 495,64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2 547,44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2 600,32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2 654,27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2 074,40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2 117,47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2 161,40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2 206,26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2 252,05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2 298,79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2 346,48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12. Minimibeloppet för bosättningsbidrag enligt artikel 94 i anställningsvillkoren för övriga anställda ska från och med den 1 juli 2019 vara 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941,53 euro för en anställd som har rätt till hushållstillägg, och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558,22 EUR för en anställd som inte har rätt till hushållstillägg.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13.1. Den undre och den övre gränsen för arbetslöshetsersättning enligt artikel 96.3 andra stycket i anställningsvillkoren för övriga anställda ska från och med den 1 juli 2019 vara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– 1 125,91 euro (undre gräns),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– 2 251,80 euro (övre gräns).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13.2 Den standardersättning som avses i artikel 96.7 i anställningsvillkoren för övriga anställda ska vara 1 023,56 euro.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13.3 Den undre och den övre gränsen för arbetslöshetsersättning enligt artikel 136 i anställningsvillkoren för övriga anställda ska från och med den 1 juli 2019 vara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- 990,55 euro (undre gräns),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- 2 330,72 euro (övre gräns).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14. Ersättningarna för skiftarbete enligt artikel 1.1 första stycket i rådets förordning (EKSG, EEG, Euratom) nr 300/76 ska vara</w:t>
      </w:r>
      <w:r>
        <w:rPr>
          <w:rFonts w:ascii="Times New Roman" w:eastAsia="Calibri" w:hAnsi="Times New Roman" w:cs="Times New Roman"/>
          <w:noProof/>
          <w:szCs w:val="20"/>
          <w:vertAlign w:val="superscript"/>
        </w:rPr>
        <w:footnoteReference w:id="1"/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- 429,05 euro. 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- 647,59 euro. 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- 708,05 euro.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- 965,31 euro.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15. Den korrigeringskoefficient som tillämpas på de belopp som avses i artikel 4 i rådets förordning (EEG, Euratom, EKSG) nr 260/68</w:t>
      </w:r>
      <w:r>
        <w:rPr>
          <w:rFonts w:ascii="Times New Roman" w:eastAsia="Calibri" w:hAnsi="Times New Roman" w:cs="Times New Roman"/>
          <w:noProof/>
          <w:szCs w:val="20"/>
          <w:vertAlign w:val="superscript"/>
        </w:rPr>
        <w:footnoteReference w:id="2"/>
      </w:r>
      <w:r>
        <w:rPr>
          <w:rFonts w:ascii="Times New Roman" w:hAnsi="Times New Roman"/>
          <w:noProof/>
          <w:szCs w:val="20"/>
        </w:rPr>
        <w:t xml:space="preserve"> ska från och med den 1 juli 2019 vara 6,1934.</w:t>
      </w:r>
    </w:p>
    <w:p>
      <w:pPr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noProof/>
        </w:rPr>
        <w:br w:type="page"/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16. Tabell över de belopp som anges i artikel 8.2 i bilaga XIII till tjänsteföreskrifterna, tillämpliga från och med den 1 juli 2019:</w:t>
      </w:r>
    </w:p>
    <w:tbl>
      <w:tblPr>
        <w:tblW w:w="4940" w:type="pct"/>
        <w:tblLayout w:type="fixed"/>
        <w:tblLook w:val="04A0" w:firstRow="1" w:lastRow="0" w:firstColumn="1" w:lastColumn="0" w:noHBand="0" w:noVBand="1"/>
      </w:tblPr>
      <w:tblGrid>
        <w:gridCol w:w="960"/>
        <w:gridCol w:w="949"/>
        <w:gridCol w:w="79"/>
        <w:gridCol w:w="962"/>
        <w:gridCol w:w="66"/>
        <w:gridCol w:w="971"/>
        <w:gridCol w:w="57"/>
        <w:gridCol w:w="980"/>
        <w:gridCol w:w="48"/>
        <w:gridCol w:w="989"/>
        <w:gridCol w:w="39"/>
        <w:gridCol w:w="998"/>
        <w:gridCol w:w="29"/>
        <w:gridCol w:w="1008"/>
        <w:gridCol w:w="20"/>
        <w:gridCol w:w="1022"/>
      </w:tblGrid>
      <w:tr>
        <w:trPr>
          <w:trHeight w:val="28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0"/>
              </w:rPr>
            </w:pPr>
            <w:r>
              <w:rPr>
                <w:rFonts w:ascii="Arial Narrow" w:hAnsi="Arial Narrow"/>
                <w:noProof/>
                <w:sz w:val="18"/>
                <w:szCs w:val="20"/>
              </w:rPr>
              <w:t>1/7/2019</w:t>
            </w:r>
          </w:p>
        </w:tc>
        <w:tc>
          <w:tcPr>
            <w:tcW w:w="447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LÖNEKLASS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LÖNEGRAD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18 994,33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19 792,50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20 624,20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20 624,20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20 624,20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20 624,20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15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16 787,82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17 493,27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18 228,35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18 735,49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18 994,33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19 792,50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14 837,60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15 461,11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16 110,80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16 559,04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16 787,82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17 493,27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18 228,35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18 994,33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13 113,98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13 665,04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14 239,26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14 635,43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14 837,60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11 590,57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12 077,61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12 585,13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12 935,26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13 113,98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13 665,04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14 239,26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14 837,60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10 244,12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10 674,58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11 123,14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11 432,61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11 590,57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12 077,61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12 585,13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13 113,98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9 054,10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9 434,55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9 831,02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10 104,52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10 244,12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10 674,58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11 123,14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11 590,57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8 002,30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8 338,57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8 688,98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8 930,71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9 054,10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7 072,70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7 369,90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7 679,59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7 893,26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8 002,30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8 338,57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8 688,98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9 054,10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6 251,08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6 513,76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6 787,48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6 976,32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7 072,70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7 369,90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7 679,59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8 002,30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5 524,91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5 757,08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5 998,99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6 165,90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6 251,08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6 513,76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6 787,48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7 072,70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4 883,11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5 088,30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5 302,11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5 449,63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5 524,91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5 757,08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5 998,99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6 251,08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4 315,85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4 497,20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4 686,18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4 816,55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4 883,11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5 088,30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5 302,11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5 524,91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3 814,47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3 974,78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4 141,81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4 257,02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4 315,85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4 497,20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4 686,18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4 883,11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3 371,37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3 513,03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3 660,66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3 762,50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3 814,47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3 974,78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4 141,81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4 315,85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2 979,73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3 104,93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3 235,40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3 325,43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3 371,37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</w:tr>
    </w:tbl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17. Belopp, tillämpligt från och med den 1 juli 2019, för det fasta tillägget enligt den tidigare artikel 4a i bilaga VII till de före den 1 maj 2004 gällande tjänsteföreskrifterna, som används för tillämpningen av artikel 18.1 i bilaga XIII till tjänsteföreskrifterna: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- 148,01 euro per månad för tjänstemän i lönegrad C4 eller C5, och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- 226,94 euro per månad för tjänstemän i lönegrad C1, C2 eller C3.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18. Tabell över beloppen i skalan för grundlöner enligt artikel 133 i anställningsvillkoren för övriga anställda från och med den 1 juli 2019: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3"/>
        <w:gridCol w:w="1144"/>
        <w:gridCol w:w="1144"/>
        <w:gridCol w:w="1144"/>
        <w:gridCol w:w="1144"/>
        <w:gridCol w:w="1323"/>
        <w:gridCol w:w="1028"/>
        <w:gridCol w:w="1088"/>
      </w:tblGrid>
      <w:tr>
        <w:trPr>
          <w:trHeight w:val="255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Grad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</w:t>
            </w:r>
          </w:p>
        </w:tc>
      </w:tr>
      <w:tr>
        <w:trPr>
          <w:trHeight w:val="510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Grundlön för heltidstjänst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1 886,92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2 198,26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2 383,36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2 584,07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2 801,67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3 037,62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3 293,42</w:t>
            </w:r>
          </w:p>
        </w:tc>
      </w:tr>
      <w:tr>
        <w:trPr>
          <w:trHeight w:val="255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Grad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</w:t>
            </w:r>
          </w:p>
        </w:tc>
      </w:tr>
      <w:tr>
        <w:trPr>
          <w:trHeight w:val="510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Grundlön för heltidstjänst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3 570,78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3 871,47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4 197,48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4 550,94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4 934,19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5 349,69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5 800,20</w:t>
            </w:r>
          </w:p>
        </w:tc>
      </w:tr>
      <w:tr>
        <w:trPr>
          <w:trHeight w:val="255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Grad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525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Grundlön för heltidstjänst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6 288,64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6 818,22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7 392,39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8 014,89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8 689,85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BILAGA II</w:t>
      </w:r>
    </w:p>
    <w:p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 xml:space="preserve">ÅRLIG UPPDATERING </w:t>
      </w:r>
    </w:p>
    <w:p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b/>
          <w:noProof/>
        </w:rPr>
        <w:t>AV KORRIGERINGSKOEFFICIENTERNA FÖR LÖNER TILL EUROPEISKA UNIONENS TJÄNSTEMÄN, TILLFÄLLIGT ANSTÄLLDA OCH KONTRAKTSANSTÄLLDA SOM TJÄNSTGÖR I TREDJELÄNDER</w:t>
      </w:r>
      <w:r>
        <w:rPr>
          <w:rFonts w:ascii="Calibri" w:eastAsia="Calibri" w:hAnsi="Calibri" w:cs="Times New Roman"/>
          <w:b/>
          <w:noProof/>
          <w:vertAlign w:val="superscript"/>
        </w:rPr>
        <w:footnoteReference w:id="3"/>
      </w:r>
    </w:p>
    <w:tbl>
      <w:tblPr>
        <w:tblW w:w="9229" w:type="dxa"/>
        <w:tblInd w:w="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559"/>
        <w:gridCol w:w="2302"/>
      </w:tblGrid>
      <w:tr>
        <w:trPr>
          <w:trHeight w:val="120"/>
        </w:trPr>
        <w:tc>
          <w:tcPr>
            <w:tcW w:w="4551" w:type="dxa"/>
            <w:shd w:val="clear" w:color="000000" w:fill="FFFFFF"/>
            <w:vAlign w:val="center"/>
            <w:hideMark/>
          </w:tcPr>
          <w:p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TJÄNSTGÖRINGSORT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Ekonomisk paritet</w:t>
            </w:r>
            <w:r>
              <w:rPr>
                <w:rFonts w:ascii="Calibri" w:hAnsi="Calibri"/>
                <w:b/>
                <w:noProof/>
              </w:rPr>
              <w:br/>
              <w:t>juli 2019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Växelkurs</w:t>
            </w:r>
            <w:r>
              <w:rPr>
                <w:rFonts w:ascii="Calibri" w:hAnsi="Calibri"/>
                <w:b/>
                <w:noProof/>
              </w:rPr>
              <w:br/>
              <w:t>juli 2019 (*)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Korrigeringskoefficient</w:t>
            </w:r>
            <w:r>
              <w:rPr>
                <w:rFonts w:ascii="Calibri" w:hAnsi="Calibri"/>
                <w:b/>
                <w:noProof/>
              </w:rPr>
              <w:br/>
              <w:t xml:space="preserve"> juli 2019 (**)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Afghanistan(***)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Albanien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121,820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63,4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Algeriet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135,123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Angola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387,638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102,7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Argentina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48,2543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49,0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Armenien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544,320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Australien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1,62510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95,0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Azerbajdzjan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1,93290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86,9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Bangladesh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96,0765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83,2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Barbados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2,28618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103,7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Vitryssland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2,31690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81,3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Belize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2,27400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Benin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Bolivia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6 563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7,85667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83,5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Bosnien och Hercegovina (Banja Luka)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Bosnien och Hercegovina (Sarajevo)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1,95583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61,6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Botswana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8,008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12,1359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66,0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Brasilien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4,38680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72,1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Burkina Faso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92,7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Burundi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2101,66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83,5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Kambodja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76,1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Kamerun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85,1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Kanada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1,49280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94,6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Kap Verde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110,265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Centralafrikanska republiken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109,3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Tchad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85,3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Chile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775,786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84,8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Kina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6 606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7,81990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84,5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Colombia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3628,36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61,2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Komorerna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491,968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74,9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Kongo (Brazzaville)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119,3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Costa Rica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664 571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72,8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Kuba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0,9512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83,7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Demokratiska republiken Kongo (Kinshasa)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1859,06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106,4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Djibouti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202,068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86,9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Dominikanska republiken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57,7476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Ecuador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0,8419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74,0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Egypten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19,0314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El Salvador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0,7978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Eritrea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17,4046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117,0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Eswatini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16,0893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63,7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Etiopien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32,8448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91,9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Fiji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2,45459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73,3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Gabon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103,5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Gambia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56,2300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63,2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Georgien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3,1838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62,1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Ghana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5,98255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83,7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Guatemala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7 450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8,76521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85,0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Guinea (Conakry)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9482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10359,8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91,5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Guinea-Bissau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76,0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Guyana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238,385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71,0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Haiti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105,839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Honduras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27,8690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Hongkong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8,8836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113,9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Island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141,700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124,8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Indien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78,5675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Indonesien (Banda Aceh)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Indonesien (Jakarta)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11299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16077,2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Iran (* * 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Irak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Israel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4,07590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106,1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Elfenbenskusten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89,6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Jamaica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144,585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82,4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Japan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122 640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101,2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Jordanien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0,8007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0,80613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99,3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Kazakstan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431,050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61,5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Kenya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116,014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84,7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Kosovo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0,7015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Kirgizistan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79,0348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Laos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9872,50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Libanon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1714,03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97,5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Lesotho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16,0893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Liberia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192,6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Libyen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Madagaskar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4091,11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80,9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Malawi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885,644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53,6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Malaysia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4,71170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63,4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Mali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73,8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Mauretanien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41,9150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69,8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Mauritius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40,3618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Mexiko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21,7397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61,6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Moldavien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20,7388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Mongoliet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3021,09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67,9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Montenegro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0,6288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62,9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Marocko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7 754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10,8400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71,5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Moçambique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Myanmar/Burma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1746,43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62,3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Namibia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16,0893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Nepal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126 470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89,7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Nya Kaledonien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119 332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107,0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Nya Zeeland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1,69960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96,0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Nicaragua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37,6599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76,8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Niger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655 957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74,5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Nigeria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348,959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88,0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Nordmakedonien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61,4951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52,2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Norge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9,68430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129,2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Pakistan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178,917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43,5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Panama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0,9641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84,8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Papua Nya Guinea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3,84772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90,6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Paraguay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7051,71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58,8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Peru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3,75267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87,5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Filippinerna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58,2090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89,2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Ryssland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71,6096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101,0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Rwanda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1021,04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Samoa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3,00595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72,7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Saudiarabien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4,26375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86,7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Senegal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95,3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Serbien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117,913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54,8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Sierra Leone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10075,0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96,9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Singapore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1,53930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123,8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Salomonöarna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9,738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9,11055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106,9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Somalia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Sydafrika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16,0893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56,3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Sydkorea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1313,12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94,6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Sydsudan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180,271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203,3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Sri Lanka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201,220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Sudan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50,9690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68,6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Surinam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8,47975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68,5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Schweiz (Bern)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127,0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Schweiz (Genève)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127,0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Syrien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Taiwan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35,4158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80,8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Tadzjikistan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10,7328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53,7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Förenade republiken Tanzania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2608,69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Thailand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35,0030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81,9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Östtimor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0,9008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Togo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655 957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Trinidad och Tobago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7,86270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Tunisien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3,29600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Turkiet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6,55730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50,8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Turkmenistan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3,97950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112,4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Uganda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4179,27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Ukraina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29,7794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82,1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Förenade Arabemiraten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4,17880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100,0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Förenta staterna (New York)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102,5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Förenta staterna (Washington)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0,9866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86,8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Uruguay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39,9690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87,4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Uzbekistan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9735,38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48,3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Vanuatu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132,201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98,0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Venezuela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Vietnam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16570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26492,1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62,5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Västbanken och Gazaremsan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4,07590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106,1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Jemen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Zambia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9,135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14,7839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61,8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Zimbabwe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115,2</w:t>
            </w:r>
          </w:p>
        </w:tc>
      </w:tr>
    </w:tbl>
    <w:p>
      <w:pPr>
        <w:rPr>
          <w:rFonts w:ascii="Calibri" w:eastAsia="Calibri" w:hAnsi="Calibri" w:cs="Times New Roman"/>
          <w:noProof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t xml:space="preserve">(*) 1 euro = x enheter i den nationella valutan (US-dollar för Kuba, El Salvador, Ecuador, Liberia, Panama, Östtimor och Zimbabwe). </w:t>
      </w:r>
    </w:p>
    <w:p>
      <w:pPr>
        <w:rPr>
          <w:rFonts w:ascii="Calibri" w:eastAsia="Calibri" w:hAnsi="Calibri" w:cs="Times New Roman"/>
          <w:noProof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t>(**) Bryssel och Luxemburg = 100 %.</w:t>
      </w:r>
    </w:p>
    <w:p>
      <w:pPr>
        <w:rPr>
          <w:rFonts w:ascii="Calibri" w:eastAsia="Calibri" w:hAnsi="Calibri" w:cs="Times New Roman"/>
          <w:noProof/>
        </w:rPr>
      </w:pPr>
      <w:r>
        <w:rPr>
          <w:rFonts w:ascii="Calibri" w:hAnsi="Calibri"/>
          <w:noProof/>
        </w:rPr>
        <w:t>Uppgift saknas (***) antingen på grund av att den lokala situationen är instabil eller att tillförlitliga uppgifter saknas.</w:t>
      </w:r>
    </w:p>
    <w:p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</w:p>
    <w:p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BILAGA III</w:t>
      </w:r>
    </w:p>
    <w:p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/>
          <w:b/>
          <w:noProof/>
        </w:rPr>
        <w:t>MELLANLIGGANDE UPPDATERING AV JUSTERINGSKOEFFICIENTERNA FÖR</w:t>
      </w:r>
      <w:r>
        <w:rPr>
          <w:rFonts w:ascii="Times New Roman" w:hAnsi="Times New Roman"/>
          <w:b/>
          <w:noProof/>
        </w:rPr>
        <w:br/>
        <w:t xml:space="preserve"> LÖNER TILL EUROPEISKA UNIONENS TJÄNSTEMÄN, TILLFÄLLIGT ANSTÄLLDA OCH KONTRAKTSANSTÄLLDA</w:t>
      </w:r>
      <w:r>
        <w:rPr>
          <w:rFonts w:ascii="Times New Roman" w:hAnsi="Times New Roman"/>
          <w:b/>
          <w:noProof/>
        </w:rPr>
        <w:br/>
        <w:t xml:space="preserve"> SOM TJÄNSTGÖR I TREDJELÄNDER</w:t>
      </w:r>
      <w:r>
        <w:rPr>
          <w:rFonts w:ascii="Times New Roman" w:eastAsia="Times New Roman" w:hAnsi="Times New Roman" w:cs="Times New Roman"/>
          <w:b/>
          <w:noProof/>
          <w:vertAlign w:val="superscript"/>
        </w:rPr>
        <w:footnoteReference w:id="4"/>
      </w:r>
    </w:p>
    <w:tbl>
      <w:tblPr>
        <w:tblpPr w:leftFromText="180" w:rightFromText="180" w:vertAnchor="page" w:horzAnchor="margin" w:tblpXSpec="center" w:tblpY="2906"/>
        <w:tblW w:w="9940" w:type="dxa"/>
        <w:tblLayout w:type="fixed"/>
        <w:tblLook w:val="04A0" w:firstRow="1" w:lastRow="0" w:firstColumn="1" w:lastColumn="0" w:noHBand="0" w:noVBand="1"/>
      </w:tblPr>
      <w:tblGrid>
        <w:gridCol w:w="510"/>
        <w:gridCol w:w="3638"/>
        <w:gridCol w:w="1814"/>
        <w:gridCol w:w="10"/>
        <w:gridCol w:w="11"/>
        <w:gridCol w:w="346"/>
        <w:gridCol w:w="1437"/>
        <w:gridCol w:w="17"/>
        <w:gridCol w:w="348"/>
        <w:gridCol w:w="1573"/>
        <w:gridCol w:w="236"/>
      </w:tblGrid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noProof/>
                <w:sz w:val="32"/>
                <w:szCs w:val="32"/>
              </w:rPr>
              <w:t>FEBRUARI 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6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TJÄNSTGÖRINGSORT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Ekonomisk paritet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februari 2019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Växelkurs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februari 2019 (*)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Korrigeringskoefficient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februari 2019 (**)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Argentina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19,90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42,3216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Botswana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8 078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11,8906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Egypten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12,72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20,2046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Etiopien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26,64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32,4790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Gabon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688,8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655,957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Ghana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4,330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5,61925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Nigeria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298,3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349,431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Sierra Leone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9221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9661,58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Sydsudan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283,4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176,701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Sudan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31,10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54,3759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Uzbekistan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3960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9575,42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(*)</w:t>
            </w: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 euro = x enheter i den nationella valutan.</w:t>
            </w: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 *)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Bryssel och Luxemburg = 100.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noProof/>
                <w:sz w:val="32"/>
                <w:szCs w:val="32"/>
              </w:rPr>
              <w:t>MARS 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6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TJÄNSTGÖRINGSORT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Ekonomisk paritet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mars 2019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Växelkurs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mars 2019 (*)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Korrigeringskoefficient mars 2019 (**)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Eritrea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19,94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17,3431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Sydsudan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316,9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176,705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(*)</w:t>
            </w: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 euro = x enheter i den nationella valutan.</w:t>
            </w: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 *)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Bryssel och Luxemburg = 100.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4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noProof/>
                <w:sz w:val="32"/>
                <w:szCs w:val="32"/>
              </w:rPr>
              <w:t>APRIL 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6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TJÄNSTGÖRINGSORT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Ekonomisk paritet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April 2019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Växelkurs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Växelkurs april 2019 (*)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Korrigeringskoefficient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April 2019 (**)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Angola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384,7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360,004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Argentina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21,41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47,2053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Burundi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1726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2066,69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Demokratiska republiken Kongo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1866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1867,81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Ghana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4 555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5,75645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Pakistan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76,03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158 505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Panama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0,9194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1,12180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Sydsudan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341,3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174,875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195,2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Sudan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33,20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53,8648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Uruguay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34,53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37,5882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Uzbekistan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4252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9421,96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(*)</w:t>
            </w: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 euro = x enheter i den nationella valutan, utom US-dollar för: Panama.</w:t>
            </w: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 *)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Bryssel och Luxemburg = 100.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4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noProof/>
                <w:sz w:val="32"/>
                <w:szCs w:val="32"/>
              </w:rPr>
              <w:t>MAJ 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84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TJÄNSTGÖRINGSORT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Ekonomisk paritet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maj 2019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Växelkurs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maj 2019 (*)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Korrigeringskoefficient maj 2019 (**)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Kamerun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542,5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655,957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Egypten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13,64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19,2205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Etiopien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28,28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32,3931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Haiti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80,32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95,1980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Myanmar/Burma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1068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1699,26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Tadzjikistan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5,503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10,5250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(*)</w:t>
            </w: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 euro = x enheter i den nationella valutan.</w:t>
            </w: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 *)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Bryssel och Luxemburg = 100.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4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noProof/>
                <w:sz w:val="32"/>
                <w:szCs w:val="32"/>
              </w:rPr>
              <w:t>JUNI 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84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TJÄNSTGÖRINGSORT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Ekonomisk paritet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juni 2019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Växelkurs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 xml:space="preserve"> juni 2019 (*)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Korrigeringskoefficient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juni 2019 (**)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Argentina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22,82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50,1625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Kongo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766,8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655,957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Ghana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4 815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5,73320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Mongoliet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2038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2963,29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Tunisien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2 118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3,34000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Uzbekistan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4537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9497,43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Vietnam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16330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26183,7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Zambia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9 077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14,9570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(*)</w:t>
            </w: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 euro = x enheter i den nationella valutan.</w:t>
            </w: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 *)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Bryssel och Luxemburg = 100.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</w:tbl>
    <w:p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0018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rPr>
          <w:rStyle w:val="FootnoteReference"/>
        </w:rPr>
        <w:tab/>
      </w:r>
      <w:r>
        <w:t>Rådets förordning (EKSG, EEG, Euratom) nr 300/76 av den 9 februari 1976 om fastställande av de grupper av tjänstemän som är berättigade till ersättning för skiftarbete samt storleken på och villkoren för denna ersättning (EGT L 38, 13.2.1976, s. 1).</w:t>
      </w:r>
      <w:r>
        <w:rPr>
          <w:rStyle w:val="FootnoteReference"/>
        </w:rPr>
        <w:t xml:space="preserve"> </w:t>
      </w:r>
      <w:r>
        <w:t>Förordningen kompletterad genom förordning (Euratom, EKSG, EEG) nr 1307/87 (EGT L 124, 13.5.1987, s. 6).</w:t>
      </w:r>
    </w:p>
  </w:footnote>
  <w:footnote w:id="2">
    <w:p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rPr>
          <w:rStyle w:val="FootnoteReference"/>
        </w:rPr>
        <w:tab/>
      </w:r>
      <w:r>
        <w:t>Rådets förordning (EEG, Euratom, EKSG) nr 260/68 av den 29 februari 1968 om villkoren för och förfarandet vid skatt till Europeiska gemenskaperna (EGT L 56, 4.3.1968, s. 8).</w:t>
      </w:r>
    </w:p>
  </w:footnote>
  <w:footnote w:id="3">
    <w:p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>Eurostats rapport av den 31 oktober 2019 om 2019 års uppdatering av löner och pensioner till EU:s tjänstemän i enlighet med artiklarna 64 och 65 i och bilaga XI till tjänsteföreskrifterna för tjänstemän och övriga anställda i Europeiska unionen, genom vilken med verkan från och med den 1 juli 2019 en justering sker av lönerna för anställda i aktiv tjänst och pensioner till pensionerade f.d. anställda, och genom vilken med verkan från och med den 1 juli 2019 en uppdatering sker av de korrigeringskoefficienter som tillämpas på löner till anställda i aktiv tjänst som tjänstgör på tjänstgöringsorter i och utanför EU, på pensioner till pensionerade f.d. anställda enligt deras bosättningsland och på pensionsöverföringar.</w:t>
      </w:r>
    </w:p>
    <w:p>
      <w:pPr>
        <w:pStyle w:val="FootnoteText"/>
      </w:pPr>
      <w:r>
        <w:t>Ytterligare upplysningar om metoden finns på Eurostats webbplats (”Statistics Database” &gt; ”Economy and finance” &gt; ”Prices” &gt; ”Correction coefficients”).</w:t>
      </w:r>
    </w:p>
  </w:footnote>
  <w:footnote w:id="4">
    <w:p>
      <w:pPr>
        <w:pStyle w:val="FootnoteText"/>
        <w:jc w:val="both"/>
        <w:rPr>
          <w:sz w:val="18"/>
        </w:rPr>
      </w:pPr>
      <w:r>
        <w:rPr>
          <w:rStyle w:val="FootnoteReference"/>
        </w:rPr>
        <w:footnoteRef/>
      </w:r>
      <w:r>
        <w:t>Eurostats rapport av den 28 oktober 2019 om en interimistisk uppdatering av justeringskoefficienterna för löner till Europeiska unionens tjänstemän, tillfälligt anställda och kontraktsanställda som tjänstgör i delegationer i tredjeländer, i enlighet med artikel 64 i och bilaga X och bilaga XI till tjänsteföreskrifterna för tjänstemännen vid Europeiska unionen och anställningsvillkor för övriga anställda vid unionen (Ares(2019)6661612).</w:t>
      </w:r>
    </w:p>
    <w:p>
      <w:pPr>
        <w:pStyle w:val="FootnoteText"/>
        <w:jc w:val="both"/>
        <w:rPr>
          <w:sz w:val="18"/>
        </w:rPr>
      </w:pPr>
      <w:r>
        <w:rPr>
          <w:sz w:val="18"/>
        </w:rPr>
        <w:t>Ytterligare upplysningar om metoden finns på Eurostats webbplats (”Statistikdatabas” &gt; ”Ekonomi och finans” &gt; ”Priser” &gt; ”Korrigeringskoefficienter”)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ill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D7013645-CC2B-497A-9117-933F281AECD5"/>
    <w:docVar w:name="LW_COVERPAGE_TYPE" w:val="1"/>
    <w:docVar w:name="LW_CROSSREFERENCE" w:val="&lt;UNUSED&gt;"/>
    <w:docVar w:name="LW_DocType" w:val="NORMAL"/>
    <w:docVar w:name="LW_EMISSION" w:val="28.11.2019"/>
    <w:docVar w:name="LW_EMISSION_ISODATE" w:val="2019-11-28"/>
    <w:docVar w:name="LW_EMISSION_LOCATION" w:val="BRX"/>
    <w:docVar w:name="LW_EMISSION_PREFIX" w:val="Bryssel den "/>
    <w:docVar w:name="LW_EMISSION_SUFFIX" w:val=" "/>
    <w:docVar w:name="LW_ID_DOCTYPE_NONLW" w:val="CP-039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.CP" w:val="om uppgifter om budgetkonsekvenserna av den årliga uppdateringen för 2019 av löner och pensioner för tjänstemän och övriga anställda i Europeiska unionen och om de på dessa löner och pensioner tillämpliga korrigeringskoefficienterna_x000d_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6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BILAGOR_x000b_"/>
    <w:docVar w:name="LW_TYPEACTEPRINCIPAL.CP" w:val="Rapport från kommissionen till Europaparlamentet och rådet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 w:val="0"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 w:val="0"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DD1B-87A7-4E5D-BC7B-E4DEC0E4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17</Pages>
  <Words>3357</Words>
  <Characters>16183</Characters>
  <Application>Microsoft Office Word</Application>
  <DocSecurity>0</DocSecurity>
  <Lines>2022</Lines>
  <Paragraphs>1776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PIRLOT DE CORBION Caroline (HR)</dc:creator>
  <cp:lastModifiedBy>DIGIT/C6</cp:lastModifiedBy>
  <cp:revision>13</cp:revision>
  <cp:lastPrinted>2019-11-05T08:24:00Z</cp:lastPrinted>
  <dcterms:created xsi:type="dcterms:W3CDTF">2019-10-30T18:01:00Z</dcterms:created>
  <dcterms:modified xsi:type="dcterms:W3CDTF">2019-11-25T12:40:00Z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3</vt:lpwstr>
  </property>
  <property fmtid="{D5CDD505-2E9C-101B-9397-08002B2CF9AE}" pid="4" name="Part">
    <vt:lpwstr>&lt;UNUSED&gt;</vt:lpwstr>
  </property>
  <property fmtid="{D5CDD505-2E9C-101B-9397-08002B2CF9AE}" pid="5" name="Total parts">
    <vt:lpwstr>&lt;UNUSED&gt;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  <property fmtid="{D5CDD505-2E9C-101B-9397-08002B2CF9AE}" pid="9" name="Last edited using">
    <vt:lpwstr>LW 7.0, Build 20190717</vt:lpwstr>
  </property>
  <property fmtid="{D5CDD505-2E9C-101B-9397-08002B2CF9AE}" pid="10" name="Created using">
    <vt:lpwstr>LW 6.0.1, Build 20180503</vt:lpwstr>
  </property>
  <property fmtid="{D5CDD505-2E9C-101B-9397-08002B2CF9AE}" pid="11" name="CPTemplateID">
    <vt:lpwstr>CP-039</vt:lpwstr>
  </property>
</Properties>
</file>