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74" w:rsidRDefault="00557887" w:rsidP="0055788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83E5B437-E224-49C7-A9B6-393BE724A249" style="width:450.75pt;height:387pt">
            <v:imagedata r:id="rId7" o:title=""/>
          </v:shape>
        </w:pict>
      </w:r>
    </w:p>
    <w:bookmarkEnd w:id="0"/>
    <w:p w:rsidR="00DD6B74" w:rsidRDefault="00DD6B74">
      <w:pPr>
        <w:rPr>
          <w:noProof/>
        </w:rPr>
        <w:sectPr w:rsidR="00DD6B74" w:rsidSect="0055788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bookmarkStart w:id="1" w:name="_GoBack"/>
      <w:bookmarkEnd w:id="1"/>
      <w:r>
        <w:rPr>
          <w:rFonts w:ascii="Times New Roman Bold" w:hAnsi="Times New Roman Bold"/>
          <w:b/>
          <w:smallCaps/>
          <w:noProof/>
          <w:sz w:val="24"/>
          <w:szCs w:val="24"/>
        </w:rPr>
        <w:lastRenderedPageBreak/>
        <w:t>SFOND</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L-iżviluppi ekonomiċi u l-politiki fil-Greċja huma mmonitorjati b’konformità mas-Semestru Ewropew għall-koordinazzjoni tal-politika ekonomika </w:t>
      </w:r>
      <w:r>
        <w:rPr>
          <w:rFonts w:ascii="Times New Roman" w:hAnsi="Times New Roman"/>
          <w:b/>
          <w:bCs/>
          <w:noProof/>
          <w:sz w:val="24"/>
          <w:szCs w:val="24"/>
        </w:rPr>
        <w:t>kif ukoll mas-sorveljanza msaħħa skont ir-Regolament (UE) Nru 472/2013 (</w:t>
      </w:r>
      <w:r>
        <w:rPr>
          <w:rFonts w:ascii="Times New Roman" w:eastAsia="Times New Roman" w:hAnsi="Times New Roman" w:cs="Times New Roman"/>
          <w:noProof/>
          <w:sz w:val="24"/>
          <w:szCs w:val="24"/>
          <w:vertAlign w:val="superscript"/>
        </w:rPr>
        <w:footnoteReference w:id="1"/>
      </w:r>
      <w:r>
        <w:rPr>
          <w:rFonts w:ascii="Times New Roman" w:hAnsi="Times New Roman"/>
          <w:b/>
          <w:bCs/>
          <w:noProof/>
          <w:sz w:val="24"/>
          <w:szCs w:val="24"/>
        </w:rPr>
        <w:t>).</w:t>
      </w:r>
      <w:r>
        <w:rPr>
          <w:rFonts w:ascii="Times New Roman" w:hAnsi="Times New Roman"/>
          <w:noProof/>
          <w:sz w:val="24"/>
          <w:szCs w:val="24"/>
        </w:rPr>
        <w:t xml:space="preserve"> L-implimentazzjoni tas-sorveljanza msaħħa għall-Greċja (</w:t>
      </w:r>
      <w:r>
        <w:rPr>
          <w:rFonts w:ascii="Times New Roman" w:eastAsia="Times New Roman" w:hAnsi="Times New Roman" w:cs="Times New Roman"/>
          <w:noProof/>
          <w:sz w:val="24"/>
          <w:szCs w:val="24"/>
          <w:vertAlign w:val="superscript"/>
        </w:rPr>
        <w:footnoteReference w:id="2"/>
      </w:r>
      <w:r>
        <w:rPr>
          <w:rFonts w:ascii="Times New Roman" w:hAnsi="Times New Roman"/>
          <w:noProof/>
          <w:sz w:val="24"/>
          <w:szCs w:val="24"/>
        </w:rPr>
        <w:t>) tirrikonoxxi li fuq perjodu medju ta’ żmien, il-Greċja jeħtiġilha tkompli tadotta miżuri biex tindirizza s-sorsi jew is-s</w:t>
      </w:r>
      <w:r>
        <w:rPr>
          <w:rFonts w:ascii="Times New Roman" w:hAnsi="Times New Roman"/>
          <w:noProof/>
          <w:sz w:val="24"/>
          <w:szCs w:val="24"/>
        </w:rPr>
        <w:t xml:space="preserve">orsi potenzjali tad-diffikultajiet ekonomiċi u finanzjarji, filwaqt li timplimenta riformi strutturali biex tappoġġa tkabbir ekonomiku robust u sostenibbli.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Is-sorveljanza msaħħa tipprovdi qafas komprensiv għall-monitoraġġ tal-iżviluppi ekonomiċi u t-twet</w:t>
      </w:r>
      <w:r>
        <w:rPr>
          <w:rFonts w:ascii="Times New Roman" w:hAnsi="Times New Roman"/>
          <w:b/>
          <w:bCs/>
          <w:noProof/>
          <w:sz w:val="24"/>
          <w:szCs w:val="24"/>
        </w:rPr>
        <w:t xml:space="preserve">tiq tal-politiki meħtieġa biex jiġi żgurat irkupru ekonomiku sostenibbli. </w:t>
      </w:r>
      <w:r>
        <w:rPr>
          <w:rFonts w:ascii="Times New Roman" w:hAnsi="Times New Roman"/>
          <w:noProof/>
          <w:sz w:val="24"/>
          <w:szCs w:val="24"/>
        </w:rPr>
        <w:t>Din tippermetti li ssir valutazzjoni fuq bażi regolari tal-iżviluppi ekonomiċi u finanzjarji riċenti fil-Greċja, kif ukoll li jsir monitoraġġ tal-kundizzjonijiet tal-finanzjament sov</w:t>
      </w:r>
      <w:r>
        <w:rPr>
          <w:rFonts w:ascii="Times New Roman" w:hAnsi="Times New Roman"/>
          <w:noProof/>
          <w:sz w:val="24"/>
          <w:szCs w:val="24"/>
        </w:rPr>
        <w:t>ran u aġġornamenti tal-analiżi tas-sostenibbiltà tad-dejn. Is-sorveljanza msaħħa tipprovdi wkoll il-qafas għall-valutazzjoni tal-impenn ġenerali, li ngħata lill-Grupp tal-Euro mill-Greċja fit-22 ta’ Ġunju 2018, biex tkompli u tlesti r-riformi adottati skon</w:t>
      </w:r>
      <w:r>
        <w:rPr>
          <w:rFonts w:ascii="Times New Roman" w:hAnsi="Times New Roman"/>
          <w:noProof/>
          <w:sz w:val="24"/>
          <w:szCs w:val="24"/>
        </w:rPr>
        <w:t>t il-programm tal-Mekkaniżmu Ewropew ta’ Stabbiltà u biex tiggarantixxi li l-objettivi tar-riformi importanti adottati b’konformità mal-programmi ta’ assistenza finanzjarja jiġu salvagwardati. F’dan il-kuntest, is-sorveljanza msaħħa twettaq il-monitoraġġ t</w:t>
      </w:r>
      <w:r>
        <w:rPr>
          <w:rFonts w:ascii="Times New Roman" w:hAnsi="Times New Roman"/>
          <w:noProof/>
          <w:sz w:val="24"/>
          <w:szCs w:val="24"/>
        </w:rPr>
        <w:t>al-implimentazzjoni ta’ impenji speċifiċi biex jitlestew ir-riformi strutturali ewlenin li bdew skont il-programm f’sitt oqsma ewlenin bi skadenzi miftiehma sa nofs l-2022, jiġifieri: il-politiki fiskali u fiskali-strutturali, (ii) il-benesseri soċjali, (i</w:t>
      </w:r>
      <w:r>
        <w:rPr>
          <w:rFonts w:ascii="Times New Roman" w:hAnsi="Times New Roman"/>
          <w:noProof/>
          <w:sz w:val="24"/>
          <w:szCs w:val="24"/>
        </w:rPr>
        <w:t>ii) l-istabbiltà finanzjarja, (iv) is-swieq tax-xogħol u tal-prodotti, (v) il-privatizzazzjoni u (vi) il-modernizzazzjoni tal-amministrazzjoni pubblika (</w:t>
      </w:r>
      <w:r>
        <w:rPr>
          <w:rFonts w:ascii="Times New Roman" w:eastAsia="Times New Roman" w:hAnsi="Times New Roman" w:cs="Times New Roman"/>
          <w:noProof/>
          <w:sz w:val="24"/>
          <w:szCs w:val="24"/>
          <w:vertAlign w:val="superscript"/>
        </w:rPr>
        <w:footnoteReference w:id="3"/>
      </w:r>
      <w:r>
        <w:rPr>
          <w:rFonts w:ascii="Times New Roman" w:hAnsi="Times New Roman"/>
          <w:noProof/>
          <w:sz w:val="24"/>
          <w:szCs w:val="24"/>
        </w:rPr>
        <w:t>). Ħmistax-il impenn speċifiku għandhom skadenza sa nofs l-2019 u l-progress dwarhom huwa vvalutat f’d</w:t>
      </w:r>
      <w:r>
        <w:rPr>
          <w:rFonts w:ascii="Times New Roman" w:hAnsi="Times New Roman"/>
          <w:noProof/>
          <w:sz w:val="24"/>
          <w:szCs w:val="24"/>
        </w:rPr>
        <w:t xml:space="preserve">an ir-rapport.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Dan huwa r-raba’ rapport dwar is-sorveljanza msaħħa għall-Greċja.</w:t>
      </w:r>
      <w:r>
        <w:rPr>
          <w:rFonts w:ascii="Times New Roman" w:hAnsi="Times New Roman"/>
          <w:noProof/>
          <w:sz w:val="24"/>
          <w:szCs w:val="24"/>
        </w:rPr>
        <w:t xml:space="preserve"> Dan qiegħed jinħareġ flimkien mal-valutazzjoni tal-Abbozz ta’ Pjan Baġitarju tal-Greċja għall-2020 u jservi wkoll bħala rapport ta’ monitoraġġ speċifiku skont il-proċedura ta</w:t>
      </w:r>
      <w:r>
        <w:rPr>
          <w:rFonts w:ascii="Times New Roman" w:hAnsi="Times New Roman"/>
          <w:noProof/>
          <w:sz w:val="24"/>
          <w:szCs w:val="24"/>
        </w:rPr>
        <w:t>’ żbilanċ makroekonomiku tal-Greċja b’konformità mas-Semestru Ewropew, billi dan il-pajjiż qiegħed jesperjenza żbilanċi eċċessivi fis-Semestru Ewropew tal-2019. Dan ir-rapport huwa bbażat fuq il-konklużjonijiet ta’ missjoni tal-Kummissjoni flimkien mal-Ban</w:t>
      </w:r>
      <w:r>
        <w:rPr>
          <w:rFonts w:ascii="Times New Roman" w:hAnsi="Times New Roman"/>
          <w:noProof/>
          <w:sz w:val="24"/>
          <w:szCs w:val="24"/>
        </w:rPr>
        <w:t>k Ċentrali Ewropew f’Ateni bejn it-23 u s-26 ta’ Settembru 2019(</w:t>
      </w:r>
      <w:r>
        <w:rPr>
          <w:rFonts w:ascii="Times New Roman" w:eastAsia="Times New Roman" w:hAnsi="Times New Roman" w:cs="Times New Roman"/>
          <w:noProof/>
          <w:sz w:val="24"/>
          <w:szCs w:val="24"/>
          <w:vertAlign w:val="superscript"/>
        </w:rPr>
        <w:footnoteReference w:id="4"/>
      </w:r>
      <w:r>
        <w:rPr>
          <w:rFonts w:ascii="Times New Roman" w:hAnsi="Times New Roman"/>
          <w:noProof/>
          <w:sz w:val="24"/>
          <w:szCs w:val="24"/>
        </w:rPr>
        <w:t>). Il-Fond Monetarju Internazzjonali pparteċipa fil-kuntest taċ-ċiklu ta’ sorveljanza tiegħu tal-Artikolu IV għall-2019, filwaqt li l-Mekkaniżmu Ewroprew ta’ Stabbiltà ipparteċipa fil-kuntest</w:t>
      </w:r>
      <w:r>
        <w:rPr>
          <w:rFonts w:ascii="Times New Roman" w:hAnsi="Times New Roman"/>
          <w:noProof/>
          <w:sz w:val="24"/>
          <w:szCs w:val="24"/>
        </w:rPr>
        <w:t xml:space="preserve"> tas-Sistema ta’ Twissija Bikrija tiegħu u f’konformità mal-Memorandum ta’ Qbil tas-27 ta’ April 2018 dwar ir-relazzjonijiet ta’ ħidma bejn il-Kummissjoni Ewropea u l-Mekkaniżmu Ewroprew ta’ Stabbiltà.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Dan ir-rapport jista’ jservi</w:t>
      </w:r>
      <w:r>
        <w:rPr>
          <w:rFonts w:ascii="Times New Roman" w:hAnsi="Times New Roman"/>
          <w:b/>
          <w:noProof/>
          <w:sz w:val="24"/>
          <w:szCs w:val="24"/>
        </w:rPr>
        <w:t xml:space="preserve"> bħala l-bażi li fuqha l-</w:t>
      </w:r>
      <w:r>
        <w:rPr>
          <w:rFonts w:ascii="Times New Roman" w:hAnsi="Times New Roman"/>
          <w:b/>
          <w:noProof/>
          <w:sz w:val="24"/>
          <w:szCs w:val="24"/>
        </w:rPr>
        <w:t xml:space="preserve">Grupp tal-Euro jiddeċiedi dwar il-ħruġ tat-tieni sett ta’ miżuri ta’ dejn kontinġenti għall-politika b’valur ta’ EUR 767 miljun. </w:t>
      </w:r>
      <w:r>
        <w:rPr>
          <w:rFonts w:ascii="Times New Roman" w:hAnsi="Times New Roman"/>
          <w:noProof/>
          <w:sz w:val="24"/>
          <w:szCs w:val="24"/>
        </w:rPr>
        <w:t>Fit-22 ta’ Ġunju 2018, il-Grupp tal-Euro qabel li l-pakkett tal-miżuri ta’ ħelsien mid-dejn għall-Greċja jenħtieġ li jinkludi inċentivi biex tiġi żgurata implimentazzjoni qawwija u kontinwa tal-miżuri ta’ riforma miftiehma fil-programm tal-Mekkaniżmu Ewrop</w:t>
      </w:r>
      <w:r>
        <w:rPr>
          <w:rFonts w:ascii="Times New Roman" w:hAnsi="Times New Roman"/>
          <w:noProof/>
          <w:sz w:val="24"/>
          <w:szCs w:val="24"/>
        </w:rPr>
        <w:t>rew ta’ Stabbiltà. Għal dan il-għan, l-implimentazzjoni ta’ xi wħud mill-miżuri ta’ dejn miftiehma se tkun disponibbli għall-Greċja bil-kundizzjoni li tikkonforma mal-impenji tagħha dwar it-tkomplija u t-tlestija tar-riformi, fuq il-bażi ta’ rapporti pożit</w:t>
      </w:r>
      <w:r>
        <w:rPr>
          <w:rFonts w:ascii="Times New Roman" w:hAnsi="Times New Roman"/>
          <w:noProof/>
          <w:sz w:val="24"/>
          <w:szCs w:val="24"/>
        </w:rPr>
        <w:t>tivi konformi mas-sorveljanza msaħħa, f’segmenti ta’ sitt xhur sa nofs l-2022. Dawk il-miżuri jinkludu: (i) ir-ritorn tal-ammonti ekwivalenti ta’ introjtu li jirriżultaw mill-parteċipazzjonijiet tal-banek ċentrali f’bonds tal-gvern Griegi skont il-Programm</w:t>
      </w:r>
      <w:r>
        <w:rPr>
          <w:rFonts w:ascii="Times New Roman" w:hAnsi="Times New Roman"/>
          <w:noProof/>
          <w:sz w:val="24"/>
          <w:szCs w:val="24"/>
        </w:rPr>
        <w:t xml:space="preserve"> tas-Swieq tat-Titoli u l-Ftehim dwar l-Assi Finanzjarji Netti u (ii) ir-rinunzja taż-żieda fil-marġni tar-rata tal-imgħax għal ċertu self ipprovdut mill-Faċilità Ewropea ta’ Stabbiltà Finanzjarja għall-perjodu mis-17 ta’ Ġunju 2019 sal-31 ta’ Diċembru 201</w:t>
      </w:r>
      <w:r>
        <w:rPr>
          <w:rFonts w:ascii="Times New Roman" w:hAnsi="Times New Roman"/>
          <w:noProof/>
          <w:sz w:val="24"/>
          <w:szCs w:val="24"/>
        </w:rPr>
        <w:t xml:space="preserve">9. </w:t>
      </w:r>
    </w:p>
    <w:p w:rsidR="00DD6B74" w:rsidRDefault="00557887">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sz w:val="24"/>
          <w:szCs w:val="24"/>
        </w:rPr>
        <w:t>Ir-rapport jikkonkludi li l-Greċja ħadet l-azzjonijiet meħtieġa biex tikseb l-impenji ta’ riforma speċifiċi tagħha għal nofs l-2019. Kruċjalment se jkunu meħtieġa aktar azzjonijiet biex jitlestew ir-riformi u, fejn meħtieġ, biex jiġu aċċellerati. Din i</w:t>
      </w:r>
      <w:r>
        <w:rPr>
          <w:rFonts w:ascii="Times New Roman" w:hAnsi="Times New Roman"/>
          <w:b/>
          <w:noProof/>
          <w:sz w:val="24"/>
          <w:szCs w:val="24"/>
        </w:rPr>
        <w:t>l-valutazzjoni tqis l-isforzi tal-amministrazzjoni l-ġdida f’dawn l-aħħar xhur biex timplimenta l-impenji, fil-kuntest tal-progress ta’ aġenda ta’ riforma aktar wiesgħa, u r-rieda tagħha li tħejjijhom b’kooperazzjoni mill-qrib mal-istituzzjonijiet.</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PERSPET</w:t>
      </w:r>
      <w:r>
        <w:rPr>
          <w:rFonts w:ascii="Times New Roman Bold" w:hAnsi="Times New Roman Bold"/>
          <w:b/>
          <w:smallCaps/>
          <w:noProof/>
          <w:sz w:val="24"/>
          <w:szCs w:val="24"/>
        </w:rPr>
        <w:t>TIVA EKONOMIKA</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It-tkabbir ekonomiku fil-Greċja ssokta fl-ewwel nofs tal-2019 u mbassar li jibqa’ reżiljenti minkejja ostakli esterni.</w:t>
      </w:r>
      <w:r>
        <w:rPr>
          <w:rFonts w:ascii="Times New Roman" w:hAnsi="Times New Roman"/>
          <w:noProof/>
          <w:sz w:val="24"/>
          <w:szCs w:val="24"/>
        </w:rPr>
        <w:t xml:space="preserve"> Wara li s-sena bdiet aktar bil-mod milli mistenni, it-tkabbir previst li jiġbor momentum fit-tieni nofs u previst li b’mod ġenerali jilħaq il-1,8 % fl-2019, ftit anqas mir-rata ta’ 1,9 % li ntlaħqet fl-2018. Il-konsum privat u l-investiment x’aktarx li ja</w:t>
      </w:r>
      <w:r>
        <w:rPr>
          <w:rFonts w:ascii="Times New Roman" w:hAnsi="Times New Roman"/>
          <w:noProof/>
          <w:sz w:val="24"/>
          <w:szCs w:val="24"/>
        </w:rPr>
        <w:t>għtu kontribut ewlieni għat-tkabbir ta’ din is-sena u tas-sena li jmiss abbażi ta’ tkabbir sod fl-introjtu disponibbli u l-livelli għolja tal-kunfidenza tal-konsumatur fl-istħarriġ tas-suq, li diġà qabżu l-livelli ta’ qabel il-kriżi. L-irkupru fil-Greċja q</w:t>
      </w:r>
      <w:r>
        <w:rPr>
          <w:rFonts w:ascii="Times New Roman" w:hAnsi="Times New Roman"/>
          <w:noProof/>
          <w:sz w:val="24"/>
          <w:szCs w:val="24"/>
        </w:rPr>
        <w:t>iegħed isir fl-isfond ta’ ambjent estern li qed jiddgħajjef. Madankollu, b’appoġġ mit-tnaqqis tat-taxxa mħabbar fir-rigward tax-xogħol u tal-kapital u ż-żidiet li għadhom għaddejjin b’rabta mas-sehem tas-suq tal-esportazzjoni, fl-2020 it-tkabbir mistenni j</w:t>
      </w:r>
      <w:r>
        <w:rPr>
          <w:rFonts w:ascii="Times New Roman" w:hAnsi="Times New Roman"/>
          <w:noProof/>
          <w:sz w:val="24"/>
          <w:szCs w:val="24"/>
        </w:rPr>
        <w:t>issaħħaħ u jilħaq it-2,3 %, u jaqbeż il-medja taż-żona tal-euro ta’ 1,2 %.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Is-sentiment u l-aspettattivi ġenerali jenfasizzaw momentum pożittiv</w:t>
      </w:r>
      <w:r>
        <w:rPr>
          <w:rFonts w:ascii="Times New Roman" w:hAnsi="Times New Roman"/>
          <w:noProof/>
          <w:sz w:val="24"/>
          <w:szCs w:val="24"/>
        </w:rPr>
        <w:t xml:space="preserve">. L-Indikatur tas-Settur Ekonomiku (ISE) għamel progress qawwi minn mindu saret l-elezzjoni ġenerali ta’ Lulju u </w:t>
      </w:r>
      <w:r>
        <w:rPr>
          <w:rFonts w:ascii="Times New Roman" w:hAnsi="Times New Roman"/>
          <w:noProof/>
          <w:sz w:val="24"/>
          <w:szCs w:val="24"/>
        </w:rPr>
        <w:t>l-kontrolli kapitali tneħħew għalkollox. Il-Greċja kienet attiva fis-swieq kapitali internazzjonali, fejn il-firxiet tal-imgħax naqsu rapidament lejn livelli storikament baxxi, aktar mill-iżviluppi ġeneralment favorevoli fis-swieq Ewropej tal-bonds sovrani</w:t>
      </w:r>
      <w:r>
        <w:rPr>
          <w:rFonts w:ascii="Times New Roman" w:hAnsi="Times New Roman"/>
          <w:noProof/>
          <w:sz w:val="24"/>
          <w:szCs w:val="24"/>
        </w:rPr>
        <w:t>. Sar titjib fil-valutazzjoni tal-aġenziji tal-klassifikazzjoni, li jirrefletti wkoll l-impenn pożittiv u kostruttiv mal-istituzzjonijiet Ewropej. Issa l-isfida għall-awtoritiajiet Griegi, u anke għas-sħab Ewropej, se tkun dik li jitħares dan il-momentum ġ</w:t>
      </w:r>
      <w:r>
        <w:rPr>
          <w:rFonts w:ascii="Times New Roman" w:hAnsi="Times New Roman"/>
          <w:noProof/>
          <w:sz w:val="24"/>
          <w:szCs w:val="24"/>
        </w:rPr>
        <w:t xml:space="preserve">enerali pożittiv ħafna.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Kruċjalment, il-prestazzjoni tat-tkabbir fuq il-perjodu medju tiddependi fuq it-tisħiħ tal-investiment, li għadu aktar baxx mill-medja taż-żona tal-euro</w:t>
      </w:r>
      <w:r>
        <w:rPr>
          <w:rFonts w:ascii="Times New Roman" w:hAnsi="Times New Roman"/>
          <w:noProof/>
          <w:sz w:val="24"/>
          <w:szCs w:val="24"/>
        </w:rPr>
        <w:t>. Fl-2018 l-investiment fil-Greċja bħala perċentwal tal-PDG kien l-aktar wieħed</w:t>
      </w:r>
      <w:r>
        <w:rPr>
          <w:rFonts w:ascii="Times New Roman" w:hAnsi="Times New Roman"/>
          <w:noProof/>
          <w:sz w:val="24"/>
          <w:szCs w:val="24"/>
        </w:rPr>
        <w:t xml:space="preserve"> baxx fl-UE u 7,7 punti perċentwali anqas mill-medja taż-żona tal-euro li jlaħħaq l-20,6 % tal-PDG. Iż-żieda fil-livelli tal-investimenti mis-snin tal-kriżi meta ma sarx investiment biżżejjed hija importanti ħafna għat-tkabbir ekonomiku tal-ġejjieni. Il-pr</w:t>
      </w:r>
      <w:r>
        <w:rPr>
          <w:rFonts w:ascii="Times New Roman" w:hAnsi="Times New Roman"/>
          <w:noProof/>
          <w:sz w:val="24"/>
          <w:szCs w:val="24"/>
        </w:rPr>
        <w:t>oġetti tal-privatizzazzjoni ewlenin u t-tħajjir ta’ investiment dirett barrani se jkunu ta’ importanza ċentrali biex jiżdied l-investiment privat. Iż-żieda tal-investiment pubbliku, l-ewwel nett billi jintlaħqu l-livelli massimi tan-nefqa baġitarja u t-tie</w:t>
      </w:r>
      <w:r>
        <w:rPr>
          <w:rFonts w:ascii="Times New Roman" w:hAnsi="Times New Roman"/>
          <w:noProof/>
          <w:sz w:val="24"/>
          <w:szCs w:val="24"/>
        </w:rPr>
        <w:t xml:space="preserve">ni billi l-investiment pubbliku jiġi estiż lil hinn mill-possibbiltajiet attwali tal-baġit, tistimula aktar it-tkabbir minħabba fl-effett multiplikatur.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Is-suq tax-xogħol qiegħed juri titjib ulterjuri u l-qgħad qiegħed jissokta jonqos b’pass kostanti.</w:t>
      </w:r>
      <w:r>
        <w:rPr>
          <w:rFonts w:ascii="Times New Roman" w:hAnsi="Times New Roman"/>
          <w:noProof/>
          <w:sz w:val="24"/>
          <w:szCs w:val="24"/>
        </w:rPr>
        <w:t xml:space="preserve"> Ir-</w:t>
      </w:r>
      <w:r>
        <w:rPr>
          <w:rFonts w:ascii="Times New Roman" w:hAnsi="Times New Roman"/>
          <w:noProof/>
          <w:sz w:val="24"/>
          <w:szCs w:val="24"/>
        </w:rPr>
        <w:t>rata ta’ impjieg imbassra li togħla b’aktar minn 2 % fl-2019 u fl-2020 b’mod li twassal għal tnaqqis fir-rata tal-qgħad minn 19,3 % fl-2018 għal madwar 17 % din is-sena u qrib il-15 % fl-2020. L-inflazzjoni mistennija tkun dgħajfa fuq perjodu qasir minħabb</w:t>
      </w:r>
      <w:r>
        <w:rPr>
          <w:rFonts w:ascii="Times New Roman" w:hAnsi="Times New Roman"/>
          <w:noProof/>
          <w:sz w:val="24"/>
          <w:szCs w:val="24"/>
        </w:rPr>
        <w:t>a t-tnaqqis tat-taxxi indiretti li sar riċentement u l-iżviluppi fil-prezz taż-żejt, u se tiżdied moderatament fuq perjodu medju.</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It-tbassir huwa suġġett għal riskji pożittivi u negattivi, għalkemm ir-riskji negattivi huma aktar probabbli. </w:t>
      </w:r>
      <w:r>
        <w:rPr>
          <w:rFonts w:ascii="Times New Roman" w:hAnsi="Times New Roman"/>
          <w:noProof/>
          <w:sz w:val="24"/>
          <w:szCs w:val="24"/>
        </w:rPr>
        <w:t>Ir-riskji pożitt</w:t>
      </w:r>
      <w:r>
        <w:rPr>
          <w:rFonts w:ascii="Times New Roman" w:hAnsi="Times New Roman"/>
          <w:noProof/>
          <w:sz w:val="24"/>
          <w:szCs w:val="24"/>
        </w:rPr>
        <w:t>ivi għall-prospettiva joriġinaw minn tnaqqis fid-domanda barranija, kif ukoll mis-sottoeżekuzzjoni persistenti tal-baġit allokat għall-investiment pubbliku.</w:t>
      </w:r>
      <w:r>
        <w:rPr>
          <w:rFonts w:ascii="Times New Roman" w:hAnsi="Times New Roman"/>
          <w:b/>
          <w:bCs/>
          <w:noProof/>
          <w:sz w:val="24"/>
          <w:szCs w:val="24"/>
        </w:rPr>
        <w:t xml:space="preserve"> </w:t>
      </w:r>
      <w:r>
        <w:rPr>
          <w:rFonts w:ascii="Times New Roman" w:hAnsi="Times New Roman"/>
          <w:noProof/>
          <w:sz w:val="24"/>
          <w:szCs w:val="24"/>
        </w:rPr>
        <w:t>Ir-riskji pożittivi huma relatati mat-titjib sinifikanti fis-sentiment kummerċjali u tal-konsumatur</w:t>
      </w:r>
      <w:r>
        <w:rPr>
          <w:rFonts w:ascii="Times New Roman" w:hAnsi="Times New Roman"/>
          <w:noProof/>
          <w:sz w:val="24"/>
          <w:szCs w:val="24"/>
        </w:rPr>
        <w:t xml:space="preserve"> li għadu jrid jiġi tradott f’żidiet sinifikanti tan-nefqa. Il-projezzjoni tiddependi fuq il-fatt li l-Greċja tibqa’ fuq it-triq tar-riforma li ġiet miftiehma b’konformità mas-sorveljanza msaħħa, fosthom ir-riformi fil-qafas tar-riżoluzzjoni ta’ self impro</w:t>
      </w:r>
      <w:r>
        <w:rPr>
          <w:rFonts w:ascii="Times New Roman" w:hAnsi="Times New Roman"/>
          <w:noProof/>
          <w:sz w:val="24"/>
          <w:szCs w:val="24"/>
        </w:rPr>
        <w:t>duttiv, imfassla biex jiżguraw tnaqqis suffiċjenti tas-self improduttiv u appoġġ lill-kreditu bankarju.</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POLITIKI U PROSPETTIVI FISKALI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Il-Greċja tinsab fi stadju tajjeb biex taqbeż il-mira miftiehma ta’ surplus primarju ta’ 3,5 % tal-PDG fl-2019 u hija l-ħ</w:t>
      </w:r>
      <w:r>
        <w:rPr>
          <w:rFonts w:ascii="Times New Roman" w:hAnsi="Times New Roman"/>
          <w:b/>
          <w:bCs/>
          <w:noProof/>
          <w:sz w:val="24"/>
          <w:szCs w:val="24"/>
        </w:rPr>
        <w:t xml:space="preserve">ames sena konsekuttiva fejn il-Greċja qed taqbeż il-miri tagħha. </w:t>
      </w:r>
      <w:r>
        <w:rPr>
          <w:rFonts w:ascii="Times New Roman" w:hAnsi="Times New Roman"/>
          <w:bCs/>
          <w:noProof/>
          <w:sz w:val="24"/>
          <w:szCs w:val="24"/>
        </w:rPr>
        <w:t xml:space="preserve">Dan ineħħi t-tħassib li rriżulta aktar kmieni din is-sena li </w:t>
      </w:r>
      <w:r>
        <w:rPr>
          <w:rFonts w:ascii="Times New Roman" w:hAnsi="Times New Roman"/>
          <w:noProof/>
          <w:sz w:val="24"/>
          <w:szCs w:val="24"/>
        </w:rPr>
        <w:t>l-adozzjoni tal-miżuri fiskali f’Mejju 2019 kienet se tkun ta’ riskju għall-ksib tal-mira ta’ surplus primarju</w:t>
      </w:r>
      <w:r>
        <w:rPr>
          <w:rFonts w:ascii="Times New Roman" w:hAnsi="Times New Roman"/>
          <w:bCs/>
          <w:noProof/>
          <w:sz w:val="24"/>
          <w:szCs w:val="24"/>
        </w:rPr>
        <w:t>. Dawn il-miżuri</w:t>
      </w:r>
      <w:r>
        <w:rPr>
          <w:rFonts w:ascii="Times New Roman" w:hAnsi="Times New Roman"/>
          <w:noProof/>
          <w:sz w:val="24"/>
          <w:szCs w:val="24"/>
        </w:rPr>
        <w:t xml:space="preserve"> nża</w:t>
      </w:r>
      <w:r>
        <w:rPr>
          <w:rFonts w:ascii="Times New Roman" w:hAnsi="Times New Roman"/>
          <w:noProof/>
          <w:sz w:val="24"/>
          <w:szCs w:val="24"/>
        </w:rPr>
        <w:t>mmu mill-amministrazzjoni l-ġdida.</w:t>
      </w:r>
      <w:r>
        <w:rPr>
          <w:rFonts w:ascii="Times New Roman" w:hAnsi="Times New Roman"/>
          <w:b/>
          <w:bCs/>
          <w:noProof/>
          <w:sz w:val="24"/>
          <w:szCs w:val="24"/>
        </w:rPr>
        <w:t xml:space="preserve"> </w:t>
      </w:r>
      <w:r>
        <w:rPr>
          <w:rFonts w:ascii="Times New Roman" w:hAnsi="Times New Roman"/>
          <w:noProof/>
          <w:sz w:val="24"/>
          <w:szCs w:val="24"/>
        </w:rPr>
        <w:t>Il-miżuri ta’ Mejju kienu jinkludu: skemi ġodda għall-ħlas (b’120 ħlas parzjali) fir-rigward tad-djun fuq taxxi u għal fondi tas-sigurtà soċjali u tal-muniċipalitajiet; tnaqqis tat-taxxa fuq il-valur miżjud fuq għażla ta’</w:t>
      </w:r>
      <w:r>
        <w:rPr>
          <w:rFonts w:ascii="Times New Roman" w:hAnsi="Times New Roman"/>
          <w:noProof/>
          <w:sz w:val="24"/>
          <w:szCs w:val="24"/>
        </w:rPr>
        <w:t xml:space="preserve"> prodotti; l-introduzzjoni mill-ġdid tat-13-il ħlas mensili tal-pensjoni; u treġġigħ lura ta’ riforma li kienet saret qabel dwar il-pensjoni tas-superstiti. Barra minn hekk, twaqqfet ir-riforma tat-taxxa fuq l-introjtu personali li ġiet preleġiżlata fl-201</w:t>
      </w:r>
      <w:r>
        <w:rPr>
          <w:rFonts w:ascii="Times New Roman" w:hAnsi="Times New Roman"/>
          <w:noProof/>
          <w:sz w:val="24"/>
          <w:szCs w:val="24"/>
        </w:rPr>
        <w:t>7 u li kienet se twessa’ l-bażi għat-taxxa u tnaqqas ir-rati b’manjiera fiskalment newtrali mill-2020. Bħalissa l-kost fiskali tal-miżuri ta’ Mejju huwa stmat 0,7 % tal-PDG, li huwa anqas mill-1,1 sa 1,4 % tal-PDG mistenni fir-rapport tas-sorveljanza msaħħ</w:t>
      </w:r>
      <w:r>
        <w:rPr>
          <w:rFonts w:ascii="Times New Roman" w:hAnsi="Times New Roman"/>
          <w:noProof/>
          <w:sz w:val="24"/>
          <w:szCs w:val="24"/>
        </w:rPr>
        <w:t>a ta’ Ġunju, abbażi ta’ trasferiment anqas milli mistenni ta’ djun mill-iskemi eżistenti ta’ saldu fiskali għall-iskema l-ġdida. Il-kwalità ta’ dawn il-miżuri qajmet tħassib meta jitqies l-għan li tittejjeb il-kwalità tal-finanzi pubbliċi u l-konsistenza t</w:t>
      </w:r>
      <w:r>
        <w:rPr>
          <w:rFonts w:ascii="Times New Roman" w:hAnsi="Times New Roman"/>
          <w:noProof/>
          <w:sz w:val="24"/>
          <w:szCs w:val="24"/>
        </w:rPr>
        <w:t>agħhom mar-riformi li ġew adottati skont il-programm tal-Mekkaniżmu Ewropew ta’ Stabbiltà. F’Lulju l-amministrazzjoni l-ġdida emendat il-120 skema ta’ ħlas parzjali bil-għan li dawn isiru aktar attraenti speċjalment għan-negozji, u adottat tnaqqis żgħir fi</w:t>
      </w:r>
      <w:r>
        <w:rPr>
          <w:rFonts w:ascii="Times New Roman" w:hAnsi="Times New Roman"/>
          <w:noProof/>
          <w:sz w:val="24"/>
          <w:szCs w:val="24"/>
        </w:rPr>
        <w:t xml:space="preserve">t-taxxa fuq il-proprjetà Enfia.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Biex tiżgura li l-miri fiskali jintlaħqu, l-amministrazzjoni l-ġdida rrevediet il-limiti massimi tal-infiq</w:t>
      </w:r>
      <w:r>
        <w:rPr>
          <w:rFonts w:ascii="Times New Roman" w:hAnsi="Times New Roman"/>
          <w:b/>
          <w:noProof/>
          <w:sz w:val="24"/>
          <w:szCs w:val="24"/>
        </w:rPr>
        <w:t xml:space="preserve"> ’l isfel lejn livelli aktar realistiċi</w:t>
      </w:r>
      <w:r>
        <w:rPr>
          <w:rFonts w:ascii="Times New Roman" w:hAnsi="Times New Roman"/>
          <w:b/>
          <w:bCs/>
          <w:noProof/>
          <w:sz w:val="24"/>
          <w:szCs w:val="24"/>
        </w:rPr>
        <w:t>, filwaqt li ngħata aktar spazju fiskali bis-saħħa ta’ aktar dħul mit-taxxa.</w:t>
      </w:r>
      <w:r>
        <w:rPr>
          <w:rFonts w:ascii="Times New Roman" w:hAnsi="Times New Roman"/>
          <w:noProof/>
          <w:sz w:val="24"/>
          <w:szCs w:val="24"/>
        </w:rPr>
        <w:t xml:space="preserve"> L</w:t>
      </w:r>
      <w:r>
        <w:rPr>
          <w:rFonts w:ascii="Times New Roman" w:hAnsi="Times New Roman"/>
          <w:noProof/>
          <w:sz w:val="24"/>
          <w:szCs w:val="24"/>
        </w:rPr>
        <w:t xml:space="preserve">-awtoritajiet naqqsu l-limiti massimi tal-baġit kemm fil-baġit ordinarju (mhux għall-investiment) u l-baġit tal-investiment pubbliku biex jikkunsidraw l-istimi eċċessivi persistenti. Dan se jtejjeb il-bilanċ tal-baġit f’0,6 % tal-PDG fl-2019. Ir-reviżjoni </w:t>
      </w:r>
      <w:r>
        <w:rPr>
          <w:rFonts w:ascii="Times New Roman" w:hAnsi="Times New Roman"/>
          <w:noProof/>
          <w:sz w:val="24"/>
          <w:szCs w:val="24"/>
        </w:rPr>
        <w:t>qiegħda tiġi riportata parzjalment għall-baġit tal-2020. L-awtoritajiet żviluppaw ukoll pjan ta’ azzjoni biex itejbu t-tbassir u l-monitoraġġ tal-baġit għall-investiment pubbliku. Barra minn hekk, dawn adottaw leġiżlazzjoni li tistipula r-regoli dwar l-iżv</w:t>
      </w:r>
      <w:r>
        <w:rPr>
          <w:rFonts w:ascii="Times New Roman" w:hAnsi="Times New Roman"/>
          <w:noProof/>
          <w:sz w:val="24"/>
          <w:szCs w:val="24"/>
        </w:rPr>
        <w:t>ilupp, il-ġestjoni, il-finanzjament u l-implimentazzjoni tal-komponent nazzjonali tal-baġit għall-investiment pubbliku biex jindirizzaw l-eżekuzzjoni batuta. Dawn l-isforzi messhom ilhom li saru u huma żviluppi pożittivi. L-awtoritajiet huma mħeġġa jużaw l</w:t>
      </w:r>
      <w:r>
        <w:rPr>
          <w:rFonts w:ascii="Times New Roman" w:hAnsi="Times New Roman"/>
          <w:noProof/>
          <w:sz w:val="24"/>
          <w:szCs w:val="24"/>
        </w:rPr>
        <w:t>-ispazju fiskali li huwa disponibbli fil-limiti massimi tal-baġit biex isaħħu l-irkupru ekonomiku. Il-prospettiva fiskali għall-2019 diġà ġiet appoġġata minn żviluppi favorevoli fid-dħul; l-aktar bis-saħħa ta’ parteċipazzjoni ogħla milli mistennija ta’ deb</w:t>
      </w:r>
      <w:r>
        <w:rPr>
          <w:rFonts w:ascii="Times New Roman" w:hAnsi="Times New Roman"/>
          <w:noProof/>
          <w:sz w:val="24"/>
          <w:szCs w:val="24"/>
        </w:rPr>
        <w:t xml:space="preserve">ituri ġodda fi skemi ta’ ħlas parzjali u dħul akbar mit-taxxa fuq il-valur miżjud li jirriżulta wkoll minn żieda fl-infiq tat-turisti.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F’dan l-isfond, l-istituzzjonijiet Ewropej qegħdin ibassru li fl-2019 is-surplus primarju, skont id-definizzjoni taħt il</w:t>
      </w:r>
      <w:r>
        <w:rPr>
          <w:rFonts w:ascii="Times New Roman" w:hAnsi="Times New Roman"/>
          <w:b/>
          <w:bCs/>
          <w:noProof/>
          <w:sz w:val="24"/>
          <w:szCs w:val="24"/>
        </w:rPr>
        <w:t>-monitoraġġ tas-sorveljanza msaħħa,</w:t>
      </w:r>
      <w:r>
        <w:rPr>
          <w:rFonts w:ascii="Times New Roman" w:hAnsi="Times New Roman"/>
          <w:b/>
          <w:noProof/>
          <w:sz w:val="24"/>
          <w:szCs w:val="24"/>
        </w:rPr>
        <w:t xml:space="preserve"> </w:t>
      </w:r>
      <w:r>
        <w:rPr>
          <w:rFonts w:ascii="Times New Roman" w:hAnsi="Times New Roman"/>
          <w:b/>
          <w:bCs/>
          <w:noProof/>
          <w:sz w:val="24"/>
          <w:szCs w:val="24"/>
        </w:rPr>
        <w:t xml:space="preserve">se jilħaq it-3,8 % tal-PDG. </w:t>
      </w:r>
      <w:r>
        <w:rPr>
          <w:rFonts w:ascii="Times New Roman" w:hAnsi="Times New Roman"/>
          <w:noProof/>
          <w:sz w:val="24"/>
          <w:szCs w:val="24"/>
        </w:rPr>
        <w:t>It-tbassir għall-2019 jassumi li l-pagament tal-Obbligu tas-Servizz Pubbliku lill-Korporazzjoni tal-Enerġija Pubblika ta’ madwar EUR 200 miljun se jkun kopert mir-riżerva ta’ kontinġenza, u ma</w:t>
      </w:r>
      <w:r>
        <w:rPr>
          <w:rFonts w:ascii="Times New Roman" w:hAnsi="Times New Roman"/>
          <w:noProof/>
          <w:sz w:val="24"/>
          <w:szCs w:val="24"/>
        </w:rPr>
        <w:t xml:space="preserve"> jqis l-ebda miżura addizzjonali u possibbli ta’ darba li tista’ tiġi adottata aktar tard fl-2019 biex jintuża l-ispazju fiskali disponibbli.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 xml:space="preserve">Dan ifisser li fl-2019 il-Greċja mistennija tiskeb surplus tal-gvern ġenerali ta’ 1,3 % tal-PDG. </w:t>
      </w:r>
      <w:r>
        <w:rPr>
          <w:rFonts w:ascii="Times New Roman" w:hAnsi="Times New Roman"/>
          <w:noProof/>
          <w:sz w:val="24"/>
          <w:szCs w:val="24"/>
        </w:rPr>
        <w:t>Dan se jkun perċe</w:t>
      </w:r>
      <w:r>
        <w:rPr>
          <w:rFonts w:ascii="Times New Roman" w:hAnsi="Times New Roman"/>
          <w:noProof/>
          <w:sz w:val="24"/>
          <w:szCs w:val="24"/>
        </w:rPr>
        <w:t>ntwal ferm ogħla mill-medja taż-żona tal-euro ta’ defiċit ta’ 0,8 % tal-PDG. Il-finanzi pubbliċi tal-Greċja ilhom f’surplus mill-2016 bis-saħħa tal-isforzi ta’ konsolidazzjoni fiskali sostanzjali matul il-programm tal-MES, iżda s-sottoeżekuzzjoni tal-inves</w:t>
      </w:r>
      <w:r>
        <w:rPr>
          <w:rFonts w:ascii="Times New Roman" w:hAnsi="Times New Roman"/>
          <w:noProof/>
          <w:sz w:val="24"/>
          <w:szCs w:val="24"/>
        </w:rPr>
        <w:t>timent pubbliku ukoll kellha rwol. Il-ksib tas-surplus tal-gvern ġenerali huwa konsistenti mat-tnaqqis sostanzjali li huwa stmat fil-bilanċ strutturali (minn 5,8 % tal-PDG fl-2016 għal 3,0 % fl-2019), li juri li gradwalment il-pożizzjoni fiskali sottostant</w:t>
      </w:r>
      <w:r>
        <w:rPr>
          <w:rFonts w:ascii="Times New Roman" w:hAnsi="Times New Roman"/>
          <w:noProof/>
          <w:sz w:val="24"/>
          <w:szCs w:val="24"/>
        </w:rPr>
        <w:t xml:space="preserve">i qiegħda issir anqas riġida.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Abbażi tal-informazzjoni inkluża fl-Abbozz ta’ Pjan Baġitarju tal-2020, il-Kummissjoni qiegħda tbassar li l-Greċja se tilħaq il-mira tas-surplus primarju ta’ 3,5 % tal-PDG (impenn speċifiku kontinwu), tikseb surplus tal-gvern ġenerali ta’ 1,0 % tal-PDG u t</w:t>
      </w:r>
      <w:r>
        <w:rPr>
          <w:rFonts w:ascii="Times New Roman" w:hAnsi="Times New Roman"/>
          <w:b/>
          <w:bCs/>
          <w:noProof/>
          <w:sz w:val="24"/>
          <w:szCs w:val="24"/>
        </w:rPr>
        <w:t xml:space="preserve">osserva r-rekwiżiti kollha tal-Patt ta’ Stabbiltà u Tkabbir fl-2020. </w:t>
      </w:r>
      <w:r>
        <w:rPr>
          <w:rFonts w:ascii="Times New Roman" w:hAnsi="Times New Roman"/>
          <w:noProof/>
          <w:sz w:val="24"/>
          <w:szCs w:val="24"/>
        </w:rPr>
        <w:t>L-abbozz tal-baġit</w:t>
      </w:r>
      <w:r>
        <w:rPr>
          <w:rFonts w:ascii="Times New Roman" w:hAnsi="Times New Roman"/>
          <w:bCs/>
          <w:noProof/>
          <w:sz w:val="24"/>
          <w:szCs w:val="24"/>
        </w:rPr>
        <w:t xml:space="preserve"> </w:t>
      </w:r>
      <w:r>
        <w:rPr>
          <w:rFonts w:ascii="Times New Roman" w:hAnsi="Times New Roman"/>
          <w:noProof/>
          <w:sz w:val="24"/>
          <w:szCs w:val="24"/>
        </w:rPr>
        <w:t>jinkludi pakkett ta’ miżuri favorevoli għat-tkabbir li jiswa 0,6 % tal-PDG bil-għan li jitnaqqsu t-taxxi distorsivi u jiżdiedu l-benefiċċji soċjali orjentati lejn il-fa</w:t>
      </w:r>
      <w:r>
        <w:rPr>
          <w:rFonts w:ascii="Times New Roman" w:hAnsi="Times New Roman"/>
          <w:noProof/>
          <w:sz w:val="24"/>
          <w:szCs w:val="24"/>
        </w:rPr>
        <w:t>milji. Dan il-pakkett jinkludi tnaqqis ta’ erba’ punti perċentwali fit-taxxa korporattiva; ir-riforma tat-taxxa fuq l-introjtu personali li, fost l-oħrajn tnaqqas ir-rata tat-taxxa minn 22 % għal 9 % fir-rigward tal-introjti sa EUR 10,000 u żżid l-introjtu</w:t>
      </w:r>
      <w:r>
        <w:rPr>
          <w:rFonts w:ascii="Times New Roman" w:hAnsi="Times New Roman"/>
          <w:noProof/>
          <w:sz w:val="24"/>
          <w:szCs w:val="24"/>
        </w:rPr>
        <w:t xml:space="preserve"> mhux taxxabbli għall dawk il-kontribwenti bl-ulied; tnaqqis fil-kontribuzzjonijiet tas-sigurtà soċjali b’punt perċentwali fir-rigward tal-persuni full-time bil-paga; u tnaqqis tat-taxxa fuq id-dividendi minn 10 % għal 5 %. Barra minn hekk, il-pakkett jink</w:t>
      </w:r>
      <w:r>
        <w:rPr>
          <w:rFonts w:ascii="Times New Roman" w:hAnsi="Times New Roman"/>
          <w:noProof/>
          <w:sz w:val="24"/>
          <w:szCs w:val="24"/>
        </w:rPr>
        <w:t>ludi allowance tat-twelid ta’ tarbija ta’ EUR 2,000. Il-gvern ħabbar ukoll aktar tnaqqis tat-taxxa għall-2021 u lil hinn, iżda mhux se tiddaħħal leġiżlazzjoni f’dan l-istadju dwar dan. Biex tiġi żgurata n-newtralità baġitarja, il-pakkett fl-Abbozz ta’ Pjan</w:t>
      </w:r>
      <w:r>
        <w:rPr>
          <w:rFonts w:ascii="Times New Roman" w:hAnsi="Times New Roman"/>
          <w:noProof/>
          <w:sz w:val="24"/>
          <w:szCs w:val="24"/>
        </w:rPr>
        <w:t xml:space="preserve"> Baġitarju huwa kkumplementat minn miżuri “fiskalment ekwivalenti” li n-natura tagħhom hija ġeneralment waħda parametrika iżda wkoll amministrattiva u ta’ daqs simili. Dawn il-miżuri għandhom l-għan li jżidu r-rendiment tat-taxxi indiretti, jaġġornaw il-ba</w:t>
      </w:r>
      <w:r>
        <w:rPr>
          <w:rFonts w:ascii="Times New Roman" w:hAnsi="Times New Roman"/>
          <w:noProof/>
          <w:sz w:val="24"/>
          <w:szCs w:val="24"/>
        </w:rPr>
        <w:t xml:space="preserve">żi tat-taxxa fuq il-proprjetà, u jnaqqsu aktar il-miri tal-infiq li ma kinux qed jintużaw fis-snin ta’ qabel. </w:t>
      </w:r>
    </w:p>
    <w:p w:rsidR="00DD6B74" w:rsidRDefault="00557887">
      <w:pPr>
        <w:spacing w:after="160" w:line="256"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Filwaqt li b’mod ġenerali s-sensiela sħiħa tal-miżuri tħalli impatt newtrali fil-baġit, mistennija li ttejjeb il-kwalità tal-finanzi pubbliċi u s</w:t>
      </w:r>
      <w:r>
        <w:rPr>
          <w:rFonts w:ascii="Times New Roman" w:hAnsi="Times New Roman"/>
          <w:b/>
          <w:bCs/>
          <w:noProof/>
          <w:sz w:val="24"/>
          <w:szCs w:val="24"/>
        </w:rPr>
        <w:t>saħħaħ it-tkabir fl-2020.</w:t>
      </w:r>
      <w:r>
        <w:rPr>
          <w:rFonts w:ascii="Times New Roman" w:hAnsi="Times New Roman"/>
          <w:noProof/>
          <w:sz w:val="24"/>
          <w:szCs w:val="24"/>
        </w:rPr>
        <w:t xml:space="preserve"> It-tnaqqis tat-taxxa fuq il-kapital u x-xogħol huwa pass importanti u pożittiv biex il-Greċja tnaqqas it-taxxa korporattiva effettiva tagħha u l-feles tat-taxxa fuq ix-xogħol. Il-kontribwenti kollha huma mistennija jibbenefikaw mi</w:t>
      </w:r>
      <w:r>
        <w:rPr>
          <w:rFonts w:ascii="Times New Roman" w:hAnsi="Times New Roman"/>
          <w:noProof/>
          <w:sz w:val="24"/>
          <w:szCs w:val="24"/>
        </w:rPr>
        <w:t>r-riforma tat-taxxa fuq l-introjtu personali, partikolarment dawk b’introjti aktar baxxi u l-ħaddiema għal rashom. Barra minn hekk, l-impjegati full-time, fosthom dawk b’introjti aktar baxxi mil-livell mhux taxxabbli, se jibbenefikaw mit-tnaqqis fil-kontri</w:t>
      </w:r>
      <w:r>
        <w:rPr>
          <w:rFonts w:ascii="Times New Roman" w:hAnsi="Times New Roman"/>
          <w:noProof/>
          <w:sz w:val="24"/>
          <w:szCs w:val="24"/>
        </w:rPr>
        <w:t>buzzjonijiet tas-sigurtà soċjali. Il-bidla minn tassazzjoni distorsiva għal waħda anqas distorsiva u favorevoli għat-tkabbir, u li eżempju tagħha hija t-taxxa fuq il-valur miżjud jew it-taxxa fuq il-proprjetà, mistennija tistimola l-investiment privat u l-</w:t>
      </w:r>
      <w:r>
        <w:rPr>
          <w:rFonts w:ascii="Times New Roman" w:hAnsi="Times New Roman"/>
          <w:noProof/>
          <w:sz w:val="24"/>
          <w:szCs w:val="24"/>
        </w:rPr>
        <w:t>impjiegi, u tikkontribwixxi għal tkabbir tal-produttività u l-konsum privat. Ir-riforma ma tindirizzax l-allowance mhux taxxabbli relattivament għolja fuq it-taxxa fuq l-introjtu personali, li kienet parti mir-riforma tat-taxxa miftiehma mal-istituzzjoniji</w:t>
      </w:r>
      <w:r>
        <w:rPr>
          <w:rFonts w:ascii="Times New Roman" w:hAnsi="Times New Roman"/>
          <w:noProof/>
          <w:sz w:val="24"/>
          <w:szCs w:val="24"/>
        </w:rPr>
        <w:t>et skont il-programm tal-Mekkaniżmu Ewropew ta’ Stabbiltà fl-2017 u li oriġinarjament kienet mistennija tidħol fis-seħħ fl-2020. L-abbozz tal-liġi li jintroduċi l-pakkett fiskali għall-2020, kif ġie ppubblikat għall-konsultazzjoni pubblika, jinkludi xi miż</w:t>
      </w:r>
      <w:r>
        <w:rPr>
          <w:rFonts w:ascii="Times New Roman" w:hAnsi="Times New Roman"/>
          <w:noProof/>
          <w:sz w:val="24"/>
          <w:szCs w:val="24"/>
        </w:rPr>
        <w:t>uri addizzjonali minuri li ma għandhom ebda impatt fuq il-valutazzjoni tal-politika fiskali għall-2020.</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Il-finanzi pubbliċi tal-Greċja għadhom qed jiffaċċjaw riskji fiskali importanti marbuta mal-pensjonijiet u mal-pagi tas-settur pubbliku. </w:t>
      </w:r>
      <w:r>
        <w:rPr>
          <w:rFonts w:ascii="Times New Roman" w:hAnsi="Times New Roman"/>
          <w:noProof/>
          <w:sz w:val="24"/>
          <w:szCs w:val="24"/>
        </w:rPr>
        <w:t xml:space="preserve">Filwaqt li dan </w:t>
      </w:r>
      <w:r>
        <w:rPr>
          <w:rFonts w:ascii="Times New Roman" w:hAnsi="Times New Roman"/>
          <w:noProof/>
          <w:sz w:val="24"/>
          <w:szCs w:val="24"/>
        </w:rPr>
        <w:t>l-aħħar il-Kunsill tal-Istat ikkonferma l-kostituzzjonalità tal-pilastri ewlenin tar-riforma tal-pensjonijiet tal-2016, uħud mill-elementi tagħha (fosthom id-dispożizzjonijiet għall-pensjonijiet supplimentari u r-rati ta’ akkumulazzjoni fir-rigward ta’ kar</w:t>
      </w:r>
      <w:r>
        <w:rPr>
          <w:rFonts w:ascii="Times New Roman" w:hAnsi="Times New Roman"/>
          <w:noProof/>
          <w:sz w:val="24"/>
          <w:szCs w:val="24"/>
        </w:rPr>
        <w:t>rieri twal fil-pensjoni ewlenija) se jkollhom jiġu aġġustati. L-impatt finanzjarju għall-indirizzar ta’ dawn l-aspetti jista’ ikun wieħed sinifikanti; iżda l-awtoritajiet impenjaw ruħhom li jsostnu l-kostijiet fiskali addizzjonali possibbli fil-limitu mass</w:t>
      </w:r>
      <w:r>
        <w:rPr>
          <w:rFonts w:ascii="Times New Roman" w:hAnsi="Times New Roman"/>
          <w:noProof/>
          <w:sz w:val="24"/>
          <w:szCs w:val="24"/>
        </w:rPr>
        <w:t>imu tal-baġit tal-Ministeru għax-Xogħol għall-2020. Barra minn hekk, il-possibbiltà ta’ impatt fiskali negattiv se tkun sostanzjalment limitata mill-fatt li ġie konkluż li l-partijiet ewlenin tar-riforma tal-pensjonijiet tal-2016 kienu kostituzzjonali u l-</w:t>
      </w:r>
      <w:r>
        <w:rPr>
          <w:rFonts w:ascii="Times New Roman" w:hAnsi="Times New Roman"/>
          <w:noProof/>
          <w:sz w:val="24"/>
          <w:szCs w:val="24"/>
        </w:rPr>
        <w:t>Kunsill tal-Istat ma tax id-dritt għal kumpens finanzjarju retrospettiv. Madankollu, id-drittijiet għall-pensjoni tal-uffiċjali tas-settur pubbliku għadhom taħt l-iskrutinju tal-Qorti tal-Awdituri. Fir-rigward tal-pagi tas-settur pubbliku, l-għadd għoli ta</w:t>
      </w:r>
      <w:r>
        <w:rPr>
          <w:rFonts w:ascii="Times New Roman" w:hAnsi="Times New Roman"/>
          <w:noProof/>
          <w:sz w:val="24"/>
          <w:szCs w:val="24"/>
        </w:rPr>
        <w:t>’ persunal temporanju u r-riskju relatat b’rabta mal-estensjoni tal-ambitu tal-eżenzjonijiet tal-grilja unifikata tal-pagi għadhom sors ta’ tħassib.</w:t>
      </w:r>
      <w:r>
        <w:rPr>
          <w:rFonts w:ascii="Times New Roman" w:hAnsi="Times New Roman"/>
          <w:b/>
          <w:bCs/>
          <w:noProof/>
          <w:sz w:val="24"/>
          <w:szCs w:val="24"/>
        </w:rPr>
        <w:t xml:space="preserve"> </w:t>
      </w:r>
      <w:r>
        <w:rPr>
          <w:rFonts w:ascii="Times New Roman" w:hAnsi="Times New Roman"/>
          <w:bCs/>
          <w:noProof/>
          <w:sz w:val="24"/>
          <w:szCs w:val="24"/>
        </w:rPr>
        <w:t>Il-</w:t>
      </w:r>
      <w:r>
        <w:rPr>
          <w:rFonts w:ascii="Times New Roman" w:hAnsi="Times New Roman"/>
          <w:noProof/>
          <w:sz w:val="24"/>
          <w:szCs w:val="24"/>
        </w:rPr>
        <w:t>potenzjal li l-mira fiskali ta’ 3,5 % tal-PDG tinqabeż minħabba n-nuqqas ta’ nfiq mill-baġit għall-inves</w:t>
      </w:r>
      <w:r>
        <w:rPr>
          <w:rFonts w:ascii="Times New Roman" w:hAnsi="Times New Roman"/>
          <w:noProof/>
          <w:sz w:val="24"/>
          <w:szCs w:val="24"/>
        </w:rPr>
        <w:t>timent pubbliku għadu hemm, għalkemm naqas.</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POLITIKI FISKALI STRUTTURALI</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Abbażi tal-konklużjonijiet ta’ studju ta’ appoġġ tekniku, l-istituzzjonijiet Ewropej qablu li l-eżerċizzju ta’ valutazzjoni biex jiġu aġġornati l-valuri tat-taxxa fuq il-proprjetà Enf</w:t>
      </w:r>
      <w:r>
        <w:rPr>
          <w:rFonts w:ascii="Times New Roman" w:hAnsi="Times New Roman"/>
          <w:b/>
          <w:bCs/>
          <w:noProof/>
          <w:sz w:val="24"/>
          <w:szCs w:val="24"/>
        </w:rPr>
        <w:t>ia (impenn speċifiku għal nofs l-2019) jenħtieġ li jiġi skedat mill-ġdid biex tkun tista’ ssir riforma aktar sostanzjali tas-sistema oġġettiva tal-valuri tat-taxxa fuq il-proprjetà sal-iskadenza ta’ nofs l-2020.</w:t>
      </w:r>
      <w:r>
        <w:rPr>
          <w:rFonts w:ascii="Times New Roman" w:hAnsi="Times New Roman"/>
          <w:noProof/>
          <w:sz w:val="24"/>
          <w:szCs w:val="24"/>
        </w:rPr>
        <w:t xml:space="preserve"> B’mod partikolari, il-gvern il-ġdid qabel li</w:t>
      </w:r>
      <w:r>
        <w:rPr>
          <w:rFonts w:ascii="Times New Roman" w:hAnsi="Times New Roman"/>
          <w:noProof/>
          <w:sz w:val="24"/>
          <w:szCs w:val="24"/>
        </w:rPr>
        <w:t xml:space="preserve"> jibda twessigħ maġġuri tal-bażi għat-taxxa fuq il-proprjetà fir-rigward tal-Enfia u taxxi oħrajn fuq il-proprjetà. Ir-riforma, li qiegħda tiġi stabbilita fi skeda ta’ żmien dettaljata, hija mistennija żżid il-bażi għat-taxxa fuq il-proprjetà Enfia b’aktar</w:t>
      </w:r>
      <w:r>
        <w:rPr>
          <w:rFonts w:ascii="Times New Roman" w:hAnsi="Times New Roman"/>
          <w:noProof/>
          <w:sz w:val="24"/>
          <w:szCs w:val="24"/>
        </w:rPr>
        <w:t xml:space="preserve"> minn 20 %, fil-ħin għall-eżerċizzju tat-taxxa Enfia tal-2020 u ttejjeb l-ekwità u l-effiċjenza tas-sistema tat-taxxa fuq il-proprjetà. </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L-awtoritajiet ħabbru sospensjoni </w:t>
      </w:r>
      <w:r>
        <w:rPr>
          <w:rFonts w:ascii="Times New Roman" w:hAnsi="Times New Roman"/>
          <w:b/>
          <w:noProof/>
          <w:sz w:val="24"/>
          <w:szCs w:val="24"/>
        </w:rPr>
        <w:t xml:space="preserve">tat-taxxa fuq il-valur miżjud </w:t>
      </w:r>
      <w:r>
        <w:rPr>
          <w:rFonts w:ascii="Times New Roman" w:hAnsi="Times New Roman"/>
          <w:b/>
          <w:bCs/>
          <w:noProof/>
          <w:sz w:val="24"/>
          <w:szCs w:val="24"/>
        </w:rPr>
        <w:t>fuq bini ġdid għal tliet snin biex tingħata spinta lis-</w:t>
      </w:r>
      <w:r>
        <w:rPr>
          <w:rFonts w:ascii="Times New Roman" w:hAnsi="Times New Roman"/>
          <w:b/>
          <w:bCs/>
          <w:noProof/>
          <w:sz w:val="24"/>
          <w:szCs w:val="24"/>
        </w:rPr>
        <w:t>settur tal-kostruzzjoni. Il-miżura tirriskja li żżid is-sehem tal-ekonomija li ma tidhirx u bħalissa qiegħda taħt skrutinju b’rabta mal-konformità tagħha mad-dritt tal-UE.</w:t>
      </w:r>
      <w:r>
        <w:rPr>
          <w:rFonts w:ascii="Times New Roman" w:hAnsi="Times New Roman"/>
          <w:noProof/>
          <w:sz w:val="24"/>
          <w:szCs w:val="24"/>
        </w:rPr>
        <w:t xml:space="preserve"> L-istituzzjonijiet Ewropej inkoraġġixxew l-awtoritajiet biex jiżviluppaw miżuri alte</w:t>
      </w:r>
      <w:r>
        <w:rPr>
          <w:rFonts w:ascii="Times New Roman" w:hAnsi="Times New Roman"/>
          <w:noProof/>
          <w:sz w:val="24"/>
          <w:szCs w:val="24"/>
        </w:rPr>
        <w:t>rnattivi bil-għan li jindirizzaw il-problemi li qiegħed iħabbat wiċċu magħhom is-settur tal-kostruzzjoni fil-Greċja u għall-ġlieda kontra l-ekonomija li ma tidhirx.</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Sar progress fuq miżuri importanti fil-qasam tat-tassazzjoni biex tiżdied il-likwidità fis-</w:t>
      </w:r>
      <w:r>
        <w:rPr>
          <w:rFonts w:ascii="Times New Roman" w:hAnsi="Times New Roman"/>
          <w:b/>
          <w:bCs/>
          <w:noProof/>
          <w:sz w:val="24"/>
          <w:szCs w:val="24"/>
        </w:rPr>
        <w:t>swieq domestiċi tal-bonds korporattivi billi dawn infetħu għal investituri esterni.</w:t>
      </w:r>
      <w:r>
        <w:rPr>
          <w:rFonts w:ascii="Times New Roman" w:hAnsi="Times New Roman"/>
          <w:noProof/>
          <w:sz w:val="24"/>
          <w:szCs w:val="24"/>
        </w:rPr>
        <w:t xml:space="preserve"> L-awtoritajiet se jabolixxu t-taxxa minn ras il-għajn fuq bonds korporattivi elenkati domestikament għal persuni mhux residenti, biex b’hekk it-trattament tat-taxxa minn ra</w:t>
      </w:r>
      <w:r>
        <w:rPr>
          <w:rFonts w:ascii="Times New Roman" w:hAnsi="Times New Roman"/>
          <w:noProof/>
          <w:sz w:val="24"/>
          <w:szCs w:val="24"/>
        </w:rPr>
        <w:t>s il-għajn fir-rigward ta’ dawn il-bonds sar konformi ma’ dak tal-maġġoranza tal-Istati Membri tal-UE. Se jiġi adottat trattament simili fir-rigward tal-akkwisti min-naħa ta’ investituri internazzjonali f’bonds diretti li jinħarġu mill-banek biex jiġu ssod</w:t>
      </w:r>
      <w:r>
        <w:rPr>
          <w:rFonts w:ascii="Times New Roman" w:hAnsi="Times New Roman"/>
          <w:noProof/>
          <w:sz w:val="24"/>
          <w:szCs w:val="24"/>
        </w:rPr>
        <w:t xml:space="preserve">isfati r-rekwiżiti minimi għall-fondi proprji u l-obbligazzjonijiet eliġibbli. </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 xml:space="preserve">Minħabba d-dewmien preċedenti li akkumula, </w:t>
      </w:r>
      <w:r>
        <w:rPr>
          <w:rFonts w:ascii="Times New Roman" w:hAnsi="Times New Roman"/>
          <w:b/>
          <w:bCs/>
          <w:noProof/>
          <w:sz w:val="24"/>
          <w:szCs w:val="24"/>
        </w:rPr>
        <w:t>x’aktarx li l-mira ta’ tmiem l-2019 marbuta mal-livelli tal-persunal tal-Awtorità Indipendenti tad-Dħul Pubbliku mhijiex se tintlaħaq</w:t>
      </w:r>
      <w:r>
        <w:rPr>
          <w:rFonts w:ascii="Times New Roman" w:hAnsi="Times New Roman"/>
          <w:b/>
          <w:bCs/>
          <w:noProof/>
          <w:sz w:val="24"/>
          <w:szCs w:val="24"/>
        </w:rPr>
        <w:t>; madankollu, il-gvern il-ġdid ħa impenji importanti biex jadotta l-miżuri kumplimentari miftiehma bil-ħeffa biex il-kapaċità tal-Awtorità Indipendenti tissaħħaħ u tkun tista’ tattira kandidati bi kwalifi għolja.</w:t>
      </w:r>
      <w:r>
        <w:rPr>
          <w:rFonts w:ascii="Times New Roman" w:hAnsi="Times New Roman"/>
          <w:noProof/>
          <w:sz w:val="24"/>
          <w:szCs w:val="24"/>
        </w:rPr>
        <w:t xml:space="preserve"> Il-livell tal-persunal tal-Awtorità Indipen</w:t>
      </w:r>
      <w:r>
        <w:rPr>
          <w:rFonts w:ascii="Times New Roman" w:hAnsi="Times New Roman"/>
          <w:noProof/>
          <w:sz w:val="24"/>
          <w:szCs w:val="24"/>
        </w:rPr>
        <w:t xml:space="preserve">denti fi tmiem it-tielet trimestru tal-2019 reġġa’ lura x-xejra negattiva li ġiet osservata fl-2018 iżda l-Awtorità għad jonqosha timpjega madwar 1 000 ruħ biex tilħaq il-mira sa tmiem l-2019. L-approvazzjoni riċenti tal-impjegar ta’ 600 persuna oħra huwa </w:t>
      </w:r>
      <w:r>
        <w:rPr>
          <w:rFonts w:ascii="Times New Roman" w:hAnsi="Times New Roman"/>
          <w:noProof/>
          <w:sz w:val="24"/>
          <w:szCs w:val="24"/>
        </w:rPr>
        <w:t>pass fit-triq it-tajba. Il-gvern il-ġdid impenja ruħu li jwettaq ir-riformi ġodda fir-riżorsi umani biex l-Awtorità Indipendenti tkun tista’ tirrekluta u żżomm persunal bi kwalifiki għoljin u alloka wkoll il-baġit meħtieġ. Għall-ewwel darba fl-amministrazz</w:t>
      </w:r>
      <w:r>
        <w:rPr>
          <w:rFonts w:ascii="Times New Roman" w:hAnsi="Times New Roman"/>
          <w:noProof/>
          <w:sz w:val="24"/>
          <w:szCs w:val="24"/>
        </w:rPr>
        <w:t>joni pubblika Griega din se ddaħħal gradwalment sistema ta’ remunerazzjoni bbażata fuq il-pożizzjoni. L-awtoritajiet impenjaw ruħhom li jadottaw leġiżlazzjoni dwar il-gradi sa tmiem l-2019 u l-grilja supplimentari tas-salarji fil-ħin biex is-sistema l-ġdid</w:t>
      </w:r>
      <w:r>
        <w:rPr>
          <w:rFonts w:ascii="Times New Roman" w:hAnsi="Times New Roman"/>
          <w:noProof/>
          <w:sz w:val="24"/>
          <w:szCs w:val="24"/>
        </w:rPr>
        <w:t>a tkun tista’ tidħol fis-seħħ mill-1 ta’ Lulju 2020. Biex il-ħidma ta’ kuljum tal-IT tal-IAPR ssir indipendenti biżżejjed, l-Awtorità Indipendenti u s-Segretarjat Ġenerali tas-Servizzi tal-Informazzjoni ftiehmu fuq it-tfassil ta’ pjan direzzjonali sa tmiem</w:t>
      </w:r>
      <w:r>
        <w:rPr>
          <w:rFonts w:ascii="Times New Roman" w:hAnsi="Times New Roman"/>
          <w:noProof/>
          <w:sz w:val="24"/>
          <w:szCs w:val="24"/>
        </w:rPr>
        <w:t xml:space="preserve"> l-2019 li jiċċara l-kompetenzi rispettivi tagħhom. Fl-aħħar nett, l-awtoritajiet ikkonfermaw li ġie identifikat bini xieraq li sa tmiem l-2020 se jospita s-servizzi kollha tal-kwartieri ġenerali tal-Awtorità Indipendenti li bħalissa huma mxerrda madwar 13</w:t>
      </w:r>
      <w:r>
        <w:rPr>
          <w:rFonts w:ascii="Times New Roman" w:hAnsi="Times New Roman"/>
          <w:noProof/>
          <w:sz w:val="24"/>
          <w:szCs w:val="24"/>
        </w:rPr>
        <w:t>-il binja.</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L-awtoritajiet se jemendaw l-iskema bażika tal-ħlas parzjali bil-għan li jiġi ffaċilitat il-pagament tad-djun relatati mat-taxxi. </w:t>
      </w:r>
      <w:r>
        <w:rPr>
          <w:rFonts w:ascii="Times New Roman" w:hAnsi="Times New Roman"/>
          <w:noProof/>
          <w:sz w:val="24"/>
          <w:szCs w:val="24"/>
        </w:rPr>
        <w:t>It-tibdil miftiehem se jagħmel l-iskema aktar flessibbli, fost l-oħrajn permezz tal-estensjoni tal-għadd massimu ta</w:t>
      </w:r>
      <w:r>
        <w:rPr>
          <w:rFonts w:ascii="Times New Roman" w:hAnsi="Times New Roman"/>
          <w:noProof/>
          <w:sz w:val="24"/>
          <w:szCs w:val="24"/>
        </w:rPr>
        <w:t xml:space="preserve">’ ħlasijiet parzjali għal 24 jew 48 skont it-tip tat-taxxa (mit-12 jew l-24 ħlas parzjali ta’ bħalissa), u ż-żieda tal-inċentivi biex persuna tibqa’ fl-iskema sakemm id-dejn jitħallas kollu. Biex l-iskema riveduta tibqa’ waħda kredibbli huwa importanti li </w:t>
      </w:r>
      <w:r>
        <w:rPr>
          <w:rFonts w:ascii="Times New Roman" w:hAnsi="Times New Roman"/>
          <w:noProof/>
          <w:sz w:val="24"/>
          <w:szCs w:val="24"/>
        </w:rPr>
        <w:t xml:space="preserve">l-awtoritajiet jimpenjaw ruħhom biex ma jibdew l-ebda skema ġdida oħra </w:t>
      </w:r>
      <w:r>
        <w:rPr>
          <w:rFonts w:ascii="Times New Roman" w:hAnsi="Times New Roman"/>
          <w:i/>
          <w:noProof/>
          <w:sz w:val="24"/>
          <w:szCs w:val="24"/>
        </w:rPr>
        <w:t>ad hoc</w:t>
      </w:r>
      <w:r>
        <w:rPr>
          <w:rFonts w:ascii="Times New Roman" w:hAnsi="Times New Roman"/>
          <w:noProof/>
          <w:sz w:val="24"/>
          <w:szCs w:val="24"/>
        </w:rPr>
        <w:t xml:space="preserve"> ta’ ħlasijiet parzjali.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L-amministrazzjoni l-ġdida adottat pjan ta’ azzjoni mifrux ġdid li jiċċara l-istokk tal-arretrati li għad fadal sal-2021, wara li ma tantx sar progress t</w:t>
      </w:r>
      <w:r>
        <w:rPr>
          <w:rFonts w:ascii="Times New Roman" w:hAnsi="Times New Roman"/>
          <w:b/>
          <w:bCs/>
          <w:noProof/>
          <w:sz w:val="24"/>
          <w:szCs w:val="24"/>
        </w:rPr>
        <w:t>aħt il-pjan ta’ qabel minn mindu spiċċa l-programm.</w:t>
      </w:r>
      <w:r>
        <w:rPr>
          <w:rFonts w:ascii="Times New Roman" w:hAnsi="Times New Roman"/>
          <w:noProof/>
          <w:sz w:val="24"/>
          <w:szCs w:val="24"/>
        </w:rPr>
        <w:t xml:space="preserve"> Minn tmiem Awwissu 2019l-istokk tal-arretrati li kien segwit f’konformità mas-sorveljanza msaħħa għadu għoli u jilħaq il-EUR 1,3 biljun meta mqabbel mal-EUR 1,7 biljun fis-sena ta’ qabel. Dan kien sostanz</w:t>
      </w:r>
      <w:r>
        <w:rPr>
          <w:rFonts w:ascii="Times New Roman" w:hAnsi="Times New Roman"/>
          <w:noProof/>
          <w:sz w:val="24"/>
          <w:szCs w:val="24"/>
        </w:rPr>
        <w:t>jalment aktar mill-mira ta’ żero arretrati f’għeluq il-programm tal-Mekkaniżmu Ewropew ta’ Stabbiltà. Il-pjan il-ġdid għandu l-għan li jnaqqas l-istokk nett tal-arretrati għal EUR 1 biljun sa Diċembru 2019 u li sa tmiem l-2020 ma jkunx għad fadal arretrati</w:t>
      </w:r>
      <w:r>
        <w:rPr>
          <w:rFonts w:ascii="Times New Roman" w:hAnsi="Times New Roman"/>
          <w:noProof/>
          <w:sz w:val="24"/>
          <w:szCs w:val="24"/>
        </w:rPr>
        <w:t xml:space="preserve"> x’jitħallsu, għajr għall-ammont ta’ EUR 140 miljun għal talbiet għall-pensjoni li jridu jingħalqu sa Ġunju tal-2021. Il-pjan jindirizza l-isfidi ewlenin tal-ikklerjar ta’ arretrati u huwa akkumpanjat minn għadd ta’ azzjonijiet legali, amministrattivi u ta</w:t>
      </w:r>
      <w:r>
        <w:rPr>
          <w:rFonts w:ascii="Times New Roman" w:hAnsi="Times New Roman"/>
          <w:noProof/>
          <w:sz w:val="24"/>
          <w:szCs w:val="24"/>
        </w:rPr>
        <w:t xml:space="preserve">l-IT biex jinkisbu l-miri tiegħu.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 xml:space="preserve">Qegħdin jitħejjew miżuri biex jiġi evitat il-ħolqien ta’ arretrati ġodda (impenn speċifiku għal nofs l-2019), iżda dawn se jirrekjedu aktar żmien biex jitfasslu u jiġu implimentati bis-sħiħ. </w:t>
      </w:r>
      <w:r>
        <w:rPr>
          <w:rFonts w:ascii="Times New Roman" w:hAnsi="Times New Roman"/>
          <w:noProof/>
          <w:sz w:val="24"/>
          <w:szCs w:val="24"/>
        </w:rPr>
        <w:t>Fl-awditjar ta’ segwitu l-Qort</w:t>
      </w:r>
      <w:r>
        <w:rPr>
          <w:rFonts w:ascii="Times New Roman" w:hAnsi="Times New Roman"/>
          <w:noProof/>
          <w:sz w:val="24"/>
          <w:szCs w:val="24"/>
        </w:rPr>
        <w:t>i tal-Awdituri Ellenika nnotat li sar progress fuq il-maġġoranza tar-rakkomandazzjonijiet tagħha; iżda wħud minn dawn ir-rakkomandazzjonijiet ewlenin se jirrekjedu aktar żmien, anke fid-dawl li ftit li xejn għadda żmien minn mindu sar l-aħħar awditjar. Bħa</w:t>
      </w:r>
      <w:r>
        <w:rPr>
          <w:rFonts w:ascii="Times New Roman" w:hAnsi="Times New Roman"/>
          <w:noProof/>
          <w:sz w:val="24"/>
          <w:szCs w:val="24"/>
        </w:rPr>
        <w:t>la parti mill-Pjan ta’ Azzjoni l-ġdid dwar l-ikklerjar, l-awtoritajiet se jistabbilixxu Kumitat ta’ Tmexxija permezz ta’ deċiżjoni Ministerjali biex jiżguraw l-implimentazzjoni f’waqtha kemm tal-pjan tal-ikklerjar kif ukoll tal-pjan biex ma jinġemgħux arre</w:t>
      </w:r>
      <w:r>
        <w:rPr>
          <w:rFonts w:ascii="Times New Roman" w:hAnsi="Times New Roman"/>
          <w:noProof/>
          <w:sz w:val="24"/>
          <w:szCs w:val="24"/>
        </w:rPr>
        <w:t xml:space="preserve">trati ġodda. L-awditjar </w:t>
      </w:r>
      <w:r>
        <w:rPr>
          <w:rFonts w:ascii="Times New Roman" w:hAnsi="Times New Roman"/>
          <w:i/>
          <w:iCs/>
          <w:noProof/>
          <w:sz w:val="24"/>
          <w:szCs w:val="24"/>
        </w:rPr>
        <w:t>ex ante</w:t>
      </w:r>
      <w:r>
        <w:rPr>
          <w:rFonts w:ascii="Times New Roman" w:hAnsi="Times New Roman"/>
          <w:noProof/>
          <w:sz w:val="24"/>
          <w:szCs w:val="24"/>
        </w:rPr>
        <w:t xml:space="preserve"> mill-Qorti tal-Awdituri Ellenika tal-fondi extrabaġitarji u tal-gvernijiet lokali ġew eliminati gradwalment kif kien ġie previst.</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 xml:space="preserve">B’mod ġenerali, l-implimentazzjoni tal-Kont Uniku tat-Teżor u tat-Tabella Unifikata </w:t>
      </w:r>
      <w:r>
        <w:rPr>
          <w:rFonts w:ascii="Times New Roman" w:hAnsi="Times New Roman"/>
          <w:b/>
          <w:bCs/>
          <w:noProof/>
          <w:sz w:val="24"/>
          <w:szCs w:val="24"/>
        </w:rPr>
        <w:t>tal-Kontijiet għadha għaddejja kif ippjanat.</w:t>
      </w:r>
      <w:r>
        <w:rPr>
          <w:rFonts w:ascii="Times New Roman" w:hAnsi="Times New Roman"/>
          <w:noProof/>
          <w:sz w:val="24"/>
          <w:szCs w:val="24"/>
        </w:rPr>
        <w:t xml:space="preserve"> L-implimentazzjoni sħiħa tal-Kont Uniku tat-Teżor sa tmiem l-2019 se jirrekjedi aktar xogħol iżda b’mod ġenerali qiegħed isir progress. Fir-rigward tat-Tabella Unifikata tal-Kontijiet, il-gvern il-ġdid ħoloq Kum</w:t>
      </w:r>
      <w:r>
        <w:rPr>
          <w:rFonts w:ascii="Times New Roman" w:hAnsi="Times New Roman"/>
          <w:noProof/>
          <w:sz w:val="24"/>
          <w:szCs w:val="24"/>
        </w:rPr>
        <w:t>itat ta’ Tmexxija li jissorvelja l-proġett u ħa xi passi inizjali biex jimplimenta t-tabella tal-kontijiet anke fil-baġit tal-investiment pubbliku; iżda hemm bżonn aktar ċarezza fir-rigward tal-implimentazzjoni sħiħa f’dan il-qasam.</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SERVIZZI SOĊJALI</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Il-Kun</w:t>
      </w:r>
      <w:r>
        <w:rPr>
          <w:rFonts w:ascii="Times New Roman" w:hAnsi="Times New Roman"/>
          <w:b/>
          <w:bCs/>
          <w:noProof/>
          <w:sz w:val="24"/>
          <w:szCs w:val="24"/>
        </w:rPr>
        <w:t>sill tal-Istat ikkonferma l-kostituzzjonalità tal-elementi ewlenin tar-riforma tal-pensjonijiet tal-2016, iżda wħud mill-aspetti tagħhom iridu jiġu emendati.</w:t>
      </w:r>
      <w:r>
        <w:rPr>
          <w:rFonts w:ascii="Times New Roman" w:hAnsi="Times New Roman"/>
          <w:noProof/>
          <w:sz w:val="24"/>
          <w:szCs w:val="24"/>
        </w:rPr>
        <w:t xml:space="preserve"> L-awtoritajiet qegħdin jelaboraw proposti biex jindirizzaw il-kwistjonijiet li ħarġu mid-deċiżjoni</w:t>
      </w:r>
      <w:r>
        <w:rPr>
          <w:rFonts w:ascii="Times New Roman" w:hAnsi="Times New Roman"/>
          <w:noProof/>
          <w:sz w:val="24"/>
          <w:szCs w:val="24"/>
        </w:rPr>
        <w:t xml:space="preserve"> tal-Kunsill tal-Istat u impenjaw ruħhom li jsibu soluzzjonijiet biex iżommu l-kost baxx tal-emendi meħtieġa fl-ambitu tal-baġit tal-Ministeru tal-Impjiegi għall-2020. Madankollu, riċentement it-Tieni Kamra tal-Qorti tal-Awdituri waslet għall-konklużjoni o</w:t>
      </w:r>
      <w:r>
        <w:rPr>
          <w:rFonts w:ascii="Times New Roman" w:hAnsi="Times New Roman"/>
          <w:noProof/>
          <w:sz w:val="24"/>
          <w:szCs w:val="24"/>
        </w:rPr>
        <w:t xml:space="preserve">pposta dwar id-drittijiet għal pensjoni tal-uffiċjali tas-settur pubbliku meta mqabbel mad-deċiżjoni tal-Kunsill tal-Istat. Dan qed joħloq inċertezza.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 xml:space="preserve">Il-ġbir tal-irkupru tal-2018 tan-nefqa fuq is-saħħa (impenn speċifiku għal nofs l-2019) iddewwem </w:t>
      </w:r>
      <w:r>
        <w:rPr>
          <w:rFonts w:ascii="Times New Roman" w:hAnsi="Times New Roman"/>
          <w:b/>
          <w:noProof/>
          <w:sz w:val="24"/>
          <w:szCs w:val="24"/>
        </w:rPr>
        <w:t>minħabba tibdil li sar fl-iskeda tar-rimborż, għalkemm il-leġiżlazzjoni meħtieġa dalwaqt tidħol fis-seħħ.</w:t>
      </w:r>
      <w:r>
        <w:rPr>
          <w:rFonts w:ascii="Times New Roman" w:hAnsi="Times New Roman"/>
          <w:noProof/>
          <w:sz w:val="24"/>
          <w:szCs w:val="24"/>
        </w:rPr>
        <w:t xml:space="preserve"> Il-bidu tal-ġbir, li oriġinarjament kien ippjanat għal Ġunju, intlaqat mid-deċiżjoni tal-awtoritajiet biex il-perjodu massimu tal-ħlas lura fir-rigwar</w:t>
      </w:r>
      <w:r>
        <w:rPr>
          <w:rFonts w:ascii="Times New Roman" w:hAnsi="Times New Roman"/>
          <w:noProof/>
          <w:sz w:val="24"/>
          <w:szCs w:val="24"/>
        </w:rPr>
        <w:t>d tal-irkupru jiġi estiż sa 120 ħlas parzjali kull xahar. Għalkemm il-parti l-kbira tal-fornituri mistennija jirrimborżaw fi żmien ħames snin, il-bidla xorta waħda tirriżulta f’dilwizzjoni ġenerali tal-ħlasijiet u taggrava s-sitwazzjoni tal-likwidità tal-F</w:t>
      </w:r>
      <w:r>
        <w:rPr>
          <w:rFonts w:ascii="Times New Roman" w:hAnsi="Times New Roman"/>
          <w:noProof/>
          <w:sz w:val="24"/>
          <w:szCs w:val="24"/>
        </w:rPr>
        <w:t xml:space="preserve">ond tas-Saħħa. L-istituzzjonijiet Ewropej inkoraġġixxew lill-awtoritajiet biex jagħtu spinta lill-isforzi f’dan il-qasam. </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L-awtoritajiet qegħdin jaħsbu biex jieħdu għadd ta’ passi biex jirrazjonalizzaw l-infiq fuq is-saħħa, li fuq perjodu medju u twil ina</w:t>
      </w:r>
      <w:r>
        <w:rPr>
          <w:rFonts w:ascii="Times New Roman" w:hAnsi="Times New Roman"/>
          <w:b/>
          <w:bCs/>
          <w:noProof/>
          <w:sz w:val="24"/>
          <w:szCs w:val="24"/>
        </w:rPr>
        <w:t>qqas l-irkupru. L-ambizzjoni ta’ dan l-irkupru jrid ikun proporzjonat ma’ wħud mill-passi li ttieħdu dan l-aħħar u li jmorru fid-direzzjoni opposta.</w:t>
      </w:r>
      <w:r>
        <w:rPr>
          <w:rFonts w:ascii="Times New Roman" w:hAnsi="Times New Roman"/>
          <w:noProof/>
          <w:sz w:val="24"/>
          <w:szCs w:val="24"/>
        </w:rPr>
        <w:t xml:space="preserve"> L-awtoritajiet qed jippjanaw li joħolqu reġistru nazzjonali tal-kanċer u Aġenzija tal-Valutazzjonijiet tat-</w:t>
      </w:r>
      <w:r>
        <w:rPr>
          <w:rFonts w:ascii="Times New Roman" w:hAnsi="Times New Roman"/>
          <w:noProof/>
          <w:sz w:val="24"/>
          <w:szCs w:val="24"/>
        </w:rPr>
        <w:t>Teknoloġija tas-Saħħa biex isaħħu l-Kumitat dwar in-Negozjati tal-Mediċina, u li jagħtu spinta lill-ħidma fuq l-iżvilupp ta’ protokolli kliniċi, minbarra azzjonijiet oħra. Dawn huma kollha passi fit-triq it-tajba għalkemm l-impatt tagħhom mistenni li jimma</w:t>
      </w:r>
      <w:r>
        <w:rPr>
          <w:rFonts w:ascii="Times New Roman" w:hAnsi="Times New Roman"/>
          <w:noProof/>
          <w:sz w:val="24"/>
          <w:szCs w:val="24"/>
        </w:rPr>
        <w:t>terjalizza biss fit-tul. Fl-istess waqt, l-awtoritajiet dewmu l-aġġornament annwali tal-bulettin tal-prezzijiet, li normalment iwassal għal roħs fill-prezzijiet tal-prodotti farmaċewtiċi, u biħsiebhom jeliminaw it-tariffa ta’ 25 % fir-rigward tal-dħul għad</w:t>
      </w:r>
      <w:r>
        <w:rPr>
          <w:rFonts w:ascii="Times New Roman" w:hAnsi="Times New Roman"/>
          <w:noProof/>
          <w:sz w:val="24"/>
          <w:szCs w:val="24"/>
        </w:rPr>
        <w:t>-drogi innovattivi. Potenzjalment dawn iż-żewġ miżuri jistgħu jżidu l-irkupru fix-xhur li ġejjin.</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Il-progress biex jiġu ssodisfati l-impenji ta’ nofs 2020 biex jiżdied is-sehem tal-akkwist ċentralizzat għan-nefqa tal-isptar u biex jissaħħaħ in-netwerk tal-</w:t>
      </w:r>
      <w:r>
        <w:rPr>
          <w:rFonts w:ascii="Times New Roman" w:hAnsi="Times New Roman"/>
          <w:b/>
          <w:bCs/>
          <w:noProof/>
          <w:sz w:val="24"/>
          <w:szCs w:val="24"/>
        </w:rPr>
        <w:t>fornituri tal-kura tas-saħħa qiegħed isir bil-mod.</w:t>
      </w:r>
      <w:r>
        <w:rPr>
          <w:rFonts w:ascii="Times New Roman" w:hAnsi="Times New Roman"/>
          <w:noProof/>
          <w:sz w:val="24"/>
          <w:szCs w:val="24"/>
        </w:rPr>
        <w:t xml:space="preserve"> Minkejja dan, l-awtoritajiet għadhom impenjati li jirriformaw u biħsiebhom isawru mill-ġdid il-korp ċentrali għall-akkwisti li nħoloq dan l-aħħar biex iżidu l-flessibbiltà u l-effiċjenza fuq terminu medju.</w:t>
      </w:r>
      <w:r>
        <w:rPr>
          <w:rFonts w:ascii="Times New Roman" w:hAnsi="Times New Roman"/>
          <w:noProof/>
          <w:sz w:val="24"/>
          <w:szCs w:val="24"/>
        </w:rPr>
        <w:t xml:space="preserve"> Bl-appoġġ tekniku li ngħata permezz tal-Kummissjoni Ewropea l-awtoritajiet għamlu progress fl-aġġornament tal-iskema ta’ rimborż tal-isptar. Se jkun importanti li l-awtoritajiet ikomplu jibnu fuq il-progress li sar.</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L-awtoritajiet waqqfu temporanjament il</w:t>
      </w:r>
      <w:r>
        <w:rPr>
          <w:rFonts w:ascii="Times New Roman" w:hAnsi="Times New Roman"/>
          <w:b/>
          <w:noProof/>
          <w:sz w:val="24"/>
          <w:szCs w:val="24"/>
        </w:rPr>
        <w:t>-ftuħ ta’ ċentri addizzjonali tal-kura tas-saħħa biex iqisu mill-ġdid l-aktar struttura xierqa għall-għoti tal-kura tas-saħħa primarja, għalkemm urew l-intenzjoni tagħhom li jżommu l-elementi fundamentali tar-riforma li diġà kien hemm leġiżlazzjoni dwarha.</w:t>
      </w:r>
      <w:r>
        <w:rPr>
          <w:rFonts w:ascii="Times New Roman" w:hAnsi="Times New Roman"/>
          <w:noProof/>
          <w:sz w:val="24"/>
          <w:szCs w:val="24"/>
        </w:rPr>
        <w:t xml:space="preserve"> Minħabba f’hekk, fis-sitt xhur li ġejjin qiegħed jitqies li se jkun vijabbli li jinfetħu mhux aktar minn għaxar unitajiet addizzjonali tal-kura tas-saħħa primarja. L-iskeda taż-żmien għall-introduzzjoni tal-karatteristiċi ewlenin tar-riforma, bħar-reġistr</w:t>
      </w:r>
      <w:r>
        <w:rPr>
          <w:rFonts w:ascii="Times New Roman" w:hAnsi="Times New Roman"/>
          <w:noProof/>
          <w:sz w:val="24"/>
          <w:szCs w:val="24"/>
        </w:rPr>
        <w:t>azzjoni obbligatorja ma’ tabib tal-familja u r-rwoli ta’ gwardjani, għad trid tiġi ċċarata.</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B’rabta mal-politika soċjali, ir-riforma tal-qafas tal-benefiċċji tad-diżabbiltà (impenn speċifiku għal nofs l-2019) miexja ’l quddiem - madankollu hemm dewmien sin</w:t>
      </w:r>
      <w:r>
        <w:rPr>
          <w:rFonts w:ascii="Times New Roman" w:hAnsi="Times New Roman"/>
          <w:b/>
          <w:bCs/>
          <w:noProof/>
          <w:sz w:val="24"/>
          <w:szCs w:val="24"/>
        </w:rPr>
        <w:t xml:space="preserve">ifikanti relatat mal-aspett tekniku li mhuwiex fil-kontroll tal-awtoritajiet. </w:t>
      </w:r>
      <w:r>
        <w:rPr>
          <w:rFonts w:ascii="Times New Roman" w:hAnsi="Times New Roman"/>
          <w:noProof/>
          <w:sz w:val="24"/>
          <w:szCs w:val="24"/>
        </w:rPr>
        <w:t>Filwaqt li t-titjib u s-simplifikazzjoni tal-proċessi amministrattivi biex jiġi deċiż l-i</w:t>
      </w:r>
      <w:r>
        <w:rPr>
          <w:rFonts w:ascii="Times New Roman" w:hAnsi="Times New Roman"/>
          <w:i/>
          <w:noProof/>
          <w:sz w:val="24"/>
          <w:szCs w:val="24"/>
        </w:rPr>
        <w:t>status</w:t>
      </w:r>
      <w:r>
        <w:rPr>
          <w:rFonts w:ascii="Times New Roman" w:hAnsi="Times New Roman"/>
          <w:noProof/>
          <w:sz w:val="24"/>
          <w:szCs w:val="24"/>
        </w:rPr>
        <w:t xml:space="preserve"> tad-diżabbiltà għaddej tajjeb, l-approċċ il-ġdid biex jiġi deċiż l-i</w:t>
      </w:r>
      <w:r>
        <w:rPr>
          <w:rFonts w:ascii="Times New Roman" w:hAnsi="Times New Roman"/>
          <w:i/>
          <w:noProof/>
          <w:sz w:val="24"/>
          <w:szCs w:val="24"/>
        </w:rPr>
        <w:t>status</w:t>
      </w:r>
      <w:r>
        <w:rPr>
          <w:rFonts w:ascii="Times New Roman" w:hAnsi="Times New Roman"/>
          <w:noProof/>
          <w:sz w:val="24"/>
          <w:szCs w:val="24"/>
        </w:rPr>
        <w:t xml:space="preserve"> tad-diż</w:t>
      </w:r>
      <w:r>
        <w:rPr>
          <w:rFonts w:ascii="Times New Roman" w:hAnsi="Times New Roman"/>
          <w:noProof/>
          <w:sz w:val="24"/>
          <w:szCs w:val="24"/>
        </w:rPr>
        <w:t>abbiltà abbażi ta’ valutazzjoni medika u funzjonali għad irid jiġi adottat. Il-metodoloġija l-ġdida kellha tiġi żviluppata abbażi tar-riżultati ta’ proġett pilota, li ntlaqat minn dewmien minħabba raġunijiet li ma kinux fil-kontroll tal-awtoritajiet. L-isk</w:t>
      </w:r>
      <w:r>
        <w:rPr>
          <w:rFonts w:ascii="Times New Roman" w:hAnsi="Times New Roman"/>
          <w:noProof/>
          <w:sz w:val="24"/>
          <w:szCs w:val="24"/>
        </w:rPr>
        <w:t>eda taż-żmien riveduta se tiġi miftiehma ladarba tiġi rċevuta l-evalwazzjoni: sakemm l-evalwazzjoni tkun disponibbli fi żmien qasir, jenħtieġ li d-dokument kunċettwali jkun disponibbli sa Frar u r-riforma ssir sa Ġunju 2020.</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L-impenji speċifiċi dwar l-ikko</w:t>
      </w:r>
      <w:r>
        <w:rPr>
          <w:rFonts w:ascii="Times New Roman" w:hAnsi="Times New Roman"/>
          <w:b/>
          <w:bCs/>
          <w:noProof/>
          <w:sz w:val="24"/>
          <w:szCs w:val="24"/>
        </w:rPr>
        <w:t>mpletar tal-iskema tal-Introjtu mis-Solidarjetà Soċjali u r-rieżami tas-sussidji għat-trasport pubbliku lokali għadhom għaddejjin kif ippjanat.</w:t>
      </w:r>
      <w:r>
        <w:rPr>
          <w:rFonts w:ascii="Times New Roman" w:hAnsi="Times New Roman"/>
          <w:noProof/>
          <w:sz w:val="24"/>
          <w:szCs w:val="24"/>
        </w:rPr>
        <w:t xml:space="preserve"> L-awtoritajiet iffinalizzaw it-tieni pilastru tal-iskema tal-Introjtu mis-Solidarjetà Soċjali - l-inklużjoni soċ</w:t>
      </w:r>
      <w:r>
        <w:rPr>
          <w:rFonts w:ascii="Times New Roman" w:hAnsi="Times New Roman"/>
          <w:noProof/>
          <w:sz w:val="24"/>
          <w:szCs w:val="24"/>
        </w:rPr>
        <w:t>jali - u għaddejja ħidma fuq t-tielet pilastru, li tiddependi fuq l-għoti ta’ servizzi attivi tas-suq tax-xogħol biex ir-riċevituri tal-iskema jingħataw l-għajnuna biex (jerġgħu) jidħlu fis-suq tax-xogħol. Biex dan jinkiseb, l-awtoritajiet qegħdin jiżvilup</w:t>
      </w:r>
      <w:r>
        <w:rPr>
          <w:rFonts w:ascii="Times New Roman" w:hAnsi="Times New Roman"/>
          <w:noProof/>
          <w:sz w:val="24"/>
          <w:szCs w:val="24"/>
        </w:rPr>
        <w:t>paw approċċ aktar sistematiku għat-tfassil u l-ġestjoni tas-servizzi attivi tas-suq tax-xogħol. Dan l-approċċ ġie ttestjat u jenħtieġ li jiġi estiż gradwalment wara li jiġi evalwat. B’rabta mar-rieżami li dalwaqt issir tas-sistema tas-sussidji tat-trasport</w:t>
      </w:r>
      <w:r>
        <w:rPr>
          <w:rFonts w:ascii="Times New Roman" w:hAnsi="Times New Roman"/>
          <w:noProof/>
          <w:sz w:val="24"/>
          <w:szCs w:val="24"/>
        </w:rPr>
        <w:t xml:space="preserve"> pubbliku lokali, l-awtoritajiet ikkonfermaw l-impenn tagħhom li jivvalutaw l-adegwatezza tas-sistema attwali tal-prezzijiet issussidjati tat-trasport pubbliku lokali sa tmiem l-2019, u li jieħdu azzjoni fuq kwalunkwe rakkomandazzjoni eventwali biex itejbu</w:t>
      </w:r>
      <w:r>
        <w:rPr>
          <w:rFonts w:ascii="Times New Roman" w:hAnsi="Times New Roman"/>
          <w:noProof/>
          <w:sz w:val="24"/>
          <w:szCs w:val="24"/>
        </w:rPr>
        <w:t xml:space="preserve"> s-sistema. </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POLITIKI TAS-SETTUR FINANZJARJU</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Is-sitwazzjoni tal-likwidità tal-banek Griegi kompliet taqleb għall-aħjar u jidher li l-aċċess tal-banek għas-suq qiegħed jerġa’ jiġi stabbilit gradwalment, għalkemm ir-riskji u l-isfidi marbuta mal-legat għadho</w:t>
      </w:r>
      <w:r>
        <w:rPr>
          <w:rFonts w:ascii="Times New Roman" w:hAnsi="Times New Roman"/>
          <w:b/>
          <w:noProof/>
          <w:sz w:val="24"/>
          <w:szCs w:val="24"/>
        </w:rPr>
        <w:t>m għolja.</w:t>
      </w:r>
      <w:r>
        <w:rPr>
          <w:rFonts w:ascii="Times New Roman" w:hAnsi="Times New Roman"/>
          <w:bCs/>
          <w:noProof/>
          <w:sz w:val="24"/>
          <w:szCs w:val="24"/>
        </w:rPr>
        <w:t xml:space="preserve"> Il-banek</w:t>
      </w:r>
      <w:r>
        <w:rPr>
          <w:rFonts w:ascii="Times New Roman" w:hAnsi="Times New Roman"/>
          <w:noProof/>
          <w:sz w:val="24"/>
          <w:szCs w:val="24"/>
        </w:rPr>
        <w:t xml:space="preserve"> għandhom qed iħabbtu wiċċhom ma’ self improduttiv, filwaqt li għad fadal sfidi oħra, bħall-profitabbiltà fraġli u r-rabta qawwija bejn il-banek u s-sovrani, fosthom minħabba s-sehem għoli ta’ krediti ta’ taxxa differiti fil-kapital tal-b</w:t>
      </w:r>
      <w:r>
        <w:rPr>
          <w:rFonts w:ascii="Times New Roman" w:hAnsi="Times New Roman"/>
          <w:noProof/>
          <w:sz w:val="24"/>
          <w:szCs w:val="24"/>
        </w:rPr>
        <w:t>anek.</w:t>
      </w:r>
      <w:r>
        <w:rPr>
          <w:rFonts w:ascii="Times New Roman" w:hAnsi="Times New Roman"/>
          <w:b/>
          <w:bCs/>
          <w:noProof/>
          <w:sz w:val="24"/>
          <w:szCs w:val="24"/>
        </w:rPr>
        <w:t xml:space="preserve"> </w:t>
      </w:r>
      <w:r>
        <w:rPr>
          <w:rFonts w:ascii="Times New Roman" w:hAnsi="Times New Roman"/>
          <w:noProof/>
          <w:sz w:val="24"/>
          <w:szCs w:val="24"/>
        </w:rPr>
        <w:t>Fil-ġejjieni s-settur bankarju Grieg se jkompli jħabbat wiċċu mal-isfida li jsaħħaħ ir-reżiljenza tiegħu u jaċċellera t-tnaqqis tas-self improduttiv, filwaqt li jtejjeb il-kapaċità li jiffinanzja t-tkabbir.</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It-titjib fis-sitwazzjoni tal-likwidità </w:t>
      </w:r>
      <w:r>
        <w:rPr>
          <w:rFonts w:ascii="Times New Roman" w:hAnsi="Times New Roman"/>
          <w:b/>
          <w:bCs/>
          <w:noProof/>
          <w:sz w:val="24"/>
          <w:szCs w:val="24"/>
        </w:rPr>
        <w:t>tal-banek Griegi u ż-żieda fil-fiduċja tad-depożitanti wasslu għat-tneħħija totali tal-kontrolli kapitali mill-1 ta’ Settembru 2019 (impenn speċifiku kontinwu).</w:t>
      </w:r>
      <w:r>
        <w:rPr>
          <w:rFonts w:ascii="Times New Roman" w:hAnsi="Times New Roman"/>
          <w:noProof/>
          <w:sz w:val="24"/>
          <w:szCs w:val="24"/>
        </w:rPr>
        <w:t xml:space="preserve"> Fl-ewwel disa’ xhur tal-2019, id-depożiti tas-settur privat fil-banek żdiedu b’madwar 3,5% u l-</w:t>
      </w:r>
      <w:r>
        <w:rPr>
          <w:rFonts w:ascii="Times New Roman" w:hAnsi="Times New Roman"/>
          <w:noProof/>
          <w:sz w:val="24"/>
          <w:szCs w:val="24"/>
        </w:rPr>
        <w:t>assistenza ta’ likwidità f’emerġenza tħallset lura bis-sħiħ fil-bidu tas-sena. Filwaqt li t-tneħħija tal-kontrolli kapitali tinnormalizza l-funzjonament tal-ekonomija Griega u tgħin it-trawwim tal-fiduċja,  din tqiegħed aktar importanza fuq il-fatt li l-is</w:t>
      </w:r>
      <w:r>
        <w:rPr>
          <w:rFonts w:ascii="Times New Roman" w:hAnsi="Times New Roman"/>
          <w:noProof/>
          <w:sz w:val="24"/>
          <w:szCs w:val="24"/>
        </w:rPr>
        <w:t>forzi jiġu aċċellerati sabiex tissaħħaħ is-sistema bankarja u tiġi ggarantita l-kunfidenza tad-depożitanti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Il-pass tat-tnaqqis tas-self improduttiv żdied fl-2019 iżda l-livelli għadhom għoljin ħafna.</w:t>
      </w:r>
      <w:r>
        <w:rPr>
          <w:rFonts w:ascii="Times New Roman" w:hAnsi="Times New Roman"/>
          <w:noProof/>
          <w:sz w:val="24"/>
          <w:szCs w:val="24"/>
        </w:rPr>
        <w:t xml:space="preserve"> Is-self improduttiv fis-sistema bankarja Griega laħaq l-</w:t>
      </w:r>
      <w:r>
        <w:rPr>
          <w:rFonts w:ascii="Times New Roman" w:hAnsi="Times New Roman"/>
          <w:noProof/>
          <w:sz w:val="24"/>
          <w:szCs w:val="24"/>
        </w:rPr>
        <w:t>ogħla livell f’Marzu 2016 meta kien EUR 107,2 biljun jew 48,8 %. Il-pass tat-tnaqqis tas-self improduttiv żdied mill-2018 u laħaq il-45,4 % u t-43,6 % tas-self totali tal-konsumatur fi tmiem l-2018 u sa nofs l-2019 rispettivament. B’mod ġenerali dan kien k</w:t>
      </w:r>
      <w:r>
        <w:rPr>
          <w:rFonts w:ascii="Times New Roman" w:hAnsi="Times New Roman"/>
          <w:noProof/>
          <w:sz w:val="24"/>
          <w:szCs w:val="24"/>
        </w:rPr>
        <w:t>onformi mal-miri operazzjonali li ġew stabbiliti mill-erba’ banek sistemiċi, taħt is-sorveljanza tal-awtorità superviżorja. Filwaqt li l-proporzjon tas-self improduttiv għadu għoli, l-aċċellerazzjoni li seħħet dan l-aħħar fil-pass tat-tnaqqis tas-self impr</w:t>
      </w:r>
      <w:r>
        <w:rPr>
          <w:rFonts w:ascii="Times New Roman" w:hAnsi="Times New Roman"/>
          <w:noProof/>
          <w:sz w:val="24"/>
          <w:szCs w:val="24"/>
        </w:rPr>
        <w:t>oduttiv hija aktar aċċentwata f’termini assoluti: sa tmiem Ġunju tal-2019 l-istokk tas-self improduttiv kien naqas għal EUR 75,4 biljun, jiġifieri b’EUR 13,5 biljun jew 15 % sena wara sena. Għas-snin li ġejjin il-pjan tal-erba’ banek sistemiċi huwa li jnaq</w:t>
      </w:r>
      <w:r>
        <w:rPr>
          <w:rFonts w:ascii="Times New Roman" w:hAnsi="Times New Roman"/>
          <w:noProof/>
          <w:sz w:val="24"/>
          <w:szCs w:val="24"/>
        </w:rPr>
        <w:t>qsu sostanzjalment aktar is-self improduttiv għal EUR 26 biljun jew 19,2 % sa tmiem l-2021. Għal dan il-għan kemm il-banek kif ukoll l-awtoritajiet se jkollhom jagħmlu aktar sforzi: il-banek se jeħtiġilhom jgħaġġlu l-attivitajiet “organiċi” ta’ riżoluzzjon</w:t>
      </w:r>
      <w:r>
        <w:rPr>
          <w:rFonts w:ascii="Times New Roman" w:hAnsi="Times New Roman"/>
          <w:noProof/>
          <w:sz w:val="24"/>
          <w:szCs w:val="24"/>
        </w:rPr>
        <w:t>i tas-self improduttiv u jsaħħu l-isforzi tagħhom biex jidentifikaw u jindirizzaw l-inadempjenzi strateġiċi b’mod xieraq, filwaqt li l-awtoritajiet mistennija jiżguraw li l-qafas legali u s-sistema ġudizzjarja jkunu jistgħu jappoġġaw ir-riżoluzzjoni għas-s</w:t>
      </w:r>
      <w:r>
        <w:rPr>
          <w:rFonts w:ascii="Times New Roman" w:hAnsi="Times New Roman"/>
          <w:noProof/>
          <w:sz w:val="24"/>
          <w:szCs w:val="24"/>
        </w:rPr>
        <w:t>elf improduttiv b’mod effiċjenti.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L-inizjattivi sistemiċi, bħall-iskema ta’ protezzjoni tal-assi Hercules, jistgħu jgħinu biex inaddfu l-karta tal-bilanċ tal-banek Griegi.</w:t>
      </w:r>
      <w:r>
        <w:rPr>
          <w:rFonts w:ascii="Times New Roman" w:hAnsi="Times New Roman"/>
          <w:noProof/>
          <w:sz w:val="24"/>
          <w:szCs w:val="24"/>
        </w:rPr>
        <w:t xml:space="preserve"> Skont l-iskema, kull bank jista’ jittrasferixxi s-self improduttiv lejn Veikoli bi S</w:t>
      </w:r>
      <w:r>
        <w:rPr>
          <w:rFonts w:ascii="Times New Roman" w:hAnsi="Times New Roman"/>
          <w:noProof/>
          <w:sz w:val="24"/>
          <w:szCs w:val="24"/>
        </w:rPr>
        <w:t>kop Speċjali amministrati separatament, li jkunu jistgħu joħorġu noti promissorji prijoritarji, mezzana u anqas prijoritarji, b’garanzija statali fir-rigward ta’ noti promissorji prijoritarji. Bħala skambju għall-garanzija offruta l-istat se jirċievi remun</w:t>
      </w:r>
      <w:r>
        <w:rPr>
          <w:rFonts w:ascii="Times New Roman" w:hAnsi="Times New Roman"/>
          <w:noProof/>
          <w:sz w:val="24"/>
          <w:szCs w:val="24"/>
        </w:rPr>
        <w:t>erazzjoni skont it-termini tas-suq. Il-kumpaniji ta’ servizzi esterni se jamministraw l-assi. F’Ottubru 2019, il-Kummissjoni kkonkludiet li l-iskema, li hija simili għall-Iskema Taljana ta’ Garanzija tat-Titolizzazzjoni ta’ Self Improduttiv, ma tikkostitwi</w:t>
      </w:r>
      <w:r>
        <w:rPr>
          <w:rFonts w:ascii="Times New Roman" w:hAnsi="Times New Roman"/>
          <w:noProof/>
          <w:sz w:val="24"/>
          <w:szCs w:val="24"/>
        </w:rPr>
        <w:t>xxix għajnuna mill-Istat fl-ambitu tat-tifsira tal-Artikolu 107 (1) tat-Trattat dwar il-Funzjonament tal-Unjoni Ewropea.</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Issa l-enfasi tinsab fuq it-tlestija tat-tfassil tal-iskema tal-protezzjoni tal-assi u t-tibdija tal-implimentazzjoni tagħha bil-ħeffa.</w:t>
      </w:r>
      <w:r>
        <w:rPr>
          <w:rFonts w:ascii="Times New Roman" w:hAnsi="Times New Roman"/>
          <w:b/>
          <w:bCs/>
          <w:noProof/>
          <w:sz w:val="24"/>
          <w:szCs w:val="24"/>
        </w:rPr>
        <w:t xml:space="preserve"> </w:t>
      </w:r>
      <w:r>
        <w:rPr>
          <w:rFonts w:ascii="Times New Roman" w:hAnsi="Times New Roman"/>
          <w:noProof/>
          <w:sz w:val="24"/>
          <w:szCs w:val="24"/>
        </w:rPr>
        <w:t xml:space="preserve">Il-parteċipazzjoni fl-iskema hija volontarja, filwaqt li l-pakkett ta’ garanziji jista’ jappoġġa l-irtirar tar-rikonoxximent ta’ self improduttiv għall-banek kollha. It-titjib ta’ bħalissa tal-kundizzjonijiet tal-finanzjament sovran jipprovdi opportunità </w:t>
      </w:r>
      <w:r>
        <w:rPr>
          <w:rFonts w:ascii="Times New Roman" w:hAnsi="Times New Roman"/>
          <w:noProof/>
          <w:sz w:val="24"/>
          <w:szCs w:val="24"/>
        </w:rPr>
        <w:t>lill-banek biex jiksbu prezz baxx fir-rigward tal-garanziji tal-istat, għalkemm irid jitqies ir-riskju tas-suq. Fost l-oħrajn, is-suċċess tal-iskema se jiddependi fuq il-bilanċ tal-qligħ regolatorju kapitali, l-infiq relatat mal-garanziji u t-telf iġġenera</w:t>
      </w:r>
      <w:r>
        <w:rPr>
          <w:rFonts w:ascii="Times New Roman" w:hAnsi="Times New Roman"/>
          <w:noProof/>
          <w:sz w:val="24"/>
          <w:szCs w:val="24"/>
        </w:rPr>
        <w:t xml:space="preserve">t mill-bejgħ ta’ noti lill-investituri. L-iskema se tibqa’ għaddejja għal 18-il xahar, bil-possibbiltà li tiġġedded. L-awtoritajiet jistgħu jesploraw ukoll miżuri addizzjonali, fosthom skemi kumplimentari, li jappoġġaw is-saħħa tas-settur bankarju.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L-awto</w:t>
      </w:r>
      <w:r>
        <w:rPr>
          <w:rFonts w:ascii="Times New Roman" w:hAnsi="Times New Roman"/>
          <w:b/>
          <w:noProof/>
          <w:sz w:val="24"/>
          <w:szCs w:val="24"/>
        </w:rPr>
        <w:t>ritajiet qed jaħdmu fuq firxa ta’ inizjattivi biex isaħħu l-qafas ta’ riżoluzzjoni tas-self improduttiv, għalkemm hemm lok li l-pass tal-implimentazzjoni jitħaffef.</w:t>
      </w:r>
      <w:r>
        <w:rPr>
          <w:rFonts w:ascii="Times New Roman" w:hAnsi="Times New Roman"/>
          <w:noProof/>
          <w:sz w:val="24"/>
          <w:szCs w:val="24"/>
        </w:rPr>
        <w:t xml:space="preserve"> L-implimentazzjoni tal-azzjonijiet spjegati aktar ’l isfel tiġi mmonitorjata u evalwata b’k</w:t>
      </w:r>
      <w:r>
        <w:rPr>
          <w:rFonts w:ascii="Times New Roman" w:hAnsi="Times New Roman"/>
          <w:noProof/>
          <w:sz w:val="24"/>
          <w:szCs w:val="24"/>
        </w:rPr>
        <w:t>onformità mas-sorveljanza msaħħa bħala parti mill</w:t>
      </w:r>
      <w:r>
        <w:rPr>
          <w:rFonts w:ascii="Times New Roman" w:hAnsi="Times New Roman"/>
          <w:b/>
          <w:noProof/>
          <w:sz w:val="24"/>
          <w:szCs w:val="24"/>
        </w:rPr>
        <w:t>-impenn speċifiku kontinwu</w:t>
      </w:r>
      <w:r>
        <w:rPr>
          <w:rFonts w:ascii="Times New Roman" w:hAnsi="Times New Roman"/>
          <w:noProof/>
          <w:sz w:val="24"/>
          <w:szCs w:val="24"/>
        </w:rPr>
        <w:t xml:space="preserve"> biex </w:t>
      </w:r>
      <w:r>
        <w:rPr>
          <w:rFonts w:ascii="Times New Roman" w:hAnsi="Times New Roman"/>
          <w:i/>
          <w:iCs/>
          <w:noProof/>
          <w:sz w:val="24"/>
          <w:szCs w:val="24"/>
        </w:rPr>
        <w:t>“titkompla l-implimentazzjoni tar-riformi mmirati li jqawwu s-sistema bankarja, fosthom l-isforzi ta’ riżoluzzjoni għas-self improduttiv”</w:t>
      </w:r>
      <w:r>
        <w:rPr>
          <w:rFonts w:ascii="Times New Roman" w:hAnsi="Times New Roman"/>
          <w:noProof/>
          <w:sz w:val="24"/>
          <w:szCs w:val="24"/>
        </w:rPr>
        <w:t>.</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Irkanti elettroniċi: </w:t>
      </w:r>
      <w:r>
        <w:rPr>
          <w:rFonts w:ascii="Times New Roman" w:hAnsi="Times New Roman"/>
          <w:noProof/>
          <w:sz w:val="24"/>
          <w:szCs w:val="24"/>
        </w:rPr>
        <w:t>Minkejja l-prog</w:t>
      </w:r>
      <w:r>
        <w:rPr>
          <w:rFonts w:ascii="Times New Roman" w:hAnsi="Times New Roman"/>
          <w:noProof/>
          <w:sz w:val="24"/>
          <w:szCs w:val="24"/>
        </w:rPr>
        <w:t>ress li sar fl-ewwel semestru tal-2019, il-maġġoranza tal-irkanti elettroniċi għadhom qed jiġu kkanċellati jew sospiżi, jew ma marrux tajjeb minħabba nuqqas ta’ interess fost l-offerenti, u l-parti l-kbira tal-assi ta’ proprjetà immobbli li ġew irkantati b</w:t>
      </w:r>
      <w:r>
        <w:rPr>
          <w:rFonts w:ascii="Times New Roman" w:hAnsi="Times New Roman"/>
          <w:noProof/>
          <w:sz w:val="24"/>
          <w:szCs w:val="24"/>
        </w:rPr>
        <w:t>’suċċess għandha tinxtara mill-banek.</w:t>
      </w:r>
      <w:r>
        <w:rPr>
          <w:rFonts w:ascii="Times New Roman" w:hAnsi="Times New Roman"/>
          <w:b/>
          <w:bCs/>
          <w:noProof/>
          <w:sz w:val="24"/>
          <w:szCs w:val="24"/>
        </w:rPr>
        <w:t xml:space="preserve"> </w:t>
      </w:r>
      <w:r>
        <w:rPr>
          <w:rFonts w:ascii="Times New Roman" w:hAnsi="Times New Roman"/>
          <w:noProof/>
          <w:sz w:val="24"/>
          <w:szCs w:val="24"/>
        </w:rPr>
        <w:t>Bħalissa qed issir valutazzjoni tal-impedimenti li ġew identifikati li wasslu għall-kanċellazzjoni jew is-sospensjoni tal-irkanti elettroniċi minħabba abbuż proċedurali. L-awtoritajiet Griegi ħolqu grupp ta’ ħidma biex</w:t>
      </w:r>
      <w:r>
        <w:rPr>
          <w:rFonts w:ascii="Times New Roman" w:hAnsi="Times New Roman"/>
          <w:noProof/>
          <w:sz w:val="24"/>
          <w:szCs w:val="24"/>
        </w:rPr>
        <w:t xml:space="preserve"> jivvaluta d-daqs tal-problema kif ukoll impendimenti potenzjali oħrajn u jiddefinixxi u jirrakkomanda l-miżuri ta’ mitigazzjoni meħtieġa. L-awtoritajiet taw analiżi inizjali tar-raġunijiet għall-i</w:t>
      </w:r>
      <w:r>
        <w:rPr>
          <w:rFonts w:ascii="Times New Roman" w:hAnsi="Times New Roman"/>
          <w:i/>
          <w:noProof/>
          <w:sz w:val="24"/>
          <w:szCs w:val="24"/>
        </w:rPr>
        <w:t>status quo</w:t>
      </w:r>
      <w:r>
        <w:rPr>
          <w:rFonts w:ascii="Times New Roman" w:hAnsi="Times New Roman"/>
          <w:noProof/>
          <w:sz w:val="24"/>
          <w:szCs w:val="24"/>
        </w:rPr>
        <w:t xml:space="preserve"> msemmi hawn fuq u impenjaw ruħhom li jipprovdu r</w:t>
      </w:r>
      <w:r>
        <w:rPr>
          <w:rFonts w:ascii="Times New Roman" w:hAnsi="Times New Roman"/>
          <w:noProof/>
          <w:sz w:val="24"/>
          <w:szCs w:val="24"/>
        </w:rPr>
        <w:t>apport sħiħ fi ftit żmien.</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Każijiet pendenti ta’ insolvenza tal-unitajiet domestiċi: </w:t>
      </w:r>
      <w:r>
        <w:rPr>
          <w:rFonts w:ascii="Times New Roman" w:hAnsi="Times New Roman"/>
          <w:noProof/>
          <w:sz w:val="24"/>
          <w:szCs w:val="24"/>
        </w:rPr>
        <w:t>L-eliminazzjoni tal-kawżi pendenti fil-qrati fil-kuntest tal-qafas tal-insolvenza ta’ unitajiet domestiċi (impenn speċifiku għal tmiem l-2021) għadha tassew lura. Huwa ess</w:t>
      </w:r>
      <w:r>
        <w:rPr>
          <w:rFonts w:ascii="Times New Roman" w:hAnsi="Times New Roman"/>
          <w:noProof/>
          <w:sz w:val="24"/>
          <w:szCs w:val="24"/>
        </w:rPr>
        <w:t xml:space="preserve">enzjali li l-awtoritajiet iżidu l-kapaċità tal-qrati tal-maġistrati li jipproċessawhom biex jeliminaw il-kawżi pendenti kollha, fosthom dawk li nħolqu taħt is-sistema l-ġdida dwar il-protezzjoni tar-residenza primarja sa tmiem l-2021 - permezz tat-tfassil </w:t>
      </w:r>
      <w:r>
        <w:rPr>
          <w:rFonts w:ascii="Times New Roman" w:hAnsi="Times New Roman"/>
          <w:noProof/>
          <w:sz w:val="24"/>
          <w:szCs w:val="24"/>
        </w:rPr>
        <w:t>ta’ pjan ta’ azzjoni aġġornat b’mod xieraq sa tmiem Diċembru 2019. L-istituzzjonijiet Ewropej ħeġġew lill-awtoritajiet jivvalutaw il-bidla fl-għadd ta’ kawżi fil-passat (kawżi proċessati fil-konfront tal-influssi ta’ kawżi ġodda) u jippreżentaw miżuri adeg</w:t>
      </w:r>
      <w:r>
        <w:rPr>
          <w:rFonts w:ascii="Times New Roman" w:hAnsi="Times New Roman"/>
          <w:noProof/>
          <w:sz w:val="24"/>
          <w:szCs w:val="24"/>
        </w:rPr>
        <w:t>wati sabiex il-lista ta’ kawżi pendenti tiġi eliminata sa tmiem l-2021.</w:t>
      </w:r>
    </w:p>
    <w:p w:rsidR="00DD6B74" w:rsidRDefault="00557887">
      <w:pPr>
        <w:numPr>
          <w:ilvl w:val="0"/>
          <w:numId w:val="2"/>
        </w:numPr>
        <w:spacing w:after="120" w:line="240" w:lineRule="atLeast"/>
        <w:ind w:left="357" w:hanging="357"/>
        <w:jc w:val="both"/>
        <w:rPr>
          <w:rFonts w:ascii="Times New Roman" w:hAnsi="Times New Roman" w:cs="Times New Roman"/>
          <w:bCs/>
          <w:noProof/>
          <w:color w:val="000000"/>
          <w:sz w:val="24"/>
          <w:szCs w:val="24"/>
        </w:rPr>
      </w:pPr>
      <w:r>
        <w:rPr>
          <w:rFonts w:ascii="Times New Roman" w:hAnsi="Times New Roman"/>
          <w:b/>
          <w:bCs/>
          <w:noProof/>
          <w:sz w:val="24"/>
          <w:szCs w:val="24"/>
        </w:rPr>
        <w:t xml:space="preserve">It-trattament tat-taxxa tat-tħassir: </w:t>
      </w:r>
      <w:r>
        <w:rPr>
          <w:rFonts w:ascii="Times New Roman" w:hAnsi="Times New Roman"/>
          <w:bCs/>
          <w:noProof/>
          <w:sz w:val="24"/>
          <w:szCs w:val="24"/>
        </w:rPr>
        <w:t>Bħalissa qed issir konsultazzjoni pubblika tal-emenda li terġa’ ddaħħal it-trattament favorevoli tat-taxxa tat-tħassir ta’ self li kien skada fi tm</w:t>
      </w:r>
      <w:r>
        <w:rPr>
          <w:rFonts w:ascii="Times New Roman" w:hAnsi="Times New Roman"/>
          <w:bCs/>
          <w:noProof/>
          <w:sz w:val="24"/>
          <w:szCs w:val="24"/>
        </w:rPr>
        <w:t>iem l-2018 għar-ristrutturar li kien sar sa tmiem l-2019. Id-dispożizzjoni rilevanti tistipula li l-ammont tat-tħassir mhuwiex se jitqies bħala introjtu tad-debitur u se jkun eżentat mit-taxxa imposta fuq id-donazzjonijiet. Din tindirizza d-diżinċentivi għ</w:t>
      </w:r>
      <w:r>
        <w:rPr>
          <w:rFonts w:ascii="Times New Roman" w:hAnsi="Times New Roman"/>
          <w:bCs/>
          <w:noProof/>
          <w:sz w:val="24"/>
          <w:szCs w:val="24"/>
        </w:rPr>
        <w:t xml:space="preserve">ar-ristrutturar ikkawżat mill-iskadenza tat-trattament tat-taxxa preċedenti. </w:t>
      </w:r>
    </w:p>
    <w:p w:rsidR="00DD6B74" w:rsidRDefault="00557887">
      <w:pPr>
        <w:numPr>
          <w:ilvl w:val="0"/>
          <w:numId w:val="2"/>
        </w:numPr>
        <w:spacing w:after="120" w:line="240" w:lineRule="atLeast"/>
        <w:ind w:left="357" w:hanging="357"/>
        <w:jc w:val="both"/>
        <w:rPr>
          <w:rFonts w:ascii="Times New Roman" w:hAnsi="Times New Roman" w:cs="Times New Roman"/>
          <w:bCs/>
          <w:noProof/>
          <w:color w:val="000000"/>
          <w:sz w:val="24"/>
          <w:szCs w:val="24"/>
        </w:rPr>
      </w:pPr>
      <w:r>
        <w:rPr>
          <w:rFonts w:ascii="Times New Roman" w:hAnsi="Times New Roman"/>
          <w:b/>
          <w:bCs/>
          <w:noProof/>
          <w:sz w:val="24"/>
          <w:szCs w:val="24"/>
        </w:rPr>
        <w:t xml:space="preserve">Protezzjoni tar-residenza primarja: </w:t>
      </w:r>
      <w:r>
        <w:rPr>
          <w:rFonts w:ascii="Times New Roman" w:hAnsi="Times New Roman"/>
          <w:bCs/>
          <w:noProof/>
          <w:sz w:val="24"/>
          <w:szCs w:val="24"/>
        </w:rPr>
        <w:t>Wara t-tnedija tal-pjattaforma elettronika fis-sajf 2019, din il-miżura ġiet approvata mill-Kummissjoni fil-kuntest tar-regoli tal-għajnuna mi</w:t>
      </w:r>
      <w:r>
        <w:rPr>
          <w:rFonts w:ascii="Times New Roman" w:hAnsi="Times New Roman"/>
          <w:bCs/>
          <w:noProof/>
          <w:sz w:val="24"/>
          <w:szCs w:val="24"/>
        </w:rPr>
        <w:t>ll-Istat.</w:t>
      </w:r>
      <w:r>
        <w:rPr>
          <w:rFonts w:ascii="Times New Roman" w:hAnsi="Times New Roman"/>
          <w:b/>
          <w:bCs/>
          <w:noProof/>
          <w:sz w:val="24"/>
          <w:szCs w:val="24"/>
        </w:rPr>
        <w:t xml:space="preserve"> </w:t>
      </w:r>
      <w:r>
        <w:rPr>
          <w:rFonts w:ascii="Times New Roman" w:hAnsi="Times New Roman"/>
          <w:noProof/>
          <w:sz w:val="24"/>
          <w:szCs w:val="24"/>
        </w:rPr>
        <w:t xml:space="preserve">L-awtoritajiet daħħlu emendi fil-qafas u fil-pjattaforma tal-IT biex jiffaċilitaw l-applikazzjonijiet. Biħsiebhom itawlu l-iskema b’erba’ xhur u se jagħlquha </w:t>
      </w:r>
      <w:r>
        <w:rPr>
          <w:rFonts w:ascii="Times New Roman" w:hAnsi="Times New Roman"/>
          <w:bCs/>
          <w:noProof/>
          <w:sz w:val="24"/>
          <w:szCs w:val="24"/>
        </w:rPr>
        <w:t>sa tmiem April 2020.</w:t>
      </w:r>
      <w:r>
        <w:rPr>
          <w:rFonts w:ascii="Times New Roman" w:hAnsi="Times New Roman"/>
          <w:noProof/>
          <w:sz w:val="24"/>
          <w:szCs w:val="24"/>
        </w:rPr>
        <w:t xml:space="preserve"> Filwaqt li dewmien tekniku bħal dan jista’ jgħin biex l-iskema tint</w:t>
      </w:r>
      <w:r>
        <w:rPr>
          <w:rFonts w:ascii="Times New Roman" w:hAnsi="Times New Roman"/>
          <w:noProof/>
          <w:sz w:val="24"/>
          <w:szCs w:val="24"/>
        </w:rPr>
        <w:t xml:space="preserve">uża </w:t>
      </w:r>
      <w:r>
        <w:rPr>
          <w:rFonts w:ascii="Times New Roman" w:hAnsi="Times New Roman"/>
          <w:bCs/>
          <w:noProof/>
          <w:sz w:val="24"/>
          <w:szCs w:val="24"/>
        </w:rPr>
        <w:t>aktar milli hi bħalissa</w:t>
      </w:r>
      <w:r>
        <w:rPr>
          <w:rFonts w:ascii="Times New Roman" w:hAnsi="Times New Roman"/>
          <w:noProof/>
          <w:sz w:val="24"/>
          <w:szCs w:val="24"/>
        </w:rPr>
        <w:t>, dan inaqqas ir-ritmu lejn in-normalizzazzjoni tal-kultura tal-ħlas. L-awtoritajiet impenjaw ruħhom li jgħaġġlu l-ħidma fuq l-armonizzazzjoni tal-oqfsa tal-</w:t>
      </w:r>
      <w:r>
        <w:rPr>
          <w:rFonts w:ascii="Times New Roman" w:hAnsi="Times New Roman"/>
          <w:bCs/>
          <w:noProof/>
          <w:sz w:val="24"/>
          <w:szCs w:val="24"/>
        </w:rPr>
        <w:t>insolvenza</w:t>
      </w:r>
      <w:r>
        <w:rPr>
          <w:rFonts w:ascii="Times New Roman" w:hAnsi="Times New Roman"/>
          <w:noProof/>
          <w:sz w:val="24"/>
          <w:szCs w:val="24"/>
        </w:rPr>
        <w:t>. L-istituzzjonijiet se jirrapportaw dwar it-tlestija taż-żewġ</w:t>
      </w:r>
      <w:r>
        <w:rPr>
          <w:rFonts w:ascii="Times New Roman" w:hAnsi="Times New Roman"/>
          <w:noProof/>
          <w:sz w:val="24"/>
          <w:szCs w:val="24"/>
        </w:rPr>
        <w:t xml:space="preserve"> elementi skont is-sorveljanza msaħħa</w:t>
      </w:r>
      <w:r>
        <w:rPr>
          <w:rFonts w:ascii="Times New Roman" w:hAnsi="Times New Roman"/>
          <w:bCs/>
          <w:noProof/>
          <w:sz w:val="24"/>
          <w:szCs w:val="24"/>
        </w:rPr>
        <w:t>.</w:t>
      </w:r>
      <w:r>
        <w:rPr>
          <w:rFonts w:ascii="Times New Roman" w:hAnsi="Times New Roman"/>
          <w:noProof/>
          <w:sz w:val="24"/>
          <w:szCs w:val="24"/>
        </w:rPr>
        <w:t xml:space="preserve"> </w:t>
      </w:r>
      <w:r>
        <w:rPr>
          <w:rFonts w:ascii="Times New Roman" w:hAnsi="Times New Roman"/>
          <w:bCs/>
          <w:noProof/>
          <w:sz w:val="24"/>
          <w:szCs w:val="24"/>
        </w:rPr>
        <w:t>Skont il-qafas il-ġdid, ikun tajjeb li jiġi żgurat l-infurzar ħieles tal-kollateral kollu fosthom tar-residenzi primarji għax dan jikkontribwixxi għall-iżgurar li s-settur bankarju jinnormalizza l-għoti ta’ kreditu li</w:t>
      </w:r>
      <w:r>
        <w:rPr>
          <w:rFonts w:ascii="Times New Roman" w:hAnsi="Times New Roman"/>
          <w:bCs/>
          <w:noProof/>
          <w:sz w:val="24"/>
          <w:szCs w:val="24"/>
        </w:rPr>
        <w:t>ll-ekonomija.</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Il-qafas tal-insolvenza: </w:t>
      </w:r>
      <w:r>
        <w:rPr>
          <w:rFonts w:ascii="Times New Roman" w:hAnsi="Times New Roman"/>
          <w:noProof/>
          <w:sz w:val="24"/>
          <w:szCs w:val="24"/>
        </w:rPr>
        <w:t xml:space="preserve">Il-ħidma preparatorja fuq l-armonizzazzjoni u l-integrazzjoni tas-sistemi tal-falliment u l-insolvenza bdiet. Huwa mixtieq sew li l-awtoritajiet jelaboraw qafas definit sew u sistematikament konsistenti u unifikat, u </w:t>
      </w:r>
      <w:r>
        <w:rPr>
          <w:rFonts w:ascii="Times New Roman" w:hAnsi="Times New Roman"/>
          <w:noProof/>
          <w:sz w:val="24"/>
          <w:szCs w:val="24"/>
        </w:rPr>
        <w:t>dan jenħtieġ li jiġi fdat f’idejn kumitat ta’ tfassil tal-liġi u jista’ jsir mingħajr għaġla żejda iżda b’mod olistiku u b’reqqa teknika. L-awtoritajiet abbozzaw dokument kunċettwali abbażi tat-tfassil ta’ abbozz ta’ qafas ta’ insolvenza uniku u ġdid sa tm</w:t>
      </w:r>
      <w:r>
        <w:rPr>
          <w:rFonts w:ascii="Times New Roman" w:hAnsi="Times New Roman"/>
          <w:noProof/>
          <w:sz w:val="24"/>
          <w:szCs w:val="24"/>
        </w:rPr>
        <w:t xml:space="preserve">iem April 2020, li jistabbilixxi l-objettivi bażiċi ta’ din ir-riforma. </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Il-Kodiċi ta’ Proċedura Ċivili </w:t>
      </w:r>
      <w:r>
        <w:rPr>
          <w:rFonts w:ascii="Times New Roman" w:hAnsi="Times New Roman"/>
          <w:noProof/>
          <w:sz w:val="24"/>
          <w:szCs w:val="24"/>
        </w:rPr>
        <w:t>Qed isir progress fir-rigward tal-valutazzjoni tal-implimentazzjoni tal-Kodiċi ta’ Proċedura Ċivili riformat għalkemm waqa’ lura minħabba dewmien akkumu</w:t>
      </w:r>
      <w:r>
        <w:rPr>
          <w:rFonts w:ascii="Times New Roman" w:hAnsi="Times New Roman"/>
          <w:noProof/>
          <w:sz w:val="24"/>
          <w:szCs w:val="24"/>
        </w:rPr>
        <w:t>lat minn qabel. Abbażi ta’ konsultazzjoni mal-partijiet ikkonċernati, bħalissa l-grupp ta’ ħidma rilevanti qiegħed jagħmel evalwazzjoni komprensiva tar-riforma. Il-ħidma tagħha se tiġi segwita mill-formazzjoni ta’ kumitat tat-tfassil tal-liġi li se jfassal</w:t>
      </w:r>
      <w:r>
        <w:rPr>
          <w:rFonts w:ascii="Times New Roman" w:hAnsi="Times New Roman"/>
          <w:noProof/>
          <w:sz w:val="24"/>
          <w:szCs w:val="24"/>
        </w:rPr>
        <w:t xml:space="preserve"> l-emendi potenzjali meħtieġa biex jiġu adottati sa tmiem l-2020. </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It-taħriġ finanzjarju tal-imħallfin: </w:t>
      </w:r>
      <w:r>
        <w:rPr>
          <w:rFonts w:ascii="Times New Roman" w:hAnsi="Times New Roman"/>
          <w:noProof/>
          <w:sz w:val="24"/>
          <w:szCs w:val="24"/>
        </w:rPr>
        <w:t>L-awtoritajiet irrapportaw aktar progress fl-għoti ta’ taħriġ finanzjarju lill-imħallfin, b’mod partikolari fil-qasam tal-insolvenza tal-unitajiet domes</w:t>
      </w:r>
      <w:r>
        <w:rPr>
          <w:rFonts w:ascii="Times New Roman" w:hAnsi="Times New Roman"/>
          <w:noProof/>
          <w:sz w:val="24"/>
          <w:szCs w:val="24"/>
        </w:rPr>
        <w:t>tiċi. Ġew ippreżentati żewġ abbozzi ta’ Digrieti Presidenzjali lill-Kunsill tal-Istat għall-valutazzjoni meħtieġa fir-rigward tal-kostituzzjonalità. L-awtoritajiet qegħdin jipproċedu wkoll bil-ħatra ta’ persunal klerikali tal-qorti, azzjoni li ntlaqtet min</w:t>
      </w:r>
      <w:r>
        <w:rPr>
          <w:rFonts w:ascii="Times New Roman" w:hAnsi="Times New Roman"/>
          <w:noProof/>
          <w:sz w:val="24"/>
          <w:szCs w:val="24"/>
        </w:rPr>
        <w:t xml:space="preserve">n dewmien konsiderevoli. </w:t>
      </w:r>
    </w:p>
    <w:p w:rsidR="00DD6B74" w:rsidRDefault="00557887">
      <w:pPr>
        <w:numPr>
          <w:ilvl w:val="0"/>
          <w:numId w:val="2"/>
        </w:numPr>
        <w:spacing w:after="120" w:line="240" w:lineRule="atLeast"/>
        <w:ind w:left="357" w:hanging="357"/>
        <w:jc w:val="both"/>
        <w:rPr>
          <w:rFonts w:ascii="Times New Roman" w:hAnsi="Times New Roman" w:cs="Times New Roman"/>
          <w:noProof/>
          <w:color w:val="000000"/>
          <w:sz w:val="24"/>
          <w:szCs w:val="24"/>
        </w:rPr>
      </w:pPr>
      <w:r>
        <w:rPr>
          <w:rFonts w:ascii="Times New Roman" w:hAnsi="Times New Roman"/>
          <w:b/>
          <w:noProof/>
          <w:sz w:val="24"/>
          <w:szCs w:val="24"/>
        </w:rPr>
        <w:t xml:space="preserve">Salvagwardji legali għall-uffiċjali tal-banek li jindirizzaw każijiet ta’ ristrutturar: </w:t>
      </w:r>
      <w:r>
        <w:rPr>
          <w:rFonts w:ascii="Times New Roman" w:hAnsi="Times New Roman"/>
          <w:noProof/>
          <w:sz w:val="24"/>
          <w:szCs w:val="24"/>
        </w:rPr>
        <w:t>Ġ</w:t>
      </w:r>
      <w:r>
        <w:rPr>
          <w:rFonts w:ascii="Times New Roman" w:hAnsi="Times New Roman"/>
          <w:noProof/>
          <w:sz w:val="24"/>
          <w:szCs w:val="24"/>
        </w:rPr>
        <w:t>iet adottata emenda tal-Kodiċi Penali li tindirizza l-kwistjonijiet tal-kawżi pendenti fil-qorti kontra uffiċjali tal-bank li fil-passat kien</w:t>
      </w:r>
      <w:r>
        <w:rPr>
          <w:rFonts w:ascii="Times New Roman" w:hAnsi="Times New Roman"/>
          <w:noProof/>
          <w:sz w:val="24"/>
          <w:szCs w:val="24"/>
        </w:rPr>
        <w:t>u involuti f’ristrutturar ta’ dejn, u l-protezzjoni ta’ dawn l-uffiċjali fil-kuntest ta’ ristrutturar li jinsab għaddej u dak li se jsir fil-futur. L-impatt ta’ din il-leġiżlazzjoni fil-kuntest tal-qafas legali Grieg se jiġi segwit f’konformità mas-sorvelj</w:t>
      </w:r>
      <w:r>
        <w:rPr>
          <w:rFonts w:ascii="Times New Roman" w:hAnsi="Times New Roman"/>
          <w:noProof/>
          <w:sz w:val="24"/>
          <w:szCs w:val="24"/>
        </w:rPr>
        <w:t>anza msaħħa.</w:t>
      </w:r>
    </w:p>
    <w:p w:rsidR="00DD6B74" w:rsidRDefault="00557887">
      <w:pPr>
        <w:numPr>
          <w:ilvl w:val="0"/>
          <w:numId w:val="2"/>
        </w:numPr>
        <w:spacing w:after="240" w:line="240" w:lineRule="atLeast"/>
        <w:ind w:left="284" w:hanging="284"/>
        <w:jc w:val="both"/>
        <w:rPr>
          <w:rFonts w:ascii="Times New Roman" w:hAnsi="Times New Roman" w:cs="Times New Roman"/>
          <w:noProof/>
          <w:color w:val="000000"/>
          <w:sz w:val="24"/>
          <w:szCs w:val="24"/>
        </w:rPr>
      </w:pPr>
      <w:r>
        <w:rPr>
          <w:rFonts w:ascii="Times New Roman" w:hAnsi="Times New Roman"/>
          <w:b/>
          <w:bCs/>
          <w:noProof/>
          <w:sz w:val="24"/>
          <w:szCs w:val="24"/>
        </w:rPr>
        <w:t xml:space="preserve">Garanziji Statali: </w:t>
      </w:r>
      <w:r>
        <w:rPr>
          <w:rFonts w:ascii="Times New Roman" w:hAnsi="Times New Roman"/>
          <w:noProof/>
          <w:sz w:val="24"/>
          <w:szCs w:val="24"/>
        </w:rPr>
        <w:t xml:space="preserve">F’Settembru 2019, l-għadd ta’ garanziji pendenti ta’ self mill-Istat kien għadu konsiderevoli u mill-aħħar rapport żdied l-aktar minħabba żieda fil-pretensjonijiet tas-settur bankarju, minkejja sforzi biex ir-rata </w:t>
      </w:r>
      <w:r>
        <w:rPr>
          <w:rFonts w:ascii="Times New Roman" w:hAnsi="Times New Roman"/>
          <w:noProof/>
          <w:sz w:val="24"/>
          <w:szCs w:val="24"/>
        </w:rPr>
        <w:t>tal-ipproċessar tiġi aċċellerata.</w:t>
      </w:r>
      <w:r>
        <w:rPr>
          <w:rFonts w:ascii="Times New Roman" w:hAnsi="Times New Roman"/>
          <w:b/>
          <w:bCs/>
          <w:noProof/>
          <w:sz w:val="24"/>
          <w:szCs w:val="24"/>
        </w:rPr>
        <w:t xml:space="preserve"> </w:t>
      </w:r>
      <w:r>
        <w:rPr>
          <w:rFonts w:ascii="Times New Roman" w:hAnsi="Times New Roman"/>
          <w:bCs/>
          <w:noProof/>
          <w:sz w:val="24"/>
          <w:szCs w:val="24"/>
        </w:rPr>
        <w:t xml:space="preserve">L-awtoritajiet ippreżentaw pjan ta’ azzjoni aġġornat u pjan ta’ pagament korrispondenti fuq seba’ snin għall-ikklerjar tal-istokk ta’ EUR 2 biljuni </w:t>
      </w:r>
      <w:r>
        <w:rPr>
          <w:rFonts w:ascii="Times New Roman" w:hAnsi="Times New Roman"/>
          <w:noProof/>
          <w:sz w:val="24"/>
          <w:szCs w:val="24"/>
        </w:rPr>
        <w:t xml:space="preserve">f’self garantit minn banek kummerċjali. Il-pjan ta’ azzjoni għandu l-għan </w:t>
      </w:r>
      <w:r>
        <w:rPr>
          <w:rFonts w:ascii="Times New Roman" w:hAnsi="Times New Roman"/>
          <w:noProof/>
          <w:sz w:val="24"/>
          <w:szCs w:val="24"/>
        </w:rPr>
        <w:t xml:space="preserve">li jindirizza </w:t>
      </w:r>
      <w:r>
        <w:rPr>
          <w:rFonts w:ascii="Times New Roman" w:hAnsi="Times New Roman"/>
          <w:bCs/>
          <w:noProof/>
          <w:sz w:val="24"/>
          <w:szCs w:val="24"/>
        </w:rPr>
        <w:t xml:space="preserve">d-diffikultajiet fil-kooperazzjoni mal-banek, filwaqt </w:t>
      </w:r>
      <w:r>
        <w:rPr>
          <w:rFonts w:ascii="Times New Roman" w:hAnsi="Times New Roman"/>
          <w:noProof/>
          <w:sz w:val="24"/>
          <w:szCs w:val="24"/>
        </w:rPr>
        <w:t>li jsaħħaħ ir-riżorsi umani tal-Uffiċċju Ġenerali tal-Kontabbiltà u jaġġorna l-qafas tal-IT. B’kunsiderazzjoni, fost l-oħrajn, tal-perjodu latenti twil minn meta ntlabu l-garanziji, li uħu</w:t>
      </w:r>
      <w:r>
        <w:rPr>
          <w:rFonts w:ascii="Times New Roman" w:hAnsi="Times New Roman"/>
          <w:noProof/>
          <w:sz w:val="24"/>
          <w:szCs w:val="24"/>
        </w:rPr>
        <w:t>d minnhom imorru lura għall-2012, l-awtoritajiet qegħdin jippruvaw isibu ambitu għal profil tal-pagament li ma jaqbiżx l-erba’ snin b’miżuri xierqa li jiżguraw il-kredibbiltà tiegħu.</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Il-Fond Elleniku għall-Istabbiltà Finanzjarja kompla jeżerċita d-drittiji</w:t>
      </w:r>
      <w:r>
        <w:rPr>
          <w:rFonts w:ascii="Times New Roman" w:hAnsi="Times New Roman"/>
          <w:b/>
          <w:bCs/>
          <w:noProof/>
          <w:sz w:val="24"/>
          <w:szCs w:val="24"/>
        </w:rPr>
        <w:t xml:space="preserve">et tiegħu ta’ parteċipazzjoni azzjonarja fl-erba’ banek ta’ importanza sistemika, ikkontribwixxa għall-politiki ta’ riżoluzzjoni ta’ selfiet improduttivi u tejjeb il-governanza tagħhom. </w:t>
      </w:r>
      <w:r>
        <w:rPr>
          <w:rFonts w:ascii="Times New Roman" w:hAnsi="Times New Roman"/>
          <w:noProof/>
          <w:sz w:val="24"/>
          <w:szCs w:val="24"/>
        </w:rPr>
        <w:t>Bħala azzjonist il-Fond evalwa u approva diversi żvestimenti, sfida st</w:t>
      </w:r>
      <w:r>
        <w:rPr>
          <w:rFonts w:ascii="Times New Roman" w:hAnsi="Times New Roman"/>
          <w:noProof/>
          <w:sz w:val="24"/>
          <w:szCs w:val="24"/>
        </w:rPr>
        <w:t>rateġiji u politiki tal-banek u kkontribwixxa għal politiki li jnaqqsu s-selfiet improduttivi. Sa Ottubru 2019 il-banek implimentaw il-biċċa l-kbira tar-rakkomandazzjonijiet tal-Fond wara l-eżami mill-ġdid tal-2017 dwar il-prestazzjoni u l-governanza tal-b</w:t>
      </w:r>
      <w:r>
        <w:rPr>
          <w:rFonts w:ascii="Times New Roman" w:hAnsi="Times New Roman"/>
          <w:noProof/>
          <w:sz w:val="24"/>
          <w:szCs w:val="24"/>
        </w:rPr>
        <w:t>ord, li kien jiffoka primarjament fuq il-kultura tal-banek f’dak li għandu x’jaqsam mal-ġestjoni tar-riskju, fuq il-konformità tagħhom u fuq l-oqfsa ta’ kontroll intern li għandhom. L-implimentazzjoni tal-istrateġija ta’ żvestiment tal-Fond approvata fl-20</w:t>
      </w:r>
      <w:r>
        <w:rPr>
          <w:rFonts w:ascii="Times New Roman" w:hAnsi="Times New Roman"/>
          <w:noProof/>
          <w:sz w:val="24"/>
          <w:szCs w:val="24"/>
        </w:rPr>
        <w:t>18 hija fl-ewwel fażi preparatorja tagħha, fejn l-Fond għandu l-għan li jisfida b’mod effettiv l-istrateġiji u l-mudelli ta’ negozju tal-banek biex jippromwovi inizjattivi li jżidu l-valur. Id-diskussjonijiet bejn l-Fond u l-Ministeru għall-Finanzi dwar l-</w:t>
      </w:r>
      <w:r>
        <w:rPr>
          <w:rFonts w:ascii="Times New Roman" w:hAnsi="Times New Roman"/>
          <w:noProof/>
          <w:sz w:val="24"/>
          <w:szCs w:val="24"/>
        </w:rPr>
        <w:t>involviment potenzjali ta’ awtoritajiet oħra fl-istadju finali tal-iżvestiment u l-protezzjoni legali għall-korpi governattivi u għall-persunal tal-Fond għadhom ma ġewx konklużi. Il-preservazzjoni tal-indipendenza tal-Fond Elleniku għall-Istabbiltà Finanzj</w:t>
      </w:r>
      <w:r>
        <w:rPr>
          <w:rFonts w:ascii="Times New Roman" w:hAnsi="Times New Roman"/>
          <w:noProof/>
          <w:sz w:val="24"/>
          <w:szCs w:val="24"/>
        </w:rPr>
        <w:t>arja hija fundamentali fil-proċess tat-tiswija tas-saħħa tas-settur bankarju.</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SUQ TAX-XOGĦOL</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 xml:space="preserve">L-awtoritajiet huma impenjati li jkomplu jissorveljaw is-suq tax-xogħol u l-iżviluppi fil-pagi u beħsiebhom iwettqu valutazzjoni </w:t>
      </w:r>
      <w:r>
        <w:rPr>
          <w:rFonts w:ascii="Times New Roman" w:hAnsi="Times New Roman"/>
          <w:b/>
          <w:i/>
          <w:noProof/>
          <w:sz w:val="24"/>
          <w:szCs w:val="24"/>
        </w:rPr>
        <w:t>ex-post</w:t>
      </w:r>
      <w:r>
        <w:rPr>
          <w:rFonts w:ascii="Times New Roman" w:hAnsi="Times New Roman"/>
          <w:b/>
          <w:noProof/>
          <w:sz w:val="24"/>
          <w:szCs w:val="24"/>
        </w:rPr>
        <w:t xml:space="preserve"> taż-żieda riċenti fil-paga</w:t>
      </w:r>
      <w:r>
        <w:rPr>
          <w:rFonts w:ascii="Times New Roman" w:hAnsi="Times New Roman"/>
          <w:b/>
          <w:noProof/>
          <w:sz w:val="24"/>
          <w:szCs w:val="24"/>
        </w:rPr>
        <w:t xml:space="preserve"> minima.</w:t>
      </w:r>
      <w:r>
        <w:rPr>
          <w:rFonts w:ascii="Times New Roman" w:hAnsi="Times New Roman"/>
          <w:b/>
          <w:bCs/>
          <w:noProof/>
          <w:sz w:val="24"/>
          <w:szCs w:val="24"/>
        </w:rPr>
        <w:t xml:space="preserve"> </w:t>
      </w:r>
      <w:r>
        <w:rPr>
          <w:rFonts w:ascii="Times New Roman" w:hAnsi="Times New Roman"/>
          <w:noProof/>
          <w:sz w:val="24"/>
          <w:szCs w:val="24"/>
        </w:rPr>
        <w:t xml:space="preserve">L-eżerċizzju se jibbenefika minn għajnuna teknika mill-Bank Dinji, ipprovduta permezz tal-Kummissjoni Ewropea, bl-intenzjoni li r-riżultati tiegħu jiġu kkunsidrati fir-rieżami li jmiss tal-paga minima fl-2020.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L-awtoritajiet qegħdin fil-ħin li sa</w:t>
      </w:r>
      <w:r>
        <w:rPr>
          <w:rFonts w:ascii="Times New Roman" w:hAnsi="Times New Roman"/>
          <w:b/>
          <w:bCs/>
          <w:noProof/>
          <w:sz w:val="24"/>
          <w:szCs w:val="24"/>
        </w:rPr>
        <w:t>l-aħħar tal-2019 ilestu l-implimentazzjoni ta’ pjan ta’ azzjoni biex jiġi miġġieled ix-xogħol mhux iddikjarat fil-perjodu 2017-2019 u qed iħejju segwitu.</w:t>
      </w:r>
      <w:r>
        <w:rPr>
          <w:rFonts w:ascii="Times New Roman" w:hAnsi="Times New Roman"/>
          <w:noProof/>
          <w:sz w:val="24"/>
          <w:szCs w:val="24"/>
        </w:rPr>
        <w:t xml:space="preserve"> Il-pjan ta’ azzjoni attwali jippromwovi approċċ integrat għax-xogħol mhux iddikjarat, inklużi miżuri b</w:t>
      </w:r>
      <w:r>
        <w:rPr>
          <w:rFonts w:ascii="Times New Roman" w:hAnsi="Times New Roman"/>
          <w:noProof/>
          <w:sz w:val="24"/>
          <w:szCs w:val="24"/>
        </w:rPr>
        <w:t xml:space="preserve">iex tissaħħaħ il-kooperazzjoni fost id-diversi istituzzjonijiet u biex titjieb il-kapaċità tal-kxif ta’ xogħol mhux iddikjarat. L-awtoritajiet se jfasslu segwitu għall-pjan ta’ azzjoni wara li tkun tlestiet evalwazzjoni </w:t>
      </w:r>
      <w:r>
        <w:rPr>
          <w:rFonts w:ascii="Times New Roman" w:hAnsi="Times New Roman"/>
          <w:i/>
          <w:noProof/>
          <w:sz w:val="24"/>
          <w:szCs w:val="24"/>
        </w:rPr>
        <w:t>ex-post</w:t>
      </w:r>
      <w:r>
        <w:rPr>
          <w:rFonts w:ascii="Times New Roman" w:hAnsi="Times New Roman"/>
          <w:noProof/>
          <w:sz w:val="24"/>
          <w:szCs w:val="24"/>
        </w:rPr>
        <w:t xml:space="preserve"> tal-miżuri kollha li ġew implimentati permezz tal-għajnuna teknika mogħtija mill-Kummissjoni Ewropea. Dawn il-miżuri ġew akkumpanjati minn numru ta’ passi addizzjonali riċenti biex jiġi inkoraġġut ix-xogħol fl-ekonomija formali u biex jiġi limitat l-użu a</w:t>
      </w:r>
      <w:r>
        <w:rPr>
          <w:rFonts w:ascii="Times New Roman" w:hAnsi="Times New Roman"/>
          <w:noProof/>
          <w:sz w:val="24"/>
          <w:szCs w:val="24"/>
        </w:rPr>
        <w:t xml:space="preserve">bbużiv tax-xogħol part-time, li ħafna drabi jkun qed jgħatti xogħol full-time mhux iddikjarat. Dawn jinkludu notevolment żieda fir-rimunerazzjoni tas-sahra għall-ħaddiema part-time u l-espansjoni tas-sistema tar-reġistrazzjoni tal-impjieg biex tkun tista’ </w:t>
      </w:r>
      <w:r>
        <w:rPr>
          <w:rFonts w:ascii="Times New Roman" w:hAnsi="Times New Roman"/>
          <w:noProof/>
          <w:sz w:val="24"/>
          <w:szCs w:val="24"/>
        </w:rPr>
        <w:t xml:space="preserve">tkopri wkoll forom ta’ impjieg mhux standardizzati. Fl-2020 il-gvern qed jippjana wkoll li jintroduċi sistema diġitalizzata għar-reġistrazzjoni tal-ħin tax-xogħol.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L-abbozz ta’ liġi ġdid ta’ Ottubru 2019 dwar l-iżvilupp introduċa għadd ta’ bidliet fil-qaf</w:t>
      </w:r>
      <w:r>
        <w:rPr>
          <w:rFonts w:ascii="Times New Roman" w:hAnsi="Times New Roman"/>
          <w:b/>
          <w:bCs/>
          <w:noProof/>
          <w:sz w:val="24"/>
          <w:szCs w:val="24"/>
        </w:rPr>
        <w:t>as tan-negozjar kollettiv.</w:t>
      </w:r>
      <w:r>
        <w:rPr>
          <w:rFonts w:ascii="Times New Roman" w:hAnsi="Times New Roman"/>
          <w:noProof/>
          <w:sz w:val="24"/>
          <w:szCs w:val="24"/>
        </w:rPr>
        <w:t xml:space="preserve"> L-abbozz ta’ liġi jintroduċi l-possibbiltà li ċerti negozji joħorġu mis-sistema ta’ negozjar f’livell settorjali. Dan jemenda wkoll il-proċedura għall-estensjoni tal-ftehimiet settorjali li ma għadhiex awtomatika, iżda saret għad</w:t>
      </w:r>
      <w:r>
        <w:rPr>
          <w:rFonts w:ascii="Times New Roman" w:hAnsi="Times New Roman"/>
          <w:noProof/>
          <w:sz w:val="24"/>
          <w:szCs w:val="24"/>
        </w:rPr>
        <w:t>-diskrezzjoni tal-Ministru għax-Xogħol dment li jiġu ssodisfati kundizzjonijiet speċifiċi. Elementi ġodda oħra jinkludu l-ħolqien ta’ reġistru pubbliku għall-assoċjazzjonijiet tal-impjegaturi u għat-trade unions biex ikunu jistgħu jivverifikaw aħjar ir-rap</w:t>
      </w:r>
      <w:r>
        <w:rPr>
          <w:rFonts w:ascii="Times New Roman" w:hAnsi="Times New Roman"/>
          <w:noProof/>
          <w:sz w:val="24"/>
          <w:szCs w:val="24"/>
        </w:rPr>
        <w:t>preżentanza tagħhom, kif ukoll restrizzjoni għar-rikors unilaterali għal proċeduri ta’ arbitraġġ. Għad irridu naraw kif dawn il-bidliet se jaffettwaw in-negozjar kollettiv fil-prattika. Filwaqt li r-rekwiżiti l-ġodda għall-estensjoni tal-ftehimiet kolletti</w:t>
      </w:r>
      <w:r>
        <w:rPr>
          <w:rFonts w:ascii="Times New Roman" w:hAnsi="Times New Roman"/>
          <w:noProof/>
          <w:sz w:val="24"/>
          <w:szCs w:val="24"/>
        </w:rPr>
        <w:t xml:space="preserve">vi jaf inaqqsu l-inċentivi għan-negozjar f’livell settorjali, il-possibbiltajiet ta’ nonparteċipazzjoni — jekk jiġu adottati mis-sħab soċjali — jaf jippromwovu d-djalogu soċjali fil-livell tad-ditta u f’livell settorjali.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Il-gvern il-ġdid nieda programm a</w:t>
      </w:r>
      <w:r>
        <w:rPr>
          <w:rFonts w:ascii="Times New Roman" w:hAnsi="Times New Roman"/>
          <w:b/>
          <w:noProof/>
          <w:sz w:val="24"/>
          <w:szCs w:val="24"/>
        </w:rPr>
        <w:t>mbizzjuż ta’ riformi bil-għan li jimmodernizza s-sistema tal-edukazzjoni biex tkun iktar allinjata ma’ dak li hu tajjeb fil-prattika.</w:t>
      </w:r>
      <w:r>
        <w:rPr>
          <w:rFonts w:ascii="Times New Roman" w:hAnsi="Times New Roman"/>
          <w:b/>
          <w:bCs/>
          <w:noProof/>
          <w:sz w:val="24"/>
          <w:szCs w:val="24"/>
        </w:rPr>
        <w:t xml:space="preserve"> </w:t>
      </w:r>
      <w:r>
        <w:rPr>
          <w:rFonts w:ascii="Times New Roman" w:hAnsi="Times New Roman"/>
          <w:noProof/>
          <w:sz w:val="24"/>
          <w:szCs w:val="24"/>
        </w:rPr>
        <w:t>Dan l-impetu huwa milqugħ u kien ilu meħtieġ meta wieħed iqis l-isfidi li ilhom eżistenti, inkluża l-allokazzjoni ineffiċj</w:t>
      </w:r>
      <w:r>
        <w:rPr>
          <w:rFonts w:ascii="Times New Roman" w:hAnsi="Times New Roman"/>
          <w:noProof/>
          <w:sz w:val="24"/>
          <w:szCs w:val="24"/>
        </w:rPr>
        <w:t>enti tar-riżorsi, l-awtonomija baxxa, ir-riżultati ħżiena fil-qasam tal-edukazzjoni, l-ispariġġi fil-ħiliet, u d-dgħufijiet fil-governanza tal-istituzzjonijiet ta’ edukazzjoni għolja.</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IS-SWIEQ TAL-PRODOTTI U L-KOMPETITTIVITÀ</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Għalkemm ftit hemm impenji ta’ </w:t>
      </w:r>
      <w:r>
        <w:rPr>
          <w:rFonts w:ascii="Times New Roman" w:hAnsi="Times New Roman"/>
          <w:b/>
          <w:bCs/>
          <w:noProof/>
          <w:sz w:val="24"/>
          <w:szCs w:val="24"/>
        </w:rPr>
        <w:t>riformi fis-swieq tal-prodotti u fil-kompetittività li għandhom skadenza rilevanti għal dan iċ-ċiklu ta’ sorveljanza msaħħa, ta’ min isemmi li fil-qafas tal-programm ġew inizjati riformi strutturali ewlenin f’dan il-qasam importanti li jirrikjedu diversi s</w:t>
      </w:r>
      <w:r>
        <w:rPr>
          <w:rFonts w:ascii="Times New Roman" w:hAnsi="Times New Roman"/>
          <w:b/>
          <w:bCs/>
          <w:noProof/>
          <w:sz w:val="24"/>
          <w:szCs w:val="24"/>
        </w:rPr>
        <w:t>nin ta’ implimentazzjoni sostnuta sabiex jintlaħaq titjib permanenti fl-ambjent tan-negozju, fl-investiment u fit-tkabbir.</w:t>
      </w:r>
      <w:r>
        <w:rPr>
          <w:rFonts w:ascii="Times New Roman" w:hAnsi="Times New Roman"/>
          <w:noProof/>
          <w:sz w:val="24"/>
          <w:szCs w:val="24"/>
        </w:rPr>
        <w:t xml:space="preserve"> Riformi strutturali komprensivi li nbdew fl-aħħar snin diġà bdew itejbu l-funzjonament tas-swieq tal-prodotti tal-Greċja. Is-sehem Gr</w:t>
      </w:r>
      <w:r>
        <w:rPr>
          <w:rFonts w:ascii="Times New Roman" w:hAnsi="Times New Roman"/>
          <w:noProof/>
          <w:sz w:val="24"/>
          <w:szCs w:val="24"/>
        </w:rPr>
        <w:t>ieg mis-suq tal-esportazzjoni qed jikber u l-investiment dirett barrani qed jiżdied, għalkemm dan kien f’livell baxx ħafna. Madankollu, għad irid isir iżjed sforz biex tingħalaq id-diskrepanza mdaqqsa fl-investiment tal-Greċja u biex titjieb il-klassifikaz</w:t>
      </w:r>
      <w:r>
        <w:rPr>
          <w:rFonts w:ascii="Times New Roman" w:hAnsi="Times New Roman"/>
          <w:noProof/>
          <w:sz w:val="24"/>
          <w:szCs w:val="24"/>
        </w:rPr>
        <w:t>zjoni tal-Greċja fl-indikaturi komparattivi tal-kompetittività internazzjonali. Dgħufijiet li ilhom eżistenti jinkludu r-reġistrazzjoni tal-proprjetà u l-infurzar tal-kuntratti, u hemm ukoll lok sinifikanti fejn isir progress fl-oqsma tal-ekonomija tal-int</w:t>
      </w:r>
      <w:r>
        <w:rPr>
          <w:rFonts w:ascii="Times New Roman" w:hAnsi="Times New Roman"/>
          <w:noProof/>
          <w:sz w:val="24"/>
          <w:szCs w:val="24"/>
        </w:rPr>
        <w:t>ernet, fir-regolamentazzjoni tas-suq tal-prodotti u fil-kompetittività f’livell reġjonali.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L-amministrazzjoni l-ġdida indikat l-intenzjoni tagħha li ssegwi aġenda politika li hija ferm favur it-tkabbir u l-investiment. </w:t>
      </w:r>
      <w:r>
        <w:rPr>
          <w:rFonts w:ascii="Times New Roman" w:hAnsi="Times New Roman"/>
          <w:noProof/>
          <w:sz w:val="24"/>
          <w:szCs w:val="24"/>
        </w:rPr>
        <w:t>Minn meta ħa l-ħatra, il-gvern ħa għa</w:t>
      </w:r>
      <w:r>
        <w:rPr>
          <w:rFonts w:ascii="Times New Roman" w:hAnsi="Times New Roman"/>
          <w:noProof/>
          <w:sz w:val="24"/>
          <w:szCs w:val="24"/>
        </w:rPr>
        <w:t>dd ta’ passi inizjali li jwittu t-triq lejn it-titjib tal-ambjent tan-negozju. Dawn jinkludu leġiżlazzjoni li trawwem it-tranżizzjoni lejn “stat diġitali”, ittejjeb il-kwalità tal-leġiżlazzjoni u tavvanza l-kodifika legali. L-amministrazzjoni qed tagħmel u</w:t>
      </w:r>
      <w:r>
        <w:rPr>
          <w:rFonts w:ascii="Times New Roman" w:hAnsi="Times New Roman"/>
          <w:noProof/>
          <w:sz w:val="24"/>
          <w:szCs w:val="24"/>
        </w:rPr>
        <w:t>koll l-ewwel passi lejn approċċ koordinat għall-promozzjoni ta’ ekonomija Griega li hija orjentata ’l barra, fejn hemm lok għal strateġija ħafna iktar ambizzjuża. Jekk isir progress fir-riekwilibriju tal-ekonomija lejn setturi promettenti li huma bbażati f</w:t>
      </w:r>
      <w:r>
        <w:rPr>
          <w:rFonts w:ascii="Times New Roman" w:hAnsi="Times New Roman"/>
          <w:noProof/>
          <w:sz w:val="24"/>
          <w:szCs w:val="24"/>
        </w:rPr>
        <w:t>uq l-esportazzjoni, bħas-settur agrikolu u agroalimentari, turistiku, tat-trasport u tal-loġistika kif ukoll tat-teknoloġija avvanzata, inkluż permezz tal-iżvilupp ta’ strateġiji ta’ speċjalizzazzjoni intelliġenti, dan isaħħaħ il-kont kurrenti u jservi ta’</w:t>
      </w:r>
      <w:r>
        <w:rPr>
          <w:rFonts w:ascii="Times New Roman" w:hAnsi="Times New Roman"/>
          <w:noProof/>
          <w:sz w:val="24"/>
          <w:szCs w:val="24"/>
        </w:rPr>
        <w:t xml:space="preserve"> rimedju għall-pożizzjoni ta’ investiment internazzjonali netta li hija negattiva ħafna u qed tiddeterjora.</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Ġ</w:t>
      </w:r>
      <w:r>
        <w:rPr>
          <w:rFonts w:ascii="Times New Roman" w:hAnsi="Times New Roman"/>
          <w:b/>
          <w:bCs/>
          <w:noProof/>
          <w:sz w:val="24"/>
          <w:szCs w:val="24"/>
        </w:rPr>
        <w:t>ew introdotti miżuri addizzjonali permezz tal-Liġi dwar l-Iżvilupp li ġiet adottata riċentement.</w:t>
      </w:r>
      <w:r>
        <w:rPr>
          <w:rFonts w:ascii="Times New Roman" w:hAnsi="Times New Roman"/>
          <w:noProof/>
          <w:sz w:val="24"/>
          <w:szCs w:val="24"/>
        </w:rPr>
        <w:t xml:space="preserve"> Fost l-oħrajn, dawn jinkludu l-allinjament tas-sis</w:t>
      </w:r>
      <w:r>
        <w:rPr>
          <w:rFonts w:ascii="Times New Roman" w:hAnsi="Times New Roman"/>
          <w:noProof/>
          <w:sz w:val="24"/>
          <w:szCs w:val="24"/>
        </w:rPr>
        <w:t>tema tal-klassifikazzjoni ta’ fastidju mal-klassifikazzjoni ambjentali li hija armonizzata b’atti leġiżlattivi rilevanti tal-UE, it-tnaqqis tar-rekwiżiti ta’ liċenzjar, u l-iżvilupp ta’ Mappa Diġitali Unika għall-finijiet ta’ ċarezza u trasparenza għall-in</w:t>
      </w:r>
      <w:r>
        <w:rPr>
          <w:rFonts w:ascii="Times New Roman" w:hAnsi="Times New Roman"/>
          <w:noProof/>
          <w:sz w:val="24"/>
          <w:szCs w:val="24"/>
        </w:rPr>
        <w:t xml:space="preserve">vestituri fir-rigward tar-regoli tal-użu tal-art, kif ukoll fir-rigward tal-ippjanar spazjali biex jiġu aċċellerati proġetti tal-investiment ewlenin.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Il-gvern kellu bidu tajjeb f’dak li għandu x’jaqsam mat-tnedija ta’ inizjattivi biex jissaħħaħ l-ambjent </w:t>
      </w:r>
      <w:r>
        <w:rPr>
          <w:rFonts w:ascii="Times New Roman" w:hAnsi="Times New Roman"/>
          <w:b/>
          <w:bCs/>
          <w:noProof/>
          <w:sz w:val="24"/>
          <w:szCs w:val="24"/>
        </w:rPr>
        <w:t>tan-negozju u qed jippjana iktar miżuri biex jissimplifika l-proċessi regolatorji u jistimula l-investiment f’setturi ewlenin.</w:t>
      </w:r>
      <w:r>
        <w:rPr>
          <w:rFonts w:ascii="Times New Roman" w:hAnsi="Times New Roman"/>
          <w:noProof/>
          <w:sz w:val="24"/>
          <w:szCs w:val="24"/>
        </w:rPr>
        <w:t xml:space="preserve"> Tabilħaqq, huwa essenzjali li jipprovdi ċertezza sostnuta u inċentivi ikbar lill-investituri. Għal dan il-għan il-gvern indika li</w:t>
      </w:r>
      <w:r>
        <w:rPr>
          <w:rFonts w:ascii="Times New Roman" w:hAnsi="Times New Roman"/>
          <w:noProof/>
          <w:sz w:val="24"/>
          <w:szCs w:val="24"/>
        </w:rPr>
        <w:t xml:space="preserve"> se jkompli jagħti prijorità lil miżuri addizzjonali li jirrazzjonalizzaw u jħaffu l-proċess tal-liċenzjar, partikolarment b’rabta mal-liċenzjar ambjentali. Dan ikun ta’ importanza partikolari biex tingħata spinta lill-investiment, speċjalment f’attivitaji</w:t>
      </w:r>
      <w:r>
        <w:rPr>
          <w:rFonts w:ascii="Times New Roman" w:hAnsi="Times New Roman"/>
          <w:noProof/>
          <w:sz w:val="24"/>
          <w:szCs w:val="24"/>
        </w:rPr>
        <w:t>et li għandhom impatt ekonomiku qawwi, l-istess bħal miżuri addizzjonali biex jiġi eżaminat mill-ġdid il-qafas tal-użu tal-art u tal-liċenzjar f’Attika, kif ukoll biex jissaħħaħ il-mekkaniżmu ta’ infurzar.</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Sabiex tipprovdi gwida fl-ikkompletar tar-riforma </w:t>
      </w:r>
      <w:r>
        <w:rPr>
          <w:rFonts w:ascii="Times New Roman" w:hAnsi="Times New Roman"/>
          <w:b/>
          <w:bCs/>
          <w:noProof/>
          <w:sz w:val="24"/>
          <w:szCs w:val="24"/>
        </w:rPr>
        <w:t>tal-liċenzjar tal-investiment, li hija parti mill-impenji speċifiċi sal-2022, l-amministrazzjoni l-ġdida pproduċiet pjanijiet ta’ azzjoni riveduti.</w:t>
      </w:r>
      <w:r>
        <w:rPr>
          <w:rFonts w:ascii="Times New Roman" w:hAnsi="Times New Roman"/>
          <w:noProof/>
          <w:sz w:val="24"/>
          <w:szCs w:val="24"/>
        </w:rPr>
        <w:t xml:space="preserve"> Skont il-pjanijiet riveduti, l-awtoritajiet huma impenjati li jirrispettaw l-iskadenzi stabbiliti skont il-q</w:t>
      </w:r>
      <w:r>
        <w:rPr>
          <w:rFonts w:ascii="Times New Roman" w:hAnsi="Times New Roman"/>
          <w:noProof/>
          <w:sz w:val="24"/>
          <w:szCs w:val="24"/>
        </w:rPr>
        <w:t>afas tas-sorveljanza msaħħa. Minkejja dan, minħabba d-dewmien preċedenti, il-konformità ma’ xi elementi tar-riforma hija iktar diffiċli (jiġifieri s-simplifikazzjoni tal-leġiżlazzjoni fl-24 settur li għadhom mhumiex koperti mir-riforma tal-liċenzjar tal-in</w:t>
      </w:r>
      <w:r>
        <w:rPr>
          <w:rFonts w:ascii="Times New Roman" w:hAnsi="Times New Roman"/>
          <w:noProof/>
          <w:sz w:val="24"/>
          <w:szCs w:val="24"/>
        </w:rPr>
        <w:t>vestiment u l-iżvilupp ta’ għodod għall-qasam ambjentali tal-qafas tal-ispezzjoni). Għaldaqstant huwa importanti li l-gvern jalloka riżorsi adegwati għall-proċess. Fir-rigward tal-eżami mill-ġdid tal-klassifikazzjoni ta’ fastidju, l-awtoritajiet impenjaw r</w:t>
      </w:r>
      <w:r>
        <w:rPr>
          <w:rFonts w:ascii="Times New Roman" w:hAnsi="Times New Roman"/>
          <w:noProof/>
          <w:sz w:val="24"/>
          <w:szCs w:val="24"/>
        </w:rPr>
        <w:t>uħhom li jallinjaw din is-sistema mas-sistema tal-klassifikazzjoni ambjentali sa nofs l-2020, f’konformità mad-dispożizzjoni rilevanti inkluża fil-Liġi dwar l-Iżvilupp adottata riċentement, sena qabel l-iskadenza mwiegħda. Barra minn hekk, il-ħidma fuq il-</w:t>
      </w:r>
      <w:r>
        <w:rPr>
          <w:rFonts w:ascii="Times New Roman" w:hAnsi="Times New Roman"/>
          <w:noProof/>
          <w:sz w:val="24"/>
          <w:szCs w:val="24"/>
        </w:rPr>
        <w:t>proċedura ta’ akkwist b’rabta mas-sistema tal-IT rilevanti, li mistennija tkun lesta sal-aħħar tal-2019, jidher li sejra kif ippjanat. Fl-aħħar nett, l-awtoritajiet impenjaw ruħhom li jissalvagwardjaw l-integrità tal-progress kritiku miksub bis-saħħa tar-r</w:t>
      </w:r>
      <w:r>
        <w:rPr>
          <w:rFonts w:ascii="Times New Roman" w:hAnsi="Times New Roman"/>
          <w:noProof/>
          <w:sz w:val="24"/>
          <w:szCs w:val="24"/>
        </w:rPr>
        <w:t>iformi, u mistenni jiġi stabbilit mekkaniżmu formalizzat għal dan il-għan.</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Fil-qasam tal-użu tal-art ir-riformi qed javvanzaw.</w:t>
      </w:r>
      <w:r>
        <w:rPr>
          <w:rFonts w:ascii="Times New Roman" w:hAnsi="Times New Roman"/>
          <w:noProof/>
          <w:sz w:val="24"/>
          <w:szCs w:val="24"/>
        </w:rPr>
        <w:t xml:space="preserve"> Tlestew mapep tal-foresta għal madwar 95 % tal-pajjiż, u effettivament intlaħqet il-mira li jitlesta l-abbozzar tal-aħħar fażi ta</w:t>
      </w:r>
      <w:r>
        <w:rPr>
          <w:rFonts w:ascii="Times New Roman" w:hAnsi="Times New Roman"/>
          <w:noProof/>
          <w:sz w:val="24"/>
          <w:szCs w:val="24"/>
        </w:rPr>
        <w:t>l-mapep tal-foresta (</w:t>
      </w:r>
      <w:r>
        <w:rPr>
          <w:rFonts w:ascii="Times New Roman" w:hAnsi="Times New Roman"/>
          <w:b/>
          <w:noProof/>
          <w:sz w:val="24"/>
          <w:szCs w:val="24"/>
        </w:rPr>
        <w:t>impenn speċifiku ta’ nofs l-2019</w:t>
      </w:r>
      <w:r>
        <w:rPr>
          <w:rFonts w:ascii="Times New Roman" w:hAnsi="Times New Roman"/>
          <w:noProof/>
          <w:sz w:val="24"/>
          <w:szCs w:val="24"/>
        </w:rPr>
        <w:t>). Madwar 44 % minn dawn il-mapep ġew ratifikati u b’hekk saru definittivi. Il-kartografija katastali tlestiet għal madwar terz mid-39 miljun dritt ta’ proprjetà fil-Greċja, u għaddej ix-xogħol fuq il-pa</w:t>
      </w:r>
      <w:r>
        <w:rPr>
          <w:rFonts w:ascii="Times New Roman" w:hAnsi="Times New Roman"/>
          <w:noProof/>
          <w:sz w:val="24"/>
          <w:szCs w:val="24"/>
        </w:rPr>
        <w:t>rti l-oħra. Id-dikjarazzjoni tal-proprjetajiet għall-kartografija katastali qabdet ir-ritmu u l-awtoritajiet qed jikkunsidraw passi addizzjonali biex iħaffu l-proċess. L-istabbiliment tal-qafas istituzzjonali għall-katast miexi imma huwa diffiċli. B’mod pa</w:t>
      </w:r>
      <w:r>
        <w:rPr>
          <w:rFonts w:ascii="Times New Roman" w:hAnsi="Times New Roman"/>
          <w:noProof/>
          <w:sz w:val="24"/>
          <w:szCs w:val="24"/>
        </w:rPr>
        <w:t xml:space="preserve">rtikolari, minħabba li fir-rebbiegħa l-integrazzjoni tal-uffiċċji tas-self ipotekarju fl-aġenzija katastali ġdida mxiet iktar bil-mod milli kien ippjanat, l-awtoritajiet impenjaw ruħhom li jħaffu t-tranżizzjoni lejn l-entità ġdida. Saru passi leġiżlattivi </w:t>
      </w:r>
      <w:r>
        <w:rPr>
          <w:rFonts w:ascii="Times New Roman" w:hAnsi="Times New Roman"/>
          <w:noProof/>
          <w:sz w:val="24"/>
          <w:szCs w:val="24"/>
        </w:rPr>
        <w:t>pożittivi fil-qasam tal-ippjanar spazjali, bil-għan li titħaffef l-implimentazzjoni tal-pjanijiet spazjali lokali u l-approvazzjoni ta’ investimenti ewlenin (pjanijiet spazjali speċjali).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L-awtoritajiet għamlu sforz biex jistabbilizzaw il-finanzi tal-forni</w:t>
      </w:r>
      <w:r>
        <w:rPr>
          <w:rFonts w:ascii="Times New Roman" w:hAnsi="Times New Roman"/>
          <w:b/>
          <w:bCs/>
          <w:noProof/>
          <w:sz w:val="24"/>
          <w:szCs w:val="24"/>
        </w:rPr>
        <w:t>tur tal-enerġija tal-Istat u ħabbru riformi ambizzjużi fis-suq tal-enerġija, li se jaffettwaw il-kronoloġija għall-implimentazzjoni tal-mudell fil-mira għas-suq tal-elettriku (impenn speċifiku għal nofs l-2019).</w:t>
      </w:r>
      <w:r>
        <w:rPr>
          <w:rFonts w:ascii="Times New Roman" w:hAnsi="Times New Roman"/>
          <w:noProof/>
          <w:sz w:val="24"/>
          <w:szCs w:val="24"/>
        </w:rPr>
        <w:t xml:space="preserve"> Il-passi deċiżivi li saru mill-awtoritajiet </w:t>
      </w:r>
      <w:r>
        <w:rPr>
          <w:rFonts w:ascii="Times New Roman" w:hAnsi="Times New Roman"/>
          <w:noProof/>
          <w:sz w:val="24"/>
          <w:szCs w:val="24"/>
        </w:rPr>
        <w:t>biex jgħinu l-finanzi tal-Public Power Corporation kienu riflessi fir-rapport finanzjarju pożittiv ta’ nofs is-sena, li kien sinjal importanti għas-swieq. Bħalissa l-awtoritajiet qed jiżviluppaw miżuri biex jikkumbattu l-isfidi fit-tul ta’ arretrati u kont</w:t>
      </w:r>
      <w:r>
        <w:rPr>
          <w:rFonts w:ascii="Times New Roman" w:hAnsi="Times New Roman"/>
          <w:noProof/>
          <w:sz w:val="24"/>
          <w:szCs w:val="24"/>
        </w:rPr>
        <w:t>umaċi strateġiċi. L-awtoritajiet iddeċidew li jikkanċellaw l-aħħar irkant skedat għal Ottubru fil-kuntest tan-NOME (</w:t>
      </w:r>
      <w:r>
        <w:rPr>
          <w:rFonts w:ascii="Times New Roman" w:hAnsi="Times New Roman"/>
          <w:i/>
          <w:noProof/>
          <w:sz w:val="24"/>
          <w:szCs w:val="24"/>
        </w:rPr>
        <w:t>Nouvelle Organisation du Marché de l’Electricité</w:t>
      </w:r>
      <w:r>
        <w:rPr>
          <w:rFonts w:ascii="Times New Roman" w:hAnsi="Times New Roman"/>
          <w:noProof/>
          <w:sz w:val="24"/>
          <w:szCs w:val="24"/>
        </w:rPr>
        <w:t>); dan kien ġie stabbilit bħala miżura tranżizzjonali waqt li kienu qed isiru riformi fis-su</w:t>
      </w:r>
      <w:r>
        <w:rPr>
          <w:rFonts w:ascii="Times New Roman" w:hAnsi="Times New Roman"/>
          <w:noProof/>
          <w:sz w:val="24"/>
          <w:szCs w:val="24"/>
        </w:rPr>
        <w:t>q tal-enerġija biex jinfetaħ għall-kompetizzjoni. Riforma minn dawn kienet l-implimentazzjoni tal-mudell fil-mira; dan qiegħed fit-triq it-tajba li jkun lest sal-iskadenza l-ġdida f’Ġunju 2020. Imbagħad jenħtieġ li jsegwi l-akkoppjament mas-swieq ġirien. I</w:t>
      </w:r>
      <w:r>
        <w:rPr>
          <w:rFonts w:ascii="Times New Roman" w:hAnsi="Times New Roman"/>
          <w:noProof/>
          <w:sz w:val="24"/>
          <w:szCs w:val="24"/>
        </w:rPr>
        <w:t xml:space="preserve">l-proposti tal-awtoritajiet biex titħaffef it-tlestija tas-suq forward intlaqgħu tajjeb.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 xml:space="preserve">L-awtoritajiet ipproponew pjan ambizzjuż għat-trasformazzjoni fit-tul tas-suq tal-enerġija fil-Greċja u kkomunikaw l-intenzjoni tagħhom li jippreżentaw b’mod formali </w:t>
      </w:r>
      <w:r>
        <w:rPr>
          <w:rFonts w:ascii="Times New Roman" w:hAnsi="Times New Roman"/>
          <w:b/>
          <w:noProof/>
          <w:sz w:val="24"/>
          <w:szCs w:val="24"/>
        </w:rPr>
        <w:t>rimedji riveduti tal-antitrust f’Jannar 2020.</w:t>
      </w:r>
      <w:r>
        <w:rPr>
          <w:rFonts w:ascii="Times New Roman" w:hAnsi="Times New Roman"/>
          <w:noProof/>
          <w:sz w:val="24"/>
          <w:szCs w:val="24"/>
        </w:rPr>
        <w:t xml:space="preserve"> Il-qofol tal-istrateġija tal-enerġija jinvolvi d-dekummissjonar tal-kapaċità kollha li taħdem bil-linjite sal-2028, b’sehem konsiderevoli ppjanat isir minn qabel sew. Il-gvern qed jikkunsidra wkoll li jieħu pas</w:t>
      </w:r>
      <w:r>
        <w:rPr>
          <w:rFonts w:ascii="Times New Roman" w:hAnsi="Times New Roman"/>
          <w:noProof/>
          <w:sz w:val="24"/>
          <w:szCs w:val="24"/>
        </w:rPr>
        <w:t>si addizzjonali biex jiftaħ is-suq għall-kompetizzjoni. Jekk dawn il-pjanijiet jiġu implimentati għalkollox, fl-2020 diġà jaf jidher l-ewwel żvilupp kbir b’suq miftuħ u bbażat fuq mudell fil-mira li jiddependi inqas fuq il-karburanti fossili u lest li jżid</w:t>
      </w:r>
      <w:r>
        <w:rPr>
          <w:rFonts w:ascii="Times New Roman" w:hAnsi="Times New Roman"/>
          <w:noProof/>
          <w:sz w:val="24"/>
          <w:szCs w:val="24"/>
        </w:rPr>
        <w:t xml:space="preserve"> il-kapaċità tiegħu ta’ sorsi ta’ enerġija rinnovabbli. Filwaqt li d-direzzjoni ta’ din l-istrateġija fit-tul hija milqugħa, hemm bżonn jittieħdu iktar passi immedjati biex tiġi indirizzata l-pożizzjoni dominanti tal-Public Power Corporation, pereżempju bi</w:t>
      </w:r>
      <w:r>
        <w:rPr>
          <w:rFonts w:ascii="Times New Roman" w:hAnsi="Times New Roman"/>
          <w:noProof/>
          <w:sz w:val="24"/>
          <w:szCs w:val="24"/>
        </w:rPr>
        <w:t>l-proċedura antitrust li għaddejja. Id-</w:t>
      </w:r>
      <w:r>
        <w:rPr>
          <w:rFonts w:ascii="Times New Roman" w:hAnsi="Times New Roman"/>
          <w:i/>
          <w:noProof/>
          <w:sz w:val="24"/>
          <w:szCs w:val="24"/>
        </w:rPr>
        <w:t>data</w:t>
      </w:r>
      <w:r>
        <w:rPr>
          <w:rFonts w:ascii="Times New Roman" w:hAnsi="Times New Roman"/>
          <w:noProof/>
          <w:sz w:val="24"/>
          <w:szCs w:val="24"/>
        </w:rPr>
        <w:t xml:space="preserve"> dwar is-sehem mis-suq tal-Public Power Corporation tindika li l-kompetituri qed jippenetraw is-suq fin-naħa tal-imnut kif ukoll tal-ingrossa, imma l-pożizzjoni dominanti tagħha u l-aċċess esklussiv tagħha għall-ġ</w:t>
      </w:r>
      <w:r>
        <w:rPr>
          <w:rFonts w:ascii="Times New Roman" w:hAnsi="Times New Roman"/>
          <w:noProof/>
          <w:sz w:val="24"/>
          <w:szCs w:val="24"/>
        </w:rPr>
        <w:t>enerazzjoni li taħdem bil-linjite jibqgħu ta’ tħassib. F’dan il-kuntest jenħtieġ li jiġi nnotat li fl-isfond tal-inċertezza tad-dritt u tan-nuqqas ta’ trasparenza ma saret l-ebda offerta fit-tieni ċiklu tal-offerti għall-iżvestiment tal-linjite f’Lulju 201</w:t>
      </w:r>
      <w:r>
        <w:rPr>
          <w:rFonts w:ascii="Times New Roman" w:hAnsi="Times New Roman"/>
          <w:noProof/>
          <w:sz w:val="24"/>
          <w:szCs w:val="24"/>
        </w:rPr>
        <w:t xml:space="preserve">9 (impenn speċifiku pendenti ta’ nofs l-2018 li kien esperjenza dewmien). Il-fatt li dan l-iżvestiment ma seħħx wassal għal ksur tal-impenn antitrust, u b’hekk irid jinstab rimedju alternattiv. L-awtoritajiet ikkomunikaw formalment l-intenzjoni tagħhom li </w:t>
      </w:r>
      <w:r>
        <w:rPr>
          <w:rFonts w:ascii="Times New Roman" w:hAnsi="Times New Roman"/>
          <w:noProof/>
          <w:sz w:val="24"/>
          <w:szCs w:val="24"/>
        </w:rPr>
        <w:t>jippreżentaw rimedji riveduti f’Jannar 2020.</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szCs w:val="24"/>
        </w:rPr>
        <w:t>Is-suq tal-gass tal-Greċja għadu żgħir imma qed jikber.</w:t>
      </w:r>
      <w:r>
        <w:rPr>
          <w:rFonts w:ascii="Times New Roman" w:hAnsi="Times New Roman"/>
          <w:noProof/>
          <w:sz w:val="24"/>
          <w:szCs w:val="24"/>
        </w:rPr>
        <w:t xml:space="preserve"> Il-bejgħ tal-grilja tat-trażmissjoni, l-Operatur tas-Sistema ta’ Trażmissjoni tal-Gass Naturali, kif ukoll il-bejgħ li għaddej tal-Korporazzjoni tal-Gass P</w:t>
      </w:r>
      <w:r>
        <w:rPr>
          <w:rFonts w:ascii="Times New Roman" w:hAnsi="Times New Roman"/>
          <w:noProof/>
          <w:sz w:val="24"/>
          <w:szCs w:val="24"/>
        </w:rPr>
        <w:t>ubblika, se jwasslu għal iktar ftuħ tas-suq u investiment f’livell domestiku, waqt li l-progress li qed isir bi proġetti bħall-interkonnettur bejn il-Bulgarija u l-Greċja kif ukoll iż-żieda fl-importazzjonijiet tal-gass naturali likwifikat jixhdu l-potenzj</w:t>
      </w:r>
      <w:r>
        <w:rPr>
          <w:rFonts w:ascii="Times New Roman" w:hAnsi="Times New Roman"/>
          <w:noProof/>
          <w:sz w:val="24"/>
          <w:szCs w:val="24"/>
        </w:rPr>
        <w:t>al tal-Greċja li ssir hub reġjonali tal-enerġija. L-awtoritajiet qed jerġgħu jqisu l-bejgħ ippjanat tal-Korporazzjoni tal-Gass Pubblika, għalkemm il-pjan rivedut, li jinvolvi l-bejgħ ta’ sehem kbir tal-gvern u dispożizzjonijiet li jiżguraw separazzjoni sħi</w:t>
      </w:r>
      <w:r>
        <w:rPr>
          <w:rFonts w:ascii="Times New Roman" w:hAnsi="Times New Roman"/>
          <w:noProof/>
          <w:sz w:val="24"/>
          <w:szCs w:val="24"/>
        </w:rPr>
        <w:t>ħa, huwa inkoraġġanti.</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IL-HELLENIC CORPORATION OF ASSETS AND PARTICIPATIONS U L-PRIVATIZZAZZJONIJIET</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Il-ħidma tal-Hellenic Corporation of Assets and Participations f’oqsma ewlenin koperti mill-impenji li ttieħdu fil-konfront tal-Grupp tal-Euro għadha għadd</w:t>
      </w:r>
      <w:r>
        <w:rPr>
          <w:rFonts w:ascii="Times New Roman" w:hAnsi="Times New Roman"/>
          <w:b/>
          <w:bCs/>
          <w:noProof/>
          <w:sz w:val="24"/>
          <w:szCs w:val="24"/>
        </w:rPr>
        <w:t>ejja.</w:t>
      </w:r>
      <w:r>
        <w:rPr>
          <w:rFonts w:ascii="Times New Roman" w:hAnsi="Times New Roman"/>
          <w:noProof/>
          <w:sz w:val="24"/>
          <w:szCs w:val="24"/>
        </w:rPr>
        <w:t xml:space="preserve"> L-implimentazzjoni tal-pjan strateġiku (</w:t>
      </w:r>
      <w:r>
        <w:rPr>
          <w:rFonts w:ascii="Times New Roman" w:hAnsi="Times New Roman"/>
          <w:b/>
          <w:noProof/>
          <w:sz w:val="24"/>
          <w:szCs w:val="24"/>
        </w:rPr>
        <w:t>impenn kontinwu</w:t>
      </w:r>
      <w:r>
        <w:rPr>
          <w:rFonts w:ascii="Times New Roman" w:hAnsi="Times New Roman"/>
          <w:noProof/>
          <w:sz w:val="24"/>
          <w:szCs w:val="24"/>
        </w:rPr>
        <w:t>) għadha għaddejja u qed isir progress fir-rieżami tal-Bord. Il-bord tal-Korporazzjoni lesta r-rieżami / is-sostituzzjoni għall-biċċa l-kbira tas-sussidjarji tal-intrapriżi tal-istat (</w:t>
      </w:r>
      <w:r>
        <w:rPr>
          <w:rFonts w:ascii="Times New Roman" w:hAnsi="Times New Roman"/>
          <w:b/>
          <w:noProof/>
          <w:sz w:val="24"/>
          <w:szCs w:val="24"/>
        </w:rPr>
        <w:t xml:space="preserve">impenn </w:t>
      </w:r>
      <w:r>
        <w:rPr>
          <w:rFonts w:ascii="Times New Roman" w:hAnsi="Times New Roman"/>
          <w:b/>
          <w:noProof/>
          <w:sz w:val="24"/>
          <w:szCs w:val="24"/>
        </w:rPr>
        <w:t>speċifiku ta’ nofs l-2019</w:t>
      </w:r>
      <w:r>
        <w:rPr>
          <w:rFonts w:ascii="Times New Roman" w:hAnsi="Times New Roman"/>
          <w:noProof/>
          <w:sz w:val="24"/>
          <w:szCs w:val="24"/>
        </w:rPr>
        <w:t>), f’konformità mal-vijabbiltà teknika. Fosthom il-ħatra ta’ membri ġodda fil-bords tal-Hellenic Post u tal-Public Power Corporation, li tiffaċilita l-bidliet meħtieġa f’dawn il-kumpaniji. L-awtoritajiet involvew ruħhom b’mod sinif</w:t>
      </w:r>
      <w:r>
        <w:rPr>
          <w:rFonts w:ascii="Times New Roman" w:hAnsi="Times New Roman"/>
          <w:noProof/>
          <w:sz w:val="24"/>
          <w:szCs w:val="24"/>
        </w:rPr>
        <w:t>ikanti fir-riforma tal-Hellenic Corporation of Assets and Participations. Permezz ta’ emenda legali, huma effettivament tejbu s-sitwazzjoni ta’ kumpaniji b’kapitalizzazzjoni baxxa fir-rigward tar-rimunerazzjoni tad-diretturi għall-intrapriżi tal-istat li h</w:t>
      </w:r>
      <w:r>
        <w:rPr>
          <w:rFonts w:ascii="Times New Roman" w:hAnsi="Times New Roman"/>
          <w:noProof/>
          <w:sz w:val="24"/>
          <w:szCs w:val="24"/>
        </w:rPr>
        <w:t xml:space="preserve">uma ikbar u mhux ikkwotati fil-qafas tal-Korporazzjoni, bir-riżultat li ġie ffaċilitat il-proċess tar-rieżamijiet tal-bord. Sa mill-pubblikazzjoni tat-tielet rapport ta’ sorveljanza msaħħa f’Ġunju 2019 il-Korporazzjoni kompliet tagħmel progress fit-titjib </w:t>
      </w:r>
      <w:r>
        <w:rPr>
          <w:rFonts w:ascii="Times New Roman" w:hAnsi="Times New Roman"/>
          <w:noProof/>
          <w:sz w:val="24"/>
          <w:szCs w:val="24"/>
        </w:rPr>
        <w:t>tal-governanza korporattiva fl-intrapriżi tal-istat. Tħejjew l-ewwel kontijiet finanzjarji kkonsolidati tal-grupp għall-2018 u tressqu għall-approvazzjoni tal-Assemblea Ġenerali. L-implimentazzjoni tal-mekkaniżmu ta’ koordinazzjoni, li jirregola l-interazz</w:t>
      </w:r>
      <w:r>
        <w:rPr>
          <w:rFonts w:ascii="Times New Roman" w:hAnsi="Times New Roman"/>
          <w:noProof/>
          <w:sz w:val="24"/>
          <w:szCs w:val="24"/>
        </w:rPr>
        <w:t>joni bejn l-awtoritajiet u l-Korporazzjoni fir-rigward tal-mandati u tal-objettivi tal-intrapriżi tal-istat fil-qafas tal-Korporazzjoni, bdiet f’Ottubru; għandhom prijorità erba’ intrapriżi tal-istat (is-swieq ċentrali ta’ Ateni u Salonka, il-Kanal ta’ Kor</w:t>
      </w:r>
      <w:r>
        <w:rPr>
          <w:rFonts w:ascii="Times New Roman" w:hAnsi="Times New Roman"/>
          <w:noProof/>
          <w:sz w:val="24"/>
          <w:szCs w:val="24"/>
        </w:rPr>
        <w:t>intu u l-organizzatur tal-fieri nazzjonali Helexpo). Il-mandati u r-riżultati għal dawn l-intrapriżi tal-istat mistennija jiġu ffinalizzati dalwaqt peress li l-Korporazzjoni diġà wettqet ħafna ħidma preparatorja li ġiet diskussa mal-awtoritajiet kompetenti</w:t>
      </w:r>
      <w:r>
        <w:rPr>
          <w:rFonts w:ascii="Times New Roman" w:hAnsi="Times New Roman"/>
          <w:noProof/>
          <w:sz w:val="24"/>
          <w:szCs w:val="24"/>
        </w:rPr>
        <w:t xml:space="preserve">. </w:t>
      </w:r>
    </w:p>
    <w:p w:rsidR="00DD6B74" w:rsidRDefault="00557887">
      <w:pPr>
        <w:spacing w:after="240" w:line="240" w:lineRule="atLeast"/>
        <w:jc w:val="both"/>
        <w:rPr>
          <w:rFonts w:ascii="Times New Roman" w:eastAsia="Times New Roman" w:hAnsi="Times New Roman" w:cs="Times New Roman"/>
          <w:bCs/>
          <w:noProof/>
          <w:color w:val="000000"/>
          <w:sz w:val="24"/>
          <w:szCs w:val="24"/>
        </w:rPr>
      </w:pPr>
      <w:r>
        <w:rPr>
          <w:rFonts w:ascii="Times New Roman" w:hAnsi="Times New Roman"/>
          <w:b/>
          <w:bCs/>
          <w:noProof/>
          <w:sz w:val="24"/>
          <w:szCs w:val="24"/>
        </w:rPr>
        <w:t xml:space="preserve">L-awtoritajiet saħħew ferm il-momentum fil-proċess tal-privatizzazzjoni. </w:t>
      </w:r>
      <w:r>
        <w:rPr>
          <w:rFonts w:ascii="Times New Roman" w:hAnsi="Times New Roman"/>
          <w:noProof/>
          <w:sz w:val="24"/>
          <w:szCs w:val="24"/>
        </w:rPr>
        <w:t>Il-Pjan ta’ Żvilupp tal-Assi aġġornat ġie adottat (</w:t>
      </w:r>
      <w:r>
        <w:rPr>
          <w:rFonts w:ascii="Times New Roman" w:hAnsi="Times New Roman"/>
          <w:b/>
          <w:noProof/>
          <w:sz w:val="24"/>
          <w:szCs w:val="24"/>
        </w:rPr>
        <w:t>impenn kontinwu</w:t>
      </w:r>
      <w:r>
        <w:rPr>
          <w:rFonts w:ascii="Times New Roman" w:hAnsi="Times New Roman"/>
          <w:noProof/>
          <w:sz w:val="24"/>
          <w:szCs w:val="24"/>
        </w:rPr>
        <w:t>) u l-progress fit-tranżazzjonijiet li għaddejjin żdied f’dawn l-aħħar tliet xhur. B’mod partikolari:</w:t>
      </w:r>
    </w:p>
    <w:p w:rsidR="00DD6B74" w:rsidRDefault="00557887">
      <w:pPr>
        <w:numPr>
          <w:ilvl w:val="0"/>
          <w:numId w:val="4"/>
        </w:numPr>
        <w:spacing w:after="120" w:line="240" w:lineRule="atLeast"/>
        <w:ind w:left="714" w:hanging="357"/>
        <w:jc w:val="both"/>
        <w:rPr>
          <w:rFonts w:ascii="Times New Roman" w:hAnsi="Times New Roman" w:cs="Times New Roman"/>
          <w:noProof/>
          <w:color w:val="000000"/>
          <w:sz w:val="24"/>
          <w:szCs w:val="24"/>
        </w:rPr>
      </w:pPr>
      <w:r>
        <w:rPr>
          <w:rFonts w:ascii="Times New Roman" w:hAnsi="Times New Roman"/>
          <w:b/>
          <w:bCs/>
          <w:noProof/>
          <w:sz w:val="24"/>
          <w:szCs w:val="24"/>
        </w:rPr>
        <w:t xml:space="preserve">Hellinikon </w:t>
      </w:r>
      <w:r>
        <w:rPr>
          <w:rFonts w:ascii="Times New Roman" w:hAnsi="Times New Roman"/>
          <w:b/>
          <w:bCs/>
          <w:noProof/>
          <w:sz w:val="24"/>
          <w:szCs w:val="24"/>
        </w:rPr>
        <w:t>(żvilupp tas-sit ta’ dak li kien l-ajruport internazzjonali ta’ Ateni, impenn speċifiku għall-aħħar tal-2018 li għadu pendenti):</w:t>
      </w:r>
      <w:r>
        <w:rPr>
          <w:rFonts w:ascii="Times New Roman" w:hAnsi="Times New Roman"/>
          <w:noProof/>
          <w:sz w:val="24"/>
          <w:szCs w:val="24"/>
        </w:rPr>
        <w:t xml:space="preserve"> l-awtoritajiet għamlu enfasi kbira u kienu involuti sew f’din it-tranżazzjoni, billi intensifikaw b’mod sinifikanti l-isforz bi</w:t>
      </w:r>
      <w:r>
        <w:rPr>
          <w:rFonts w:ascii="Times New Roman" w:hAnsi="Times New Roman"/>
          <w:noProof/>
          <w:sz w:val="24"/>
          <w:szCs w:val="24"/>
        </w:rPr>
        <w:t xml:space="preserve">ex jintlaħqu l-kundizzjonijiet preċedenti ħalli jkun possibbli t-trasferiment tal-ishma lejn l-investitur ippreferut, Lamda. Il-progress ġenerali li sar riċentement huwa sinifikanti u l-għeluq finanzjarju jaf ikun vijabbli fix-xhur li ġejjin. </w:t>
      </w:r>
    </w:p>
    <w:p w:rsidR="00DD6B74" w:rsidRDefault="00557887">
      <w:pPr>
        <w:numPr>
          <w:ilvl w:val="0"/>
          <w:numId w:val="4"/>
        </w:numPr>
        <w:spacing w:after="120" w:line="240" w:lineRule="atLeast"/>
        <w:ind w:left="714" w:hanging="357"/>
        <w:jc w:val="both"/>
        <w:rPr>
          <w:rFonts w:ascii="Times New Roman" w:hAnsi="Times New Roman" w:cs="Times New Roman"/>
          <w:noProof/>
          <w:color w:val="000000"/>
          <w:sz w:val="24"/>
          <w:szCs w:val="24"/>
        </w:rPr>
      </w:pPr>
      <w:r>
        <w:rPr>
          <w:rFonts w:ascii="Times New Roman" w:hAnsi="Times New Roman"/>
          <w:b/>
          <w:bCs/>
          <w:noProof/>
          <w:sz w:val="24"/>
          <w:szCs w:val="24"/>
        </w:rPr>
        <w:t>Marina ta’ A</w:t>
      </w:r>
      <w:r>
        <w:rPr>
          <w:rFonts w:ascii="Times New Roman" w:hAnsi="Times New Roman"/>
          <w:b/>
          <w:bCs/>
          <w:noProof/>
          <w:sz w:val="24"/>
          <w:szCs w:val="24"/>
        </w:rPr>
        <w:t>limos (impenn speċifiku ta’ nofs l-2019):</w:t>
      </w:r>
      <w:r>
        <w:rPr>
          <w:rFonts w:ascii="Times New Roman" w:hAnsi="Times New Roman"/>
          <w:noProof/>
          <w:sz w:val="24"/>
          <w:szCs w:val="24"/>
        </w:rPr>
        <w:t xml:space="preserve"> l-investitur ippreferut intgħażel fis-16 ta’ April 2019. Il-Qorti tal-Awdituri approvat il-proċedura ta’ ħrug ta’ offerti fis-26 ta’ Ġunju 2019. Il-passi li jmiss huma proċedurali. Għaldaqstant, qed isir progress s</w:t>
      </w:r>
      <w:r>
        <w:rPr>
          <w:rFonts w:ascii="Times New Roman" w:hAnsi="Times New Roman"/>
          <w:noProof/>
          <w:sz w:val="24"/>
          <w:szCs w:val="24"/>
        </w:rPr>
        <w:t>odisfaċenti fl-offerta għall-konċessjoni fit-tul tal-marina ta’ Alimos, għalkemm l-għeluq finanzjarju mhux mistenni jseħħ qabel l-aħħar tal-2019.</w:t>
      </w:r>
    </w:p>
    <w:p w:rsidR="00DD6B74" w:rsidRDefault="00557887">
      <w:pPr>
        <w:numPr>
          <w:ilvl w:val="0"/>
          <w:numId w:val="3"/>
        </w:numPr>
        <w:spacing w:after="120" w:line="240" w:lineRule="atLeast"/>
        <w:jc w:val="both"/>
        <w:rPr>
          <w:rFonts w:ascii="Times New Roman" w:hAnsi="Times New Roman" w:cs="Times New Roman"/>
          <w:noProof/>
          <w:color w:val="000000"/>
          <w:sz w:val="24"/>
          <w:szCs w:val="24"/>
        </w:rPr>
      </w:pPr>
      <w:r>
        <w:rPr>
          <w:rFonts w:ascii="Times New Roman" w:hAnsi="Times New Roman"/>
          <w:b/>
          <w:bCs/>
          <w:noProof/>
          <w:sz w:val="24"/>
          <w:szCs w:val="24"/>
        </w:rPr>
        <w:t>Hellenic Petroleum (impenn speċifiku għal nofs l-2019):</w:t>
      </w:r>
      <w:r>
        <w:rPr>
          <w:rFonts w:ascii="Times New Roman" w:hAnsi="Times New Roman"/>
          <w:noProof/>
          <w:sz w:val="24"/>
          <w:szCs w:val="24"/>
        </w:rPr>
        <w:t xml:space="preserve"> ma saret l-ebda offerta vinkolanti għall-bejgħ konġunt</w:t>
      </w:r>
      <w:r>
        <w:rPr>
          <w:rFonts w:ascii="Times New Roman" w:hAnsi="Times New Roman"/>
          <w:noProof/>
          <w:sz w:val="24"/>
          <w:szCs w:val="24"/>
        </w:rPr>
        <w:t xml:space="preserve"> (flimkien ma’ PanEuropean Oil u Industrial Holdings S.A., l-azzjonist strateġiku l-ieħor ta’ Hellenic Petroleum) ta’ sehem ta’ maġġoranza (50,1 %) u b’hekk ma kien hemm ebda eżitu pożittiv tat-tranżazzjoni speċifika. Għalhekk, l-għeluq finanzjarju se jesp</w:t>
      </w:r>
      <w:r>
        <w:rPr>
          <w:rFonts w:ascii="Times New Roman" w:hAnsi="Times New Roman"/>
          <w:noProof/>
          <w:sz w:val="24"/>
          <w:szCs w:val="24"/>
        </w:rPr>
        <w:t xml:space="preserve">erjenza b’mod inevitabbli dewmien sinifikanti. Il-Fond għall-Iżvilupp tal-Assi tar-Repubblika Ellenika, il-HRADF, ingħata l-mandat tekniku biex jistħarreġ l-possibbiltajiet kollha disponibbli biex isir progress f’din it-tranżazzjoni. Id-deċiżjoni aħħarija </w:t>
      </w:r>
      <w:r>
        <w:rPr>
          <w:rFonts w:ascii="Times New Roman" w:hAnsi="Times New Roman"/>
          <w:noProof/>
          <w:sz w:val="24"/>
          <w:szCs w:val="24"/>
        </w:rPr>
        <w:t>b’rabta mal-istruttura u mat-twaqqit hija f’idejn l-awtoritajiet Griegi u għandha tiġi ddeterminata fuq il-bażi ta’ dak li jipprovdi l-aħjar valur kummerċjali u strateġiku għall-Greċja. Mistenni li l-approċċ jiġi ċċarat u l-iskeda ta’ żmien għandha tkun le</w:t>
      </w:r>
      <w:r>
        <w:rPr>
          <w:rFonts w:ascii="Times New Roman" w:hAnsi="Times New Roman"/>
          <w:noProof/>
          <w:sz w:val="24"/>
          <w:szCs w:val="24"/>
        </w:rPr>
        <w:t>sta sal-aħħar tal-2019.</w:t>
      </w:r>
    </w:p>
    <w:p w:rsidR="00DD6B74" w:rsidRDefault="00557887">
      <w:pPr>
        <w:numPr>
          <w:ilvl w:val="0"/>
          <w:numId w:val="3"/>
        </w:numPr>
        <w:spacing w:after="120" w:line="240" w:lineRule="atLeast"/>
        <w:ind w:left="714" w:hanging="357"/>
        <w:jc w:val="both"/>
        <w:rPr>
          <w:rFonts w:ascii="Times New Roman" w:hAnsi="Times New Roman" w:cs="Times New Roman"/>
          <w:noProof/>
          <w:color w:val="000000"/>
          <w:sz w:val="24"/>
          <w:szCs w:val="24"/>
        </w:rPr>
      </w:pPr>
      <w:r>
        <w:rPr>
          <w:rFonts w:ascii="Times New Roman" w:hAnsi="Times New Roman"/>
          <w:b/>
          <w:bCs/>
          <w:noProof/>
          <w:sz w:val="24"/>
          <w:szCs w:val="24"/>
        </w:rPr>
        <w:t>Il-bejgħ ta’ 30 % tal-Ajruport Internazzjonali ta’ Ateni:</w:t>
      </w:r>
      <w:r>
        <w:rPr>
          <w:rFonts w:ascii="Times New Roman" w:hAnsi="Times New Roman"/>
          <w:noProof/>
          <w:sz w:val="24"/>
          <w:szCs w:val="24"/>
        </w:rPr>
        <w:t xml:space="preserve"> il-kwistjonijiet pendenti rigward il-governanza korporattiva, li kienu dewmu t-tranżazzjoni, kienu riżolti mill-awtoritajiet. B’hekk il-proċess tal-offerti reġa’ kompla. Fid-</w:t>
      </w:r>
      <w:r>
        <w:rPr>
          <w:rFonts w:ascii="Times New Roman" w:hAnsi="Times New Roman"/>
          <w:noProof/>
          <w:sz w:val="24"/>
          <w:szCs w:val="24"/>
        </w:rPr>
        <w:t>29 ta’ Ottubru 2019 għaxar skemi ta’ investiment esprimew l-interess tagħhom (Fażi A) li jakkwistaw is-sehem ta’ 30 % fil-kumpanija. L-offerti vinkolanti mistennija jiġu ppreżentati fil-bidu tal-2020, u l-għeluq finanzjarju tat-tranżazzjoni mistenni jsir q</w:t>
      </w:r>
      <w:r>
        <w:rPr>
          <w:rFonts w:ascii="Times New Roman" w:hAnsi="Times New Roman"/>
          <w:noProof/>
          <w:sz w:val="24"/>
          <w:szCs w:val="24"/>
        </w:rPr>
        <w:t xml:space="preserve">abel tmiem l-2020. </w:t>
      </w:r>
    </w:p>
    <w:p w:rsidR="00DD6B74" w:rsidRDefault="00557887">
      <w:pPr>
        <w:numPr>
          <w:ilvl w:val="0"/>
          <w:numId w:val="3"/>
        </w:numPr>
        <w:spacing w:after="120" w:line="240" w:lineRule="atLeast"/>
        <w:ind w:left="714" w:hanging="357"/>
        <w:jc w:val="both"/>
        <w:rPr>
          <w:rFonts w:ascii="Times New Roman" w:hAnsi="Times New Roman" w:cs="Times New Roman"/>
          <w:noProof/>
          <w:color w:val="000000"/>
          <w:sz w:val="24"/>
          <w:szCs w:val="24"/>
        </w:rPr>
      </w:pPr>
      <w:r>
        <w:rPr>
          <w:rFonts w:ascii="Times New Roman" w:hAnsi="Times New Roman"/>
          <w:b/>
          <w:bCs/>
          <w:noProof/>
          <w:sz w:val="24"/>
          <w:szCs w:val="24"/>
        </w:rPr>
        <w:t>Korporazzjoni tal-Gass Pubblika:</w:t>
      </w:r>
      <w:r>
        <w:rPr>
          <w:rFonts w:ascii="Times New Roman" w:hAnsi="Times New Roman"/>
          <w:noProof/>
          <w:sz w:val="24"/>
          <w:szCs w:val="24"/>
        </w:rPr>
        <w:t xml:space="preserve"> l-awtoritajiet qed jikkunsidraw bidliet fir-ristrutturar tal-Korporazzjoni u l-qsim tagħha fl-unitajiet Kummerċjali (provvista tal-gass bl-ingrossa u bl-imnut) u Infrastruttura (netwerks ta’ distribuzzjo</w:t>
      </w:r>
      <w:r>
        <w:rPr>
          <w:rFonts w:ascii="Times New Roman" w:hAnsi="Times New Roman"/>
          <w:noProof/>
          <w:sz w:val="24"/>
          <w:szCs w:val="24"/>
        </w:rPr>
        <w:t>ni tal-gass), filwaqt li l-parteċipazzjonijiet tal-Korporazzjoni fi proġetti strateġiċi internazzjonali tal-infrastruttura tal-gass jiġu ttrasferiti lejn entità korporattiva ġdida. L-istruttura korporattiva hija għażla ta’ politika li trid issir mill-awtor</w:t>
      </w:r>
      <w:r>
        <w:rPr>
          <w:rFonts w:ascii="Times New Roman" w:hAnsi="Times New Roman"/>
          <w:noProof/>
          <w:sz w:val="24"/>
          <w:szCs w:val="24"/>
        </w:rPr>
        <w:t>itajiet, dment li tkun f’konformità mat-termini miftiehma f’Ġunju 2018. L-awtoritajiet Griegi indikaw l-intenzjoni tagħhom li jipproċedu bl-iżvestiment sħiħ tas-sehem tagħhom (65 %) fl-unità Kummerċjali kif ukoll fl-unità Infrastruttura bir-riżultat li jiż</w:t>
      </w:r>
      <w:r>
        <w:rPr>
          <w:rFonts w:ascii="Times New Roman" w:hAnsi="Times New Roman"/>
          <w:noProof/>
          <w:sz w:val="24"/>
          <w:szCs w:val="24"/>
        </w:rPr>
        <w:t>diedu r-rikavati mistennija mill-privatizzazzjoni, waqt li jiffaċilitaw ukoll is-separazzjoni tas-suq tal-gass.</w:t>
      </w:r>
    </w:p>
    <w:p w:rsidR="00DD6B74" w:rsidRDefault="00557887">
      <w:pPr>
        <w:numPr>
          <w:ilvl w:val="0"/>
          <w:numId w:val="5"/>
        </w:numPr>
        <w:spacing w:after="120" w:line="240" w:lineRule="atLeast"/>
        <w:ind w:left="714" w:hanging="357"/>
        <w:jc w:val="both"/>
        <w:rPr>
          <w:rFonts w:ascii="Times New Roman" w:hAnsi="Times New Roman" w:cs="Times New Roman"/>
          <w:b/>
          <w:noProof/>
          <w:color w:val="000000"/>
          <w:sz w:val="24"/>
          <w:szCs w:val="24"/>
        </w:rPr>
      </w:pPr>
      <w:r>
        <w:rPr>
          <w:rFonts w:ascii="Times New Roman" w:hAnsi="Times New Roman"/>
          <w:b/>
          <w:bCs/>
          <w:noProof/>
          <w:sz w:val="24"/>
          <w:szCs w:val="24"/>
        </w:rPr>
        <w:t>Konċessjoni tal-awtostrada f’Egnatia:</w:t>
      </w:r>
      <w:r>
        <w:rPr>
          <w:rFonts w:ascii="Times New Roman" w:hAnsi="Times New Roman"/>
          <w:noProof/>
          <w:sz w:val="24"/>
          <w:szCs w:val="24"/>
        </w:rPr>
        <w:t xml:space="preserve"> minħabba dewmien u tfixkil preċedenti, għadhom iridu jittieħdu bosta miżuri qabel is-sottomissjoni ta’ off</w:t>
      </w:r>
      <w:r>
        <w:rPr>
          <w:rFonts w:ascii="Times New Roman" w:hAnsi="Times New Roman"/>
          <w:noProof/>
          <w:sz w:val="24"/>
          <w:szCs w:val="24"/>
        </w:rPr>
        <w:t>erti vinkolanti (relatati fost l-oħrajn mal-implimentazzjoni tal-politika tal-ipprezzar tal-pedaġġ approvata mill-Kummissjoni, mal-kostruzzjoni u mal-operat tal-istazzjonijiet tal-pedaġġ u maċ-ċertifikazzjoni tas-sikurezza tal-pontijiet u tal-mini). L-awto</w:t>
      </w:r>
      <w:r>
        <w:rPr>
          <w:rFonts w:ascii="Times New Roman" w:hAnsi="Times New Roman"/>
          <w:noProof/>
          <w:sz w:val="24"/>
          <w:szCs w:val="24"/>
        </w:rPr>
        <w:t xml:space="preserve">ritajiet saħqu li huma impenjati li jiżblokkaw it-tranżazzjoni; madankollu meħtieġ segwitu b’determinazzjoni. </w:t>
      </w:r>
    </w:p>
    <w:p w:rsidR="00DD6B74" w:rsidRDefault="00557887">
      <w:pPr>
        <w:numPr>
          <w:ilvl w:val="0"/>
          <w:numId w:val="3"/>
        </w:numPr>
        <w:spacing w:after="240" w:line="240" w:lineRule="atLeast"/>
        <w:jc w:val="both"/>
        <w:rPr>
          <w:rFonts w:ascii="Times New Roman" w:hAnsi="Times New Roman" w:cs="Times New Roman"/>
          <w:noProof/>
          <w:color w:val="000000"/>
          <w:sz w:val="24"/>
          <w:szCs w:val="24"/>
        </w:rPr>
      </w:pPr>
      <w:r>
        <w:rPr>
          <w:rFonts w:ascii="Times New Roman" w:hAnsi="Times New Roman"/>
          <w:b/>
          <w:bCs/>
          <w:noProof/>
          <w:sz w:val="24"/>
          <w:szCs w:val="24"/>
        </w:rPr>
        <w:t xml:space="preserve">Portijiet reġjonali: </w:t>
      </w:r>
      <w:r>
        <w:rPr>
          <w:rFonts w:ascii="Times New Roman" w:hAnsi="Times New Roman"/>
          <w:noProof/>
          <w:sz w:val="24"/>
          <w:szCs w:val="24"/>
        </w:rPr>
        <w:t>l-awtoritajiet jilqgħu l-idea tal-għoti ta’ flessibilità dwar l-għażla għall-istruttura tat-tranżazzjoni tal-privatizzazzjon</w:t>
      </w:r>
      <w:r>
        <w:rPr>
          <w:rFonts w:ascii="Times New Roman" w:hAnsi="Times New Roman"/>
          <w:noProof/>
          <w:sz w:val="24"/>
          <w:szCs w:val="24"/>
        </w:rPr>
        <w:t>i (jiġifieri konċessjoni prinċipali, sottokonċessjoni, bejgħ tal-ekwità) għal kull port. Huwa mistenni li l-konsulenti tal-HRADF jippreżentaw l-istudju rilevanti dalwaqt u l-awtoritajiet jadottaw l-emenda legali neċessarja li tagħti l-flessibilità lill-HRA</w:t>
      </w:r>
      <w:r>
        <w:rPr>
          <w:rFonts w:ascii="Times New Roman" w:hAnsi="Times New Roman"/>
          <w:noProof/>
          <w:sz w:val="24"/>
          <w:szCs w:val="24"/>
        </w:rPr>
        <w:t xml:space="preserve">DF, sabiex tkun tista’ tiġi varata l-proċedura ta’ ħrug ta’ offerti għall-ewwel żewġ portijiet. </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L-AMMINISTRAZZJONI PUBBLIKA U L-ĠUSTIZZJA</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Il-proċess tal-għażla għas-Segretarji Amministrattivi (impenn għall-aħħar tal-2018) ġie kkanċellat u minflok inħolqot</w:t>
      </w:r>
      <w:r>
        <w:rPr>
          <w:rFonts w:ascii="Times New Roman" w:hAnsi="Times New Roman"/>
          <w:b/>
          <w:bCs/>
          <w:noProof/>
          <w:sz w:val="24"/>
          <w:szCs w:val="24"/>
        </w:rPr>
        <w:t xml:space="preserve"> il-pożizzjoni ta’ Segretarju Permanenti u saret bidla sinifikanti fid-delega tas-setgħat firmatarji għal atti individwali mil-livell politiku għal dak amministrattiv.</w:t>
      </w:r>
      <w:r>
        <w:rPr>
          <w:rFonts w:ascii="Times New Roman" w:hAnsi="Times New Roman"/>
          <w:noProof/>
          <w:sz w:val="24"/>
          <w:szCs w:val="24"/>
        </w:rPr>
        <w:t xml:space="preserve"> Madankollu, sabiex jissalvagwardjaw il-kisbiet fir-rigward tad-depolitizzazzjoni tal-amm</w:t>
      </w:r>
      <w:r>
        <w:rPr>
          <w:rFonts w:ascii="Times New Roman" w:hAnsi="Times New Roman"/>
          <w:noProof/>
          <w:sz w:val="24"/>
          <w:szCs w:val="24"/>
        </w:rPr>
        <w:t>inistrazzjoni pubblika u tal-kontinwità istituzzjonali, l-awtoritajiet impenjaw ruħhom li jimplimentaw mingħajr dewmien il-miżuri adottati u l-proċess tal-għażla tad-Diretturi u tal-Kapijiet tad-Diviżjonijiet se jkompli skont il-qafas legali eżistenti. L-a</w:t>
      </w:r>
      <w:r>
        <w:rPr>
          <w:rFonts w:ascii="Times New Roman" w:hAnsi="Times New Roman"/>
          <w:noProof/>
          <w:sz w:val="24"/>
          <w:szCs w:val="24"/>
        </w:rPr>
        <w:t>wtoritajiet impenjaw ruħhom ukoll li sa Mejju 2020 jerġgħu jintroduċu proċess tal-għażla miftuħ għall-pożizzjonijiet ta’ tmexxija f’entitajiet legali tad-dritt pubbliku u privat u li jadottaw miżuri biex jinħolqu strutturi organizzazzjonali permanenti fl-U</w:t>
      </w:r>
      <w:r>
        <w:rPr>
          <w:rFonts w:ascii="Times New Roman" w:hAnsi="Times New Roman"/>
          <w:noProof/>
          <w:sz w:val="24"/>
          <w:szCs w:val="24"/>
        </w:rPr>
        <w:t>ffiċċju tal-Presidenza. Tlestiet valutazzjoni indipendenti tal-proċess tal-għażla għas-Segretarji Amministrattivi, (</w:t>
      </w:r>
      <w:r>
        <w:rPr>
          <w:rFonts w:ascii="Times New Roman" w:hAnsi="Times New Roman"/>
          <w:b/>
          <w:noProof/>
          <w:sz w:val="24"/>
          <w:szCs w:val="24"/>
        </w:rPr>
        <w:t>impenn speċifiku għal nofs l-2019</w:t>
      </w:r>
      <w:r>
        <w:rPr>
          <w:rFonts w:ascii="Times New Roman" w:hAnsi="Times New Roman"/>
          <w:noProof/>
          <w:sz w:val="24"/>
          <w:szCs w:val="24"/>
        </w:rPr>
        <w:t xml:space="preserve">).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Il-leġiżlazzjoni estensiva dwar il-funzjonament tal-amministrazzjoni ċentrali, li kienet l-ewwel leġiżl</w:t>
      </w:r>
      <w:r>
        <w:rPr>
          <w:rFonts w:ascii="Times New Roman" w:hAnsi="Times New Roman"/>
          <w:b/>
          <w:noProof/>
          <w:sz w:val="24"/>
          <w:szCs w:val="24"/>
        </w:rPr>
        <w:t>azzjoni ewlenija li tressqet mill-gvern il-ġdid, introduċiet għadd ta’ dispożizzjonijiet ewlenin biex tiġi modernizzata l-amministrazzjoni pubblika, inkluż bit-tisħiħ tal-kapaċità ta’ koordinazzjoni ċentralizzata tal-gvern.</w:t>
      </w:r>
      <w:r>
        <w:rPr>
          <w:rFonts w:ascii="Times New Roman" w:hAnsi="Times New Roman"/>
          <w:noProof/>
          <w:sz w:val="24"/>
          <w:szCs w:val="24"/>
        </w:rPr>
        <w:t xml:space="preserve"> Minħabba li l-koordinazzjoni dgħ</w:t>
      </w:r>
      <w:r>
        <w:rPr>
          <w:rFonts w:ascii="Times New Roman" w:hAnsi="Times New Roman"/>
          <w:noProof/>
          <w:sz w:val="24"/>
          <w:szCs w:val="24"/>
        </w:rPr>
        <w:t>ajfa kienet waħda min-nuqqasijiet fit-tul tal-amministrazzjoni pubblika, it-tisħiħ tar-rwol u tar-riżorsi tal-Uffiċċju tal-Presidenza tal-gvern huwa riforma importanti. Barra minn hekk, din il-liġi importanti ta’ kodifikazzjoni tikkonsolida r-rwol tal-Kuns</w:t>
      </w:r>
      <w:r>
        <w:rPr>
          <w:rFonts w:ascii="Times New Roman" w:hAnsi="Times New Roman"/>
          <w:noProof/>
          <w:sz w:val="24"/>
          <w:szCs w:val="24"/>
        </w:rPr>
        <w:t>ill tal-Ministri u tistabbilixxi dispożizzjonijiet speċifiċi għall-programmazzjoni u għall-monitoraġġ annwali tal-prijoritajiet tal-gvern. Il-liġi tinkludi wkoll dispożizzjonijiet dwar l-armonizzazzjoni u t-tisħiħ tal-proċess leġiżlattiv fl-amministrazzjon</w:t>
      </w:r>
      <w:r>
        <w:rPr>
          <w:rFonts w:ascii="Times New Roman" w:hAnsi="Times New Roman"/>
          <w:noProof/>
          <w:sz w:val="24"/>
          <w:szCs w:val="24"/>
        </w:rPr>
        <w:t>i ċentrali, inkluż titjib tal-proċess għall-valutazzjoni tal-impatt.</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Ir-riformi adottati matul il-perjodu tal-programm, bħall-iskema tal-mobbiltà u l-valutazzjoni tal-prestazzjoni, għadhom qed jiġu implimentati b’parteċipazzjoni li kollox ma’ kollox hija t</w:t>
      </w:r>
      <w:r>
        <w:rPr>
          <w:rFonts w:ascii="Times New Roman" w:hAnsi="Times New Roman"/>
          <w:b/>
          <w:bCs/>
          <w:noProof/>
          <w:sz w:val="24"/>
          <w:szCs w:val="24"/>
        </w:rPr>
        <w:t>ajba.</w:t>
      </w:r>
      <w:r>
        <w:rPr>
          <w:rFonts w:ascii="Times New Roman" w:hAnsi="Times New Roman"/>
          <w:noProof/>
          <w:sz w:val="24"/>
          <w:szCs w:val="24"/>
        </w:rPr>
        <w:t xml:space="preserve"> Għall-kredibbiltà tar-riforma fl-iskema tal-mobbiltà huwa importanti li tiżdied il-veloċità tat-trasferimenti. F’dan ir-rigward, l-awtoritajiet impenjaw ruħhom li jintroduċu dispożizzjonijiet legali sal-aħħar tal-2019 li jiżguraw li l-proċess tal-għa</w:t>
      </w:r>
      <w:r>
        <w:rPr>
          <w:rFonts w:ascii="Times New Roman" w:hAnsi="Times New Roman"/>
          <w:noProof/>
          <w:sz w:val="24"/>
          <w:szCs w:val="24"/>
        </w:rPr>
        <w:t>żla tal-iskema tal-mobbiltà jkun jgħaġġel iktar. Din hija inizjattiva tajba peress li tkompli żżid il-kredibbiltà tal-iskema fost l-entitajiet tal-gvern ġenerali.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L-amministrazzjoni l-ġdida ħadet ukoll miżuri biex tagħmel progress u ttejjeb b’mod immirat i</w:t>
      </w:r>
      <w:r>
        <w:rPr>
          <w:rFonts w:ascii="Times New Roman" w:hAnsi="Times New Roman"/>
          <w:b/>
          <w:bCs/>
          <w:noProof/>
          <w:sz w:val="24"/>
          <w:szCs w:val="24"/>
        </w:rPr>
        <w:t>r-riformi li għadhom għaddejjin f’dan il-qasam, bħall-istrateġija tal-ġestjoni tar-riżorsi umani u l-kodifikazzjoni legali, u b’dan uriet l-impenn tagħha li tirriforma.</w:t>
      </w:r>
      <w:r>
        <w:rPr>
          <w:rFonts w:ascii="Times New Roman" w:hAnsi="Times New Roman"/>
          <w:noProof/>
          <w:sz w:val="24"/>
          <w:szCs w:val="24"/>
        </w:rPr>
        <w:t xml:space="preserve"> Iċ-ċiklu tal-mobbiltà li tnieda f’Awwissu 2018 qed javvanza bi ftit dewmien, u l-valuta</w:t>
      </w:r>
      <w:r>
        <w:rPr>
          <w:rFonts w:ascii="Times New Roman" w:hAnsi="Times New Roman"/>
          <w:noProof/>
          <w:sz w:val="24"/>
          <w:szCs w:val="24"/>
        </w:rPr>
        <w:t xml:space="preserve">zzjonijiet tal-prestazzjoni għall-2018 tlestew (it-tnejn li huma </w:t>
      </w:r>
      <w:r>
        <w:rPr>
          <w:rFonts w:ascii="Times New Roman" w:hAnsi="Times New Roman"/>
          <w:b/>
          <w:noProof/>
          <w:sz w:val="24"/>
          <w:szCs w:val="24"/>
        </w:rPr>
        <w:t>impenji speċifiċi għal nofs l-2019</w:t>
      </w:r>
      <w:r>
        <w:rPr>
          <w:rFonts w:ascii="Times New Roman" w:hAnsi="Times New Roman"/>
          <w:noProof/>
          <w:sz w:val="24"/>
          <w:szCs w:val="24"/>
        </w:rPr>
        <w:t>). L-amministrazzjoni l-ġdida ntrabtet ma’ pjan tar-rotta li jipprevedi l-konklużjoni tal-istrateġija tal-ġestjoni tar-riżorsi umani sal-2023. Barra minn hek</w:t>
      </w:r>
      <w:r>
        <w:rPr>
          <w:rFonts w:ascii="Times New Roman" w:hAnsi="Times New Roman"/>
          <w:noProof/>
          <w:sz w:val="24"/>
          <w:szCs w:val="24"/>
        </w:rPr>
        <w:t>k, kull impjegat se jkun assoċjat ma’ deskrizzjoni ta’ xogħol / pożizzjoni speċifika sal-aħħar tal-2019. L-entitajiet tal-gvern ġenerali li ma jissodisfawx dawn ir-rekwiżiti mhumiex se jkunu jistgħu jitolbu l-ingaġġ ta’ persunal ġdid. Fir-rigward tal-kodif</w:t>
      </w:r>
      <w:r>
        <w:rPr>
          <w:rFonts w:ascii="Times New Roman" w:hAnsi="Times New Roman"/>
          <w:noProof/>
          <w:sz w:val="24"/>
          <w:szCs w:val="24"/>
        </w:rPr>
        <w:t>ikazzjoni legali huwa importanti li r-rieżami li għaddej tal-portal nazzjonali tal-kodifikazzjoni jkun lest malajr biex ikun żgurat il-bidu f’waqtu tal-proċedura ta’ ħrug ta’ offerti.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L-ingaġġ ta’ persunal permanenti għadu fil-mira tal-ingaġġ stabbilita mi</w:t>
      </w:r>
      <w:r>
        <w:rPr>
          <w:rFonts w:ascii="Times New Roman" w:hAnsi="Times New Roman"/>
          <w:b/>
          <w:bCs/>
          <w:noProof/>
          <w:sz w:val="24"/>
          <w:szCs w:val="24"/>
        </w:rPr>
        <w:t>ll-awtoritajiet fil-baġit tagħhom u fl-Istrateġija Fiskali ta’ Terminu Medju, u l-awtoritajiet qed jieħdu azzjoni biex jerġgħu jiksbu kontroll tal-ingaġġ ta’ aġenti temporanji.</w:t>
      </w:r>
      <w:r>
        <w:rPr>
          <w:rFonts w:ascii="Times New Roman" w:hAnsi="Times New Roman"/>
          <w:noProof/>
          <w:sz w:val="24"/>
          <w:szCs w:val="24"/>
        </w:rPr>
        <w:t xml:space="preserve"> Il-parametru referenzjarju għall-ingaġġ ta’ aġenti temporanji (jiġifieri l-medj</w:t>
      </w:r>
      <w:r>
        <w:rPr>
          <w:rFonts w:ascii="Times New Roman" w:hAnsi="Times New Roman"/>
          <w:noProof/>
          <w:sz w:val="24"/>
          <w:szCs w:val="24"/>
        </w:rPr>
        <w:t>a annwali ta’ aġenti temporanji fl-2016) kien stmat li nqabeż b’1 500 meta kien ippubblikat ir-rapport ta’ sorveljanza msaħħa preċedenti (</w:t>
      </w:r>
      <w:r>
        <w:rPr>
          <w:rFonts w:ascii="Times New Roman" w:hAnsi="Times New Roman"/>
          <w:i/>
          <w:noProof/>
          <w:sz w:val="24"/>
          <w:szCs w:val="24"/>
        </w:rPr>
        <w:t>data</w:t>
      </w:r>
      <w:r>
        <w:rPr>
          <w:rFonts w:ascii="Times New Roman" w:hAnsi="Times New Roman"/>
          <w:noProof/>
          <w:sz w:val="24"/>
          <w:szCs w:val="24"/>
        </w:rPr>
        <w:t xml:space="preserve"> sa Frar 2019) filwaqt li l-istima attwali teċċedi l-parametru referenzjarju b’5 200 ingaġġ (</w:t>
      </w:r>
      <w:r>
        <w:rPr>
          <w:rFonts w:ascii="Times New Roman" w:hAnsi="Times New Roman"/>
          <w:i/>
          <w:noProof/>
          <w:sz w:val="24"/>
          <w:szCs w:val="24"/>
        </w:rPr>
        <w:t>data</w:t>
      </w:r>
      <w:r>
        <w:rPr>
          <w:rFonts w:ascii="Times New Roman" w:hAnsi="Times New Roman"/>
          <w:noProof/>
          <w:sz w:val="24"/>
          <w:szCs w:val="24"/>
        </w:rPr>
        <w:t xml:space="preserve"> sa Settembru 201</w:t>
      </w:r>
      <w:r>
        <w:rPr>
          <w:rFonts w:ascii="Times New Roman" w:hAnsi="Times New Roman"/>
          <w:noProof/>
          <w:sz w:val="24"/>
          <w:szCs w:val="24"/>
        </w:rPr>
        <w:t>9). Emenda reċenti neħħiet għadd ta’ eċċezzjonijiet importanti mir-regoli tal-ingaġġ regolari għall-aġenti temporanji, u dan għandu jżid il-kontroll tal-ingaġġ min-naħa tal-Ministeru għall-Intern u idealment iwassal għal tnaqqis gradwali f’aġenti temporanj</w:t>
      </w:r>
      <w:r>
        <w:rPr>
          <w:rFonts w:ascii="Times New Roman" w:hAnsi="Times New Roman"/>
          <w:noProof/>
          <w:sz w:val="24"/>
          <w:szCs w:val="24"/>
        </w:rPr>
        <w:t>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Xi dispożizzjonijiet reċenti relatati mas-salarju joħolqu tħassib dwar l-integrità tal-grilja unifikata tal-pagi.</w:t>
      </w:r>
      <w:r>
        <w:rPr>
          <w:rFonts w:ascii="Times New Roman" w:hAnsi="Times New Roman"/>
          <w:noProof/>
          <w:sz w:val="24"/>
          <w:szCs w:val="24"/>
        </w:rPr>
        <w:t xml:space="preserve"> Id-dispożizzjonijiet relatati mas-salarju jpoġġu gruppi tal-persunal speċifiċi f’xi servizzi ta’ prijorità fl-ogħla grad ta’ rimunerazzjoni</w:t>
      </w:r>
      <w:r>
        <w:rPr>
          <w:rFonts w:ascii="Times New Roman" w:hAnsi="Times New Roman"/>
          <w:noProof/>
          <w:sz w:val="24"/>
          <w:szCs w:val="24"/>
        </w:rPr>
        <w:t xml:space="preserve"> tas-superjorità u jestendu wkoll l-ambitu / il-kopertura tal-kwota ta’ “differenzi personali”. L-awtoritajiet impenjaw ruħhom li jsaħħu u jiċċentralizzaw il-kontroll fuq ir-riforma tal-grilja unifikata tal-pagi u l-proċeduri tal-ingaġġ billi jistabbilixxu</w:t>
      </w:r>
      <w:r>
        <w:rPr>
          <w:rFonts w:ascii="Times New Roman" w:hAnsi="Times New Roman"/>
          <w:noProof/>
          <w:sz w:val="24"/>
          <w:szCs w:val="24"/>
        </w:rPr>
        <w:t xml:space="preserve"> grupp ta’ ħidma interministerjali bil-mandat li jippreżenta miżuri speċifiċi sal-aħħar tal-2019, b’implimentazzjoni sa Jannar 2020.</w:t>
      </w:r>
    </w:p>
    <w:p w:rsidR="00DD6B74" w:rsidRDefault="00557887">
      <w:pPr>
        <w:spacing w:after="240" w:line="240" w:lineRule="atLeast"/>
        <w:jc w:val="both"/>
        <w:rPr>
          <w:rFonts w:ascii="Times New Roman" w:eastAsia="Times New Roman" w:hAnsi="Times New Roman" w:cs="Times New Roman"/>
          <w:b/>
          <w:bCs/>
          <w:noProof/>
          <w:color w:val="000000"/>
          <w:sz w:val="24"/>
          <w:szCs w:val="24"/>
        </w:rPr>
      </w:pPr>
      <w:r>
        <w:rPr>
          <w:rFonts w:ascii="Times New Roman" w:hAnsi="Times New Roman"/>
          <w:b/>
          <w:noProof/>
          <w:sz w:val="24"/>
          <w:szCs w:val="24"/>
        </w:rPr>
        <w:t xml:space="preserve">Il-gvern adotta leġiżlazzjoni biex jippromwovi t-tranżizzjoni lejn Stat diġitali, bi rwol prominenti mogħti lill-Ministeru għall-Governanza Elettronika l-ġdid. </w:t>
      </w:r>
      <w:r>
        <w:rPr>
          <w:rFonts w:ascii="Times New Roman" w:hAnsi="Times New Roman"/>
          <w:noProof/>
          <w:sz w:val="24"/>
          <w:szCs w:val="24"/>
        </w:rPr>
        <w:t>Il-Ministeru għandu l-kompitu li joħloq amministrazzjoni pubblika diġitali permezz tal-forniment</w:t>
      </w:r>
      <w:r>
        <w:rPr>
          <w:rFonts w:ascii="Times New Roman" w:hAnsi="Times New Roman"/>
          <w:noProof/>
          <w:sz w:val="24"/>
          <w:szCs w:val="24"/>
        </w:rPr>
        <w:t xml:space="preserve"> ta’ sensiela ta’ proġetti ewlenin tal-IT. Il-proġetti li jridu jitwettqu dalwaqt jinkludu l-iżvilupp ta’ identità diġitali unika għall-awtentikazzjoni tat-tranżazzjonijiet kollha mal-Istat, is-simplifikazzjoni ta’ proċeduri amministrattivi speċifiċi għaċ-</w:t>
      </w:r>
      <w:r>
        <w:rPr>
          <w:rFonts w:ascii="Times New Roman" w:hAnsi="Times New Roman"/>
          <w:noProof/>
          <w:sz w:val="24"/>
          <w:szCs w:val="24"/>
        </w:rPr>
        <w:t>ċ</w:t>
      </w:r>
      <w:r>
        <w:rPr>
          <w:rFonts w:ascii="Times New Roman" w:hAnsi="Times New Roman"/>
          <w:noProof/>
          <w:sz w:val="24"/>
          <w:szCs w:val="24"/>
        </w:rPr>
        <w:t>ittadini u għan-negozji, u l-istabbiliment ta’ pjattaforma komuni (gov.gr) li tiġbor l-informazzjoni u s-servizzi elettroniċi offruti mill-Istat. Fuq żmien medju u twil, il-Ministeru jimmira li jkompli jiżviluppa l-infrastruttura għan-netwerks tal-5G u ji</w:t>
      </w:r>
      <w:r>
        <w:rPr>
          <w:rFonts w:ascii="Times New Roman" w:hAnsi="Times New Roman"/>
          <w:noProof/>
          <w:sz w:val="24"/>
          <w:szCs w:val="24"/>
        </w:rPr>
        <w:t xml:space="preserve">ppromwovi l-interoperabbiltà tas-sistemi u tar-reġistri pubbliċi. L-awtoritajiet qed jirrevedu wkoll l-Istrateġija Diġitali Nazzjonali eżistenti li tistabbilixxi l-qafas għat-trasformazzjoni diġitali tal-amministrazzjoni pubblika u tal-ekonomija fl-intier </w:t>
      </w:r>
      <w:r>
        <w:rPr>
          <w:rFonts w:ascii="Times New Roman" w:hAnsi="Times New Roman"/>
          <w:noProof/>
          <w:sz w:val="24"/>
          <w:szCs w:val="24"/>
        </w:rPr>
        <w:t>tagħha.</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L-amministrazzjoni l-ġdida impenjat ruħha li tkompli bit-tielet fażi tar-riforma tal-Awtorità tal-Pagament Uniku li esperjenzat dewmien konsiderevoli.</w:t>
      </w:r>
      <w:r>
        <w:rPr>
          <w:rFonts w:ascii="Times New Roman" w:hAnsi="Times New Roman"/>
          <w:noProof/>
          <w:sz w:val="24"/>
          <w:szCs w:val="24"/>
        </w:rPr>
        <w:t xml:space="preserve"> It-tielet fażi se tistabbilixxi sistema ta’ informazzjoni integrata u żżid il-mandat tal-awtorità</w:t>
      </w:r>
      <w:r>
        <w:rPr>
          <w:rFonts w:ascii="Times New Roman" w:hAnsi="Times New Roman"/>
          <w:noProof/>
          <w:sz w:val="24"/>
          <w:szCs w:val="24"/>
        </w:rPr>
        <w:t xml:space="preserve"> biex ikun jinkludi kompiti tal-ikklerjar u b’hekk titjieb il-ġestjoni finanzjarja pubblika. Se jkunu meħtieġa għadd ta’ miżuri, li jinkludu emendi leġiżlattivi, proġett tal-IT li għandu jitnieda f’Jannar 2020, u l-istabbiliment ta’ grupp konġunt ta’ ħidma</w:t>
      </w:r>
      <w:r>
        <w:rPr>
          <w:rFonts w:ascii="Times New Roman" w:hAnsi="Times New Roman"/>
          <w:noProof/>
          <w:sz w:val="24"/>
          <w:szCs w:val="24"/>
        </w:rPr>
        <w:t xml:space="preserve"> biex jirrieżamina l-proċessi tal-ikklerjar attwali.</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szCs w:val="24"/>
        </w:rPr>
        <w:t>Il-progress fl-implimentazzjoni tal-impenji fil-qasam tal-ġustizzja juri stampa mħallta.</w:t>
      </w:r>
      <w:r>
        <w:rPr>
          <w:rFonts w:ascii="Times New Roman" w:hAnsi="Times New Roman"/>
          <w:b/>
          <w:bCs/>
          <w:noProof/>
          <w:sz w:val="24"/>
          <w:szCs w:val="24"/>
        </w:rPr>
        <w:t xml:space="preserve"> </w:t>
      </w:r>
      <w:r>
        <w:rPr>
          <w:rFonts w:ascii="Times New Roman" w:hAnsi="Times New Roman"/>
          <w:noProof/>
          <w:sz w:val="24"/>
          <w:szCs w:val="24"/>
        </w:rPr>
        <w:t>Il-leġiżlazzjoni dwar is-sottomissjoni elettronika mandatorja u l-ipproċessar tad-dokumenti legali f’ġuriżdizzjoni</w:t>
      </w:r>
      <w:r>
        <w:rPr>
          <w:rFonts w:ascii="Times New Roman" w:hAnsi="Times New Roman"/>
          <w:noProof/>
          <w:sz w:val="24"/>
          <w:szCs w:val="24"/>
        </w:rPr>
        <w:t>jiet amministrattivi kienet adottata f’Ottubru 2019 iżda d-dħul fis-seħħ tagħha huwa biss f’Jannar 2021, sena iktar tard milli mistenni f’dan l-impenn speċifiku għall-aħħar tal-2019. Fl-istess waqt qed tavvanza l-implimentazzjoni tat-tieni fażi tas-Sistema</w:t>
      </w:r>
      <w:r>
        <w:rPr>
          <w:rFonts w:ascii="Times New Roman" w:hAnsi="Times New Roman"/>
          <w:noProof/>
          <w:sz w:val="24"/>
          <w:szCs w:val="24"/>
        </w:rPr>
        <w:t xml:space="preserve"> Integrata ta’ Ġestjoni ta’ Każijiet Ġudizzjarji, impenn li skedat jispiċċa f’nofs l-2020. Il-proċedura ta’ akkwist (</w:t>
      </w:r>
      <w:r>
        <w:rPr>
          <w:rFonts w:ascii="Times New Roman" w:hAnsi="Times New Roman"/>
          <w:b/>
          <w:noProof/>
          <w:sz w:val="24"/>
          <w:szCs w:val="24"/>
        </w:rPr>
        <w:t>impenn speċifiku għal nofs l-2019</w:t>
      </w:r>
      <w:r>
        <w:rPr>
          <w:rFonts w:ascii="Times New Roman" w:hAnsi="Times New Roman"/>
          <w:noProof/>
          <w:sz w:val="24"/>
          <w:szCs w:val="24"/>
        </w:rPr>
        <w:t>), li esperjenzat dewmien, tlestiet f’Novembru 2019, u l-pubblikazzjoni tal-offerta hija ppjanata għal Diċ</w:t>
      </w:r>
      <w:r>
        <w:rPr>
          <w:rFonts w:ascii="Times New Roman" w:hAnsi="Times New Roman"/>
          <w:noProof/>
          <w:sz w:val="24"/>
          <w:szCs w:val="24"/>
        </w:rPr>
        <w:t xml:space="preserve">embru 2019, wara t-tlestija tal-proċedimenti amministrattivi li għaddejjin fil-Ministeru għall-Governanza Elettronika. L-objettiv ewlieni tar-riforma huwa li tiżdied il-kwalità u l-effiċjenza tal-ġudikatura permezz ta’ ambjent tal-IT uniformi.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Il-qafas għ</w:t>
      </w:r>
      <w:r>
        <w:rPr>
          <w:rFonts w:ascii="Times New Roman" w:hAnsi="Times New Roman"/>
          <w:b/>
          <w:bCs/>
          <w:noProof/>
          <w:sz w:val="24"/>
          <w:szCs w:val="24"/>
        </w:rPr>
        <w:t xml:space="preserve">all-medjazzjoni mandatorja se jsir effettiv dalwaqt wara li kien ġie pospost darbtejn. </w:t>
      </w:r>
      <w:r>
        <w:rPr>
          <w:rFonts w:ascii="Times New Roman" w:hAnsi="Times New Roman"/>
          <w:noProof/>
          <w:sz w:val="24"/>
          <w:szCs w:val="24"/>
        </w:rPr>
        <w:t>L-emendi jiżguraw li l-qafas għall-medjazzjoni jkun konformi mal-Kostituzzjoni Griega u mad-dritt tal-Unjoni; barra minn hekk, dawn inaqqsu l-kategoriji ta’ tilwim li hu</w:t>
      </w:r>
      <w:r>
        <w:rPr>
          <w:rFonts w:ascii="Times New Roman" w:hAnsi="Times New Roman"/>
          <w:noProof/>
          <w:sz w:val="24"/>
          <w:szCs w:val="24"/>
        </w:rPr>
        <w:t>wa soġġett għal medjazzjoni mandatorja, l-ispejjeż minimi tal-medjazzjoni u jimmodifikaw għadd ta’ aspetti proċedurali u tekniċi tal-qafas.</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L-implimentazzjoni tal-pjan ta’ azzjoni nazzjonali kontra l-korruzzjoni qed tavvanza. </w:t>
      </w:r>
      <w:r>
        <w:rPr>
          <w:rFonts w:ascii="Times New Roman" w:hAnsi="Times New Roman"/>
          <w:noProof/>
          <w:sz w:val="24"/>
          <w:szCs w:val="24"/>
        </w:rPr>
        <w:t>L-awtoritajiet iqisu li l-biċċ</w:t>
      </w:r>
      <w:r>
        <w:rPr>
          <w:rFonts w:ascii="Times New Roman" w:hAnsi="Times New Roman"/>
          <w:noProof/>
          <w:sz w:val="24"/>
          <w:szCs w:val="24"/>
        </w:rPr>
        <w:t>a l-kbira tal-100 azzjoni u iktar huma lesti, u l-oħrajn inbdew. L-implimentazzjoni sostnuta hija kruċjali. F’Awwissu 2019, l-implimentazzjoni tal-pjan, li huwa impenn speċifiku għal nofs l-2021, saret parti mill-mandat tal-Awtorità Nazzjonali tat-Traspare</w:t>
      </w:r>
      <w:r>
        <w:rPr>
          <w:rFonts w:ascii="Times New Roman" w:hAnsi="Times New Roman"/>
          <w:noProof/>
          <w:sz w:val="24"/>
          <w:szCs w:val="24"/>
        </w:rPr>
        <w:t xml:space="preserve">nza indipendenti ġdida li se tkun operazzjonali għalkollox fl-2020. L-aġenzija tiġbor għadd ta’ funzjonijiet li qabel kienu responsabbli minnhom korpi differenti, u se jkollha kapaċità istituzzjonali ikbar biex tiġġieled il-korruzzjoni. </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L-emendi leġiżlatt</w:t>
      </w:r>
      <w:r>
        <w:rPr>
          <w:rFonts w:ascii="Times New Roman" w:hAnsi="Times New Roman"/>
          <w:b/>
          <w:bCs/>
          <w:noProof/>
          <w:sz w:val="24"/>
          <w:szCs w:val="24"/>
        </w:rPr>
        <w:t xml:space="preserve">ivi adottati f’Ġunju 2019 li jnaqqsu l-istatus ta’ tixħim attiv minn reat serju għal imġiba ħażina huma ta’ tħassib. </w:t>
      </w:r>
      <w:r>
        <w:rPr>
          <w:rFonts w:ascii="Times New Roman" w:hAnsi="Times New Roman"/>
          <w:noProof/>
          <w:sz w:val="24"/>
          <w:szCs w:val="24"/>
        </w:rPr>
        <w:t>L-emendi rilevanti tal-Kodiċi Kriminali u tal-Kodiċi tal-Proċedura Kriminali ġew ikkritikati mill-Grupp ta’ Stati kontra l-Korruzzjoni u mi</w:t>
      </w:r>
      <w:r>
        <w:rPr>
          <w:rFonts w:ascii="Times New Roman" w:hAnsi="Times New Roman"/>
          <w:noProof/>
          <w:sz w:val="24"/>
          <w:szCs w:val="24"/>
        </w:rPr>
        <w:t>ll-Grupp ta’ Ħidma fuq it-Tixħim fi ħdan l-Organizzazzjoni għall-Kooperazzjoni u l-Iżvilupp Ekonomiċi. L-abbozzi tal-pożizzjonijiet ippubblikati għal konsultazzjoni pubblika f’Ottubru 2019 ma jindirizzawx dan it-tħassib għalkollox. Ir-riżultati ta’ missjon</w:t>
      </w:r>
      <w:r>
        <w:rPr>
          <w:rFonts w:ascii="Times New Roman" w:hAnsi="Times New Roman"/>
          <w:noProof/>
          <w:sz w:val="24"/>
          <w:szCs w:val="24"/>
        </w:rPr>
        <w:t>i konġunta ppjanata mill-Grupp ta’ Stati kontra l-Korruzzjoni u tal-Organizzazzjoni għall-Kooperazzjoni u l-Iżvilupp Ekonomiċi kapaċi jipprovdu gwida utli lill-awtoritajiet dwar miżuri addizzjonali xierqa, inklużi emendi legali.</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Il-Kummissjoni kompliet iss</w:t>
      </w:r>
      <w:r>
        <w:rPr>
          <w:rFonts w:ascii="Times New Roman" w:hAnsi="Times New Roman"/>
          <w:b/>
          <w:noProof/>
          <w:sz w:val="24"/>
          <w:szCs w:val="24"/>
        </w:rPr>
        <w:t>egwi l-iżviluppi fir-rigward tal-proċedimenti legali kontra l-membri tal-Kumitat ta’ Esperti tal-HRADF u l-eks President u l-persunal superjuri tal-Awtorità Griega tal-Istatistika.</w:t>
      </w:r>
      <w:r>
        <w:rPr>
          <w:rFonts w:ascii="Times New Roman" w:hAnsi="Times New Roman"/>
          <w:noProof/>
          <w:sz w:val="24"/>
          <w:szCs w:val="24"/>
        </w:rPr>
        <w:t xml:space="preserve"> Il-każ kontra l-eks President tal-Awtorità Griega tal-Istatistika A. Georgi</w:t>
      </w:r>
      <w:r>
        <w:rPr>
          <w:rFonts w:ascii="Times New Roman" w:hAnsi="Times New Roman"/>
          <w:noProof/>
          <w:sz w:val="24"/>
          <w:szCs w:val="24"/>
        </w:rPr>
        <w:t>ou fuq il-bażi ta’ akkużi miġjuba kontrih b’rabta ma’ statistiki fiskali, ġie miċħud b’mod irrevokabbli. L-appell imressaq minn Georgiou f’kawża ċivili ta’ malafama huwa skedat li jinstema’ f’Jannar 2020. Fil-każ kontra l-Kumitat ta’ Esperti kien hemm ikta</w:t>
      </w:r>
      <w:r>
        <w:rPr>
          <w:rFonts w:ascii="Times New Roman" w:hAnsi="Times New Roman"/>
          <w:noProof/>
          <w:sz w:val="24"/>
          <w:szCs w:val="24"/>
        </w:rPr>
        <w:t>r żvilupp pożittiv wara l-aħħar rapport ta’ sorveljanza msaħħa: peress li ma tressaq l-ebda appell kontra s-sentenza tal-awla tal-Qorti tal-Appell ta’ Ateni, iċ-ċaħda tal-akkużi kontra l-Kumitat ta’ Esperti hija fis-seħħ b’mod irrevokabbli.</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 xml:space="preserve">VALUTAZZJONI </w:t>
      </w:r>
      <w:r>
        <w:rPr>
          <w:rFonts w:ascii="Times New Roman Bold" w:hAnsi="Times New Roman Bold"/>
          <w:b/>
          <w:smallCaps/>
          <w:noProof/>
          <w:sz w:val="24"/>
          <w:szCs w:val="24"/>
        </w:rPr>
        <w:t>Ġ</w:t>
      </w:r>
      <w:r>
        <w:rPr>
          <w:rFonts w:ascii="Times New Roman Bold" w:hAnsi="Times New Roman Bold"/>
          <w:b/>
          <w:smallCaps/>
          <w:noProof/>
          <w:sz w:val="24"/>
          <w:szCs w:val="24"/>
        </w:rPr>
        <w:t>ENERALI TAL-PROGRESS B’IMPENJI TA’ RIFORMA</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 xml:space="preserve">L-amministrazzjoni l-ġdida bdiet bil-ħidma tagħha malajr u, minnufih wara l-ħatra, ikkonfermat l-intenzjoni tagħha li tkompli twettaq ir-riforma miftiehma fil-qafas tas-sorveljanza msaħħa. </w:t>
      </w:r>
      <w:r>
        <w:rPr>
          <w:rFonts w:ascii="Times New Roman" w:hAnsi="Times New Roman"/>
          <w:noProof/>
          <w:sz w:val="24"/>
          <w:szCs w:val="24"/>
        </w:rPr>
        <w:t>Il-gvern ikkoopera b’mo</w:t>
      </w:r>
      <w:r>
        <w:rPr>
          <w:rFonts w:ascii="Times New Roman" w:hAnsi="Times New Roman"/>
          <w:noProof/>
          <w:sz w:val="24"/>
          <w:szCs w:val="24"/>
        </w:rPr>
        <w:t xml:space="preserve">d pożittiv u kostruttiv mal-istituzzjonijiet Ewropej, u fil-livelli kollha huwa mifrux grad għoli ta’ trasparenza u rieda ta’ involviment. Il-gvern ħa passi importanti biex itejjeb il-koordinazzjoni tal-politika ekonomika, li se tkun strumentali biex tiġi </w:t>
      </w:r>
      <w:r>
        <w:rPr>
          <w:rFonts w:ascii="Times New Roman" w:hAnsi="Times New Roman"/>
          <w:noProof/>
          <w:sz w:val="24"/>
          <w:szCs w:val="24"/>
        </w:rPr>
        <w:t>żgurata l-konklużjoni fil-ħin tal-impenji speċifiċi tal-Greċja.</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Ir-riformi emblematiċi li ġew adottati s’issa mill-amministrazzjoni l-ġdida u n-narrattiva ġenerali tagħha li tiffavorixxi t-tkabbir intlaqgħu tajjeb mis-swieq.</w:t>
      </w:r>
      <w:r>
        <w:rPr>
          <w:rFonts w:ascii="Times New Roman" w:hAnsi="Times New Roman"/>
          <w:noProof/>
          <w:sz w:val="24"/>
          <w:szCs w:val="24"/>
        </w:rPr>
        <w:t xml:space="preserve"> Ir-rendimenti tal-bonds Griegi </w:t>
      </w:r>
      <w:r>
        <w:rPr>
          <w:rFonts w:ascii="Times New Roman" w:hAnsi="Times New Roman"/>
          <w:noProof/>
          <w:sz w:val="24"/>
          <w:szCs w:val="24"/>
        </w:rPr>
        <w:t>niżlu għall-inqas livell li qatt kienu (il-flus fiduċjarji ta’ tliet xhur għandhom rata negattiva), bla ħsara għall-iżviluppi li b’mod ġenerali huma favorevoli fis-swieq tal-bonds sovrani Ewropej, il-kontrolli fuq il-kapital spiċċaw qabel kien mistenni u s</w:t>
      </w:r>
      <w:r>
        <w:rPr>
          <w:rFonts w:ascii="Times New Roman" w:hAnsi="Times New Roman"/>
          <w:noProof/>
          <w:sz w:val="24"/>
          <w:szCs w:val="24"/>
        </w:rPr>
        <w:t>-sentiment ekonomiku laħaq il-livell ta’ qabel il-kriżi. L-irkupru ekonomiku li għaddej qed ikompli jnaqqas ir-rata tal-qgħad għolja u t-tkabbir mistenni jissaħħaħ fl-2020 bis-saħħa tat-tnaqqis imħabbar tat-taxxi fuq ix-xogħol u l-kapital. Il-prospetti eko</w:t>
      </w:r>
      <w:r>
        <w:rPr>
          <w:rFonts w:ascii="Times New Roman" w:hAnsi="Times New Roman"/>
          <w:noProof/>
          <w:sz w:val="24"/>
          <w:szCs w:val="24"/>
        </w:rPr>
        <w:t>nomiċi mtejba bdew jiġu riflessi fil-klassifikazzjoni sovrana tal-Greċja, u huwa kruċjali li l-amministrazzjoni l-ġdida tibqa’ ffokata peress li se tkun taħt l-iskrutinju tal-investituri għal żmien pjuttost twil fi żminijiet ta’ tnaqqis ekonomiku fost is-s</w:t>
      </w:r>
      <w:r>
        <w:rPr>
          <w:rFonts w:ascii="Times New Roman" w:hAnsi="Times New Roman"/>
          <w:noProof/>
          <w:sz w:val="24"/>
          <w:szCs w:val="24"/>
        </w:rPr>
        <w:t>ħab kummerċjali tal-Greċja.</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Il-gvern ippreżenta Abbozz ta’ Pjan Baġitarju li jikkonforma mal-miri fiskali miftiehma u li josserva r-rekwiżiti kollha tal-Patt ta’ Stabbiltà u Tkabbir fl-2020, u fih ħabbar riforma fiskali ewlenija għall-2020.</w:t>
      </w:r>
      <w:r>
        <w:rPr>
          <w:rFonts w:ascii="Times New Roman" w:hAnsi="Times New Roman"/>
          <w:noProof/>
          <w:sz w:val="24"/>
          <w:szCs w:val="24"/>
        </w:rPr>
        <w:t xml:space="preserve"> L-amministrazzj</w:t>
      </w:r>
      <w:r>
        <w:rPr>
          <w:rFonts w:ascii="Times New Roman" w:hAnsi="Times New Roman"/>
          <w:noProof/>
          <w:sz w:val="24"/>
          <w:szCs w:val="24"/>
        </w:rPr>
        <w:t>oni l-ġdida għamlet tajjeb għall-impatt fiskali tal-miżuri adottati f’Mejju 2019 billi rrevediet ’l isfel il-limiti massimi tal-infiq għal livelli iktar realistiċi, waqt li dħul addizzjonali mit-taxxa pprovda spazju fiskali addizzjonali. Barra minn hekk, i</w:t>
      </w:r>
      <w:r>
        <w:rPr>
          <w:rFonts w:ascii="Times New Roman" w:hAnsi="Times New Roman"/>
          <w:noProof/>
          <w:sz w:val="24"/>
          <w:szCs w:val="24"/>
        </w:rPr>
        <w:t>l-gvern fassal pakkett ta’ miżuri li jiffavorixxu t-tkabbir għall-2020, li jmexxu t-taxxa mill-kapital u mix-xogħol lejn taxxi li joħolqu inqas distorsjoni, bħat-taxxa fuq il-valur miżjud jew it-taxxa fuq il-proprjetà, u jżidu l-infiq soċjali fuq familji b</w:t>
      </w:r>
      <w:r>
        <w:rPr>
          <w:rFonts w:ascii="Times New Roman" w:hAnsi="Times New Roman"/>
          <w:noProof/>
          <w:sz w:val="24"/>
          <w:szCs w:val="24"/>
        </w:rPr>
        <w:t>it-tfal. Is-sensiela ta’ miżuri se jiġu implimentati b’mod li jkunu newtrali għall-bilanċ, u se jtejbu l-kwalità tal-finanzi pubbliċi u jagħtu spinta lit-tkabbir fl-2020. L-istituzzjonijiet Ewropej qed ibassru li l-miri miftiehma ta’ surplus primarju ta’ 3</w:t>
      </w:r>
      <w:r>
        <w:rPr>
          <w:rFonts w:ascii="Times New Roman" w:hAnsi="Times New Roman"/>
          <w:noProof/>
          <w:sz w:val="24"/>
          <w:szCs w:val="24"/>
        </w:rPr>
        <w:t>,5 % tal-PDG se jinqabżu fl-2019 u jintlaħqu fl-2020; dan huwa ekwivalenti għas-surplus tal-amministrazzjoni pubblika ta’ 1,3 % tal-PDG fl-2019 u 1,0 % tal-PDG fl-2020.</w:t>
      </w:r>
    </w:p>
    <w:p w:rsidR="00DD6B74" w:rsidRDefault="00557887">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szCs w:val="24"/>
        </w:rPr>
        <w:t>Saru riformi importanti imma se jkun kruċjali li l-momentum jiġi sostnut biex ikun hemm</w:t>
      </w:r>
      <w:r>
        <w:rPr>
          <w:rFonts w:ascii="Times New Roman" w:hAnsi="Times New Roman"/>
          <w:b/>
          <w:noProof/>
          <w:sz w:val="24"/>
          <w:szCs w:val="24"/>
        </w:rPr>
        <w:t xml:space="preserve"> riżultati fir-rigward ta’ għadd ta’ pjanijiet ta’ azzjoni ambizzjużi.</w:t>
      </w:r>
      <w:r>
        <w:rPr>
          <w:rFonts w:ascii="Times New Roman" w:hAnsi="Times New Roman"/>
          <w:noProof/>
          <w:sz w:val="24"/>
          <w:szCs w:val="24"/>
        </w:rPr>
        <w:t xml:space="preserve"> L-oqsma prinċipali privatizzazzjoni, kundizzjonijiet qafas għan-negozji u governanza elettronika raw momentum pożittiv, waqt li ġew adottati inizjattivi ġodda għal qafas effettiv għan-n</w:t>
      </w:r>
      <w:r>
        <w:rPr>
          <w:rFonts w:ascii="Times New Roman" w:hAnsi="Times New Roman"/>
          <w:noProof/>
          <w:sz w:val="24"/>
          <w:szCs w:val="24"/>
        </w:rPr>
        <w:t>egozjar kollettiv jew qed jiġu żviluppati għat-tisħiħ tas-settur bankarju. F’dan il-kuntest, l-awtoritajiet marru ferm oltre mill-impenji speċifiċi li saru fil-konfront tal-Grupp tal-Euro. Ir-riformi importanti fl-oqsma tal-użu tal-art, tat-taxxa fuq il-pr</w:t>
      </w:r>
      <w:r>
        <w:rPr>
          <w:rFonts w:ascii="Times New Roman" w:hAnsi="Times New Roman"/>
          <w:noProof/>
          <w:sz w:val="24"/>
          <w:szCs w:val="24"/>
        </w:rPr>
        <w:t>oprjetà u tal-awtorità tat-taxxa qed jimxu ’l quddiem. L-awtoritajiet żviluppaw pjanijiet ta’ riforma b’saħħithom biex jirrimedjaw għad-dewmien li wirtu u li affettwa għadd ta’ impenji li ttieħdu fil-konfront tas-sħab Ewropej, partikolarment fir-rigward ta</w:t>
      </w:r>
      <w:r>
        <w:rPr>
          <w:rFonts w:ascii="Times New Roman" w:hAnsi="Times New Roman"/>
          <w:noProof/>
          <w:sz w:val="24"/>
          <w:szCs w:val="24"/>
        </w:rPr>
        <w:t>s-saldu tal-arretrati, tar-riforma tal-amministrazzjoni pubblika, kif ukoll tar-riformi fis-suq tal-enerġija. Fejn xieraq, dawn il-pjanijiet jinkludu miżuri alternattivi jew komplimentari ta’ mertu ekwivalenti għall-impenji li saru fil-konfront tal-Grupp t</w:t>
      </w:r>
      <w:r>
        <w:rPr>
          <w:rFonts w:ascii="Times New Roman" w:hAnsi="Times New Roman"/>
          <w:noProof/>
          <w:sz w:val="24"/>
          <w:szCs w:val="24"/>
        </w:rPr>
        <w:t>al-Euro. Bħalissa l-awtoritajiet qegħdin jirkupraw id-distakk fir-rigward tar-riformi fis-settur finanzjarju, imma l-pjanijiet għadhom iridu jiġu kkonkretizzati iktar. L-implimentazzjoni sostnuta ta’ dawn ir-riformi se tiġi ssorveljata mill-qrib fir-rappor</w:t>
      </w:r>
      <w:r>
        <w:rPr>
          <w:rFonts w:ascii="Times New Roman" w:hAnsi="Times New Roman"/>
          <w:noProof/>
          <w:sz w:val="24"/>
          <w:szCs w:val="24"/>
        </w:rPr>
        <w:t xml:space="preserve">ti ta’ sorveljanza msaħħa li jsegwu sabiex jiġi żgurat li l-impenji speċifiċi ta’ Ġunju 2018 fil-konfront tal-Grupp tal-Euro jibqgħu effettivi. </w:t>
      </w:r>
    </w:p>
    <w:p w:rsidR="00DD6B74" w:rsidRDefault="00557887">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sz w:val="24"/>
          <w:szCs w:val="24"/>
        </w:rPr>
        <w:t>Il-Greċja ħadet il-miżuri meħtieġa biex tikseb l-impenji ta’ riforma speċifiċi li kellhom ikunu lesti f’nofs l-</w:t>
      </w:r>
      <w:r>
        <w:rPr>
          <w:rFonts w:ascii="Times New Roman" w:hAnsi="Times New Roman"/>
          <w:b/>
          <w:noProof/>
          <w:sz w:val="24"/>
          <w:szCs w:val="24"/>
        </w:rPr>
        <w:t>2019. Miżuri addizzjonali se jkunu ta’ importanza kruċjali biex jiġu kkompletati r-riformi u, fejn neċessarju, jitħaffef il-pass tagħhom. Din il-valutazzjoni tqis l-isforzi tal-amministrazzjoni l-ġdida f’dawn l-aħħar xhur biex timplimenta l-impenji, fil-ku</w:t>
      </w:r>
      <w:r>
        <w:rPr>
          <w:rFonts w:ascii="Times New Roman" w:hAnsi="Times New Roman"/>
          <w:b/>
          <w:noProof/>
          <w:sz w:val="24"/>
          <w:szCs w:val="24"/>
        </w:rPr>
        <w:t>ntest tal-progress ta’ aġenda ta’ riforma aktar wiesgħa, u r-rieda tagħha li tħejjijhom b’kooperazzjoni mill-qrib mal-istituzzjonijiet.</w:t>
      </w:r>
    </w:p>
    <w:p w:rsidR="00DD6B74" w:rsidRDefault="00557887">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24"/>
        </w:rPr>
      </w:pPr>
      <w:r>
        <w:rPr>
          <w:rFonts w:ascii="Times New Roman Bold" w:hAnsi="Times New Roman Bold"/>
          <w:b/>
          <w:smallCaps/>
          <w:noProof/>
          <w:sz w:val="24"/>
          <w:szCs w:val="24"/>
        </w:rPr>
        <w:t>FINANZJAMENT SOVRAN</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Wara l-inkoraġġiment tat-tnaqqis sinifikanti fir-rendimenti tal-bonds, il-Greċja kompliet tibni l-pr</w:t>
      </w:r>
      <w:r>
        <w:rPr>
          <w:rFonts w:ascii="Times New Roman" w:hAnsi="Times New Roman"/>
          <w:b/>
          <w:bCs/>
          <w:noProof/>
          <w:sz w:val="24"/>
          <w:szCs w:val="24"/>
        </w:rPr>
        <w:t xml:space="preserve">eżenza tagħha fuq is-suq tal-bonds tal-gvern billi ħarġet bonds f’Lulju u fetħet mill-ġdid il-kotba ta’ ħruġ preċedenti f’Ottubru. </w:t>
      </w:r>
      <w:r>
        <w:rPr>
          <w:rFonts w:ascii="Times New Roman" w:hAnsi="Times New Roman"/>
          <w:noProof/>
          <w:sz w:val="24"/>
          <w:szCs w:val="24"/>
        </w:rPr>
        <w:t xml:space="preserve">F’Lulju ta’ din is-sena, l-Aġenzija għall-Ġestjoni tad-Dejn Pubbliku sfruttat is-suq għat-tielet darba bil-ħruġ ta’ bond ta’ </w:t>
      </w:r>
      <w:r>
        <w:rPr>
          <w:rFonts w:ascii="Times New Roman" w:hAnsi="Times New Roman"/>
          <w:noProof/>
          <w:sz w:val="24"/>
          <w:szCs w:val="24"/>
        </w:rPr>
        <w:t>seba’ snin b’rendiment offrut mill-ġdid ta’ 1,9 %. Rendiment ieħor b’rata baxxa rekord ta’ 1,5 % nkiseb f’Ottubru b’bond ta’ 10 snin. Il-firxiet ta’ rendimenti tal-Greċja fil-konfront tal-Bund Ġermaniż komplew jimmoderaw u f’Settembru 2019 laħqu 1,9 punt p</w:t>
      </w:r>
      <w:r>
        <w:rPr>
          <w:rFonts w:ascii="Times New Roman" w:hAnsi="Times New Roman"/>
          <w:noProof/>
          <w:sz w:val="24"/>
          <w:szCs w:val="24"/>
        </w:rPr>
        <w:t>erċentwali għal pussess ta’ 10 snin, ’l isfel minn 3,5 punti perċentwali sena ilu. Is-sitwazzjoni finanzjarja li qed titjieb bdiet tiġi riflessa fil-klassifikazzjoni sovrana tal-Greċja. Il-bafer tal-likwidità ma ntużax f’dan il-perjodu tar-rapportar. Ir-ri</w:t>
      </w:r>
      <w:r>
        <w:rPr>
          <w:rFonts w:ascii="Times New Roman" w:hAnsi="Times New Roman"/>
          <w:noProof/>
          <w:sz w:val="24"/>
          <w:szCs w:val="24"/>
        </w:rPr>
        <w:t>żervi tal-kontanti tal-Istat, li jinkludu dan il-bafer tal-likwidità ta’ EUR 15,7 biljun u riżervi oħra, fl-aħħar ta’ Settembru 2019 baqgħu fil-livell għoli ta’ EUR 20,3 biljun. Ir-riżervi disponibbli huma biżżejjed biex ikopru l-bżonnijiet ta’ finanzjamen</w:t>
      </w:r>
      <w:r>
        <w:rPr>
          <w:rFonts w:ascii="Times New Roman" w:hAnsi="Times New Roman"/>
          <w:noProof/>
          <w:sz w:val="24"/>
          <w:szCs w:val="24"/>
        </w:rPr>
        <w:t>t sovran għal iktar minn sentejn.</w:t>
      </w:r>
    </w:p>
    <w:p w:rsidR="00DD6B74" w:rsidRDefault="00557887">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szCs w:val="24"/>
        </w:rPr>
        <w:t xml:space="preserve">Ir-rimborż parzjalment bikri tas-self mogħti mill-Fond Monetarju Internazzjonali, li mistenni jseħħ sal-aħħar ta’ Novembru, għandu jintlaqa’ tajjeb u jikkostitwixxi sinjal pożittiv importanti. </w:t>
      </w:r>
      <w:r>
        <w:rPr>
          <w:rFonts w:ascii="Times New Roman" w:hAnsi="Times New Roman"/>
          <w:noProof/>
          <w:sz w:val="24"/>
          <w:szCs w:val="24"/>
        </w:rPr>
        <w:t>Wara t-tlestija tal-proċeduri</w:t>
      </w:r>
      <w:r>
        <w:rPr>
          <w:rFonts w:ascii="Times New Roman" w:hAnsi="Times New Roman"/>
          <w:noProof/>
          <w:sz w:val="24"/>
          <w:szCs w:val="24"/>
        </w:rPr>
        <w:t xml:space="preserve"> nazzjonali, il-korpi governattivi tal-Mekkaniżmu Ewropew ta’ Stabbiltà u tal-Faċilità Ewropea ta’ Stabbiltà Finanzjarja fit-28 ta’ Ottubru rrinunzjaw għad-dritt tagħhom ta’ rimborż proporzjonali. It-tranżazzjoni se tiġi ffinanzjata permezz ta’ fondi miġbu</w:t>
      </w:r>
      <w:r>
        <w:rPr>
          <w:rFonts w:ascii="Times New Roman" w:hAnsi="Times New Roman"/>
          <w:noProof/>
          <w:sz w:val="24"/>
          <w:szCs w:val="24"/>
        </w:rPr>
        <w:t>ra iktar kmieni din is-sena u mistennija jkollha impatt pożittiv imma limitat fuq is-sostenibbiltà tad-dejn, peress li l-maġġoranza tal-ammonti dovuti jridu jitħallsu sal-aħħar tal-2020. Madankollu, dan huwa pass li merħba bih peress li jgħin fit-tnaqqis t</w:t>
      </w:r>
      <w:r>
        <w:rPr>
          <w:rFonts w:ascii="Times New Roman" w:hAnsi="Times New Roman"/>
          <w:noProof/>
          <w:sz w:val="24"/>
          <w:szCs w:val="24"/>
        </w:rPr>
        <w:t>ar-riskju tal-kambju, jiġġenera t-tfaddil u jibgħat sinjali tajbin lis-swieq.</w:t>
      </w:r>
    </w:p>
    <w:p w:rsidR="00DD6B74" w:rsidRPr="00557887" w:rsidRDefault="00557887">
      <w:pPr>
        <w:rPr>
          <w:noProof/>
          <w:sz w:val="24"/>
          <w:szCs w:val="24"/>
        </w:rPr>
      </w:pPr>
      <w:r>
        <w:rPr>
          <w:rFonts w:ascii="Times New Roman" w:hAnsi="Times New Roman"/>
          <w:b/>
          <w:bCs/>
          <w:noProof/>
          <w:sz w:val="24"/>
          <w:szCs w:val="24"/>
        </w:rPr>
        <w:t>Sar aġġornament tal-analiżi tas-sostenibbiltà tad-dejn.</w:t>
      </w:r>
      <w:r>
        <w:rPr>
          <w:rFonts w:ascii="Times New Roman" w:hAnsi="Times New Roman"/>
          <w:noProof/>
          <w:sz w:val="24"/>
          <w:szCs w:val="24"/>
        </w:rPr>
        <w:t xml:space="preserve"> Ix-xenarju bażi juri li d-dejn qed ikompli jonqos, imma sal-2041 se jibqa’ fuq il-100 % tal-PDG. Sal-2032 il-ħtiġijiet fin</w:t>
      </w:r>
      <w:r>
        <w:rPr>
          <w:rFonts w:ascii="Times New Roman" w:hAnsi="Times New Roman"/>
          <w:noProof/>
          <w:sz w:val="24"/>
          <w:szCs w:val="24"/>
        </w:rPr>
        <w:t>anzjarji grossi tal-Greċja se jkunu madwar 10 % tal-PDG u se jammontaw għal madwar 14 % tal-PDG fi tmiem il-perjodu ta’ tbassir.</w:t>
      </w:r>
    </w:p>
    <w:sectPr w:rsidR="00DD6B74" w:rsidRPr="0055788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74" w:rsidRDefault="00557887">
      <w:pPr>
        <w:spacing w:after="0" w:line="240" w:lineRule="auto"/>
      </w:pPr>
      <w:r>
        <w:separator/>
      </w:r>
    </w:p>
  </w:endnote>
  <w:endnote w:type="continuationSeparator" w:id="0">
    <w:p w:rsidR="00DD6B74" w:rsidRDefault="0055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FooterCoverPage"/>
      <w:rPr>
        <w:rFonts w:ascii="Arial" w:hAnsi="Arial" w:cs="Arial"/>
        <w:b/>
        <w:sz w:val="48"/>
      </w:rPr>
    </w:pPr>
    <w:r w:rsidRPr="00557887">
      <w:rPr>
        <w:rFonts w:ascii="Arial" w:hAnsi="Arial" w:cs="Arial"/>
        <w:b/>
        <w:sz w:val="48"/>
      </w:rPr>
      <w:t>MT</w:t>
    </w:r>
    <w:r w:rsidRPr="00557887">
      <w:rPr>
        <w:rFonts w:ascii="Arial" w:hAnsi="Arial" w:cs="Arial"/>
        <w:b/>
        <w:sz w:val="48"/>
      </w:rPr>
      <w:tab/>
    </w:r>
    <w:r w:rsidRPr="00557887">
      <w:rPr>
        <w:rFonts w:ascii="Arial" w:hAnsi="Arial" w:cs="Arial"/>
        <w:b/>
        <w:sz w:val="48"/>
      </w:rPr>
      <w:tab/>
    </w:r>
    <w:r w:rsidRPr="00557887">
      <w:tab/>
    </w:r>
    <w:r w:rsidRPr="00557887">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74" w:rsidRDefault="00DD6B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6923"/>
      <w:docPartObj>
        <w:docPartGallery w:val="Page Numbers (Bottom of Page)"/>
        <w:docPartUnique/>
      </w:docPartObj>
    </w:sdtPr>
    <w:sdtEndPr>
      <w:rPr>
        <w:noProof/>
      </w:rPr>
    </w:sdtEndPr>
    <w:sdtContent>
      <w:p w:rsidR="00DD6B74" w:rsidRDefault="00557887">
        <w:pPr>
          <w:pStyle w:val="Footer"/>
          <w:jc w:val="center"/>
        </w:pPr>
        <w:r>
          <w:fldChar w:fldCharType="begin"/>
        </w:r>
        <w:r>
          <w:instrText xml:space="preserve"> PAGE   \* MERGEFORMAT </w:instrText>
        </w:r>
        <w:r>
          <w:fldChar w:fldCharType="separate"/>
        </w:r>
        <w:r>
          <w:rPr>
            <w:noProof/>
          </w:rPr>
          <w:t>1</w:t>
        </w:r>
        <w:r>
          <w:fldChar w:fldCharType="end"/>
        </w:r>
      </w:p>
    </w:sdtContent>
  </w:sdt>
  <w:p w:rsidR="00DD6B74" w:rsidRDefault="00DD6B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74" w:rsidRDefault="00DD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74" w:rsidRDefault="00557887">
      <w:pPr>
        <w:spacing w:after="0" w:line="240" w:lineRule="auto"/>
      </w:pPr>
      <w:r>
        <w:separator/>
      </w:r>
    </w:p>
  </w:footnote>
  <w:footnote w:type="continuationSeparator" w:id="0">
    <w:p w:rsidR="00DD6B74" w:rsidRDefault="00557887">
      <w:pPr>
        <w:spacing w:after="0" w:line="240" w:lineRule="auto"/>
      </w:pPr>
      <w:r>
        <w:continuationSeparator/>
      </w:r>
    </w:p>
  </w:footnote>
  <w:footnote w:id="1">
    <w:p w:rsidR="00DD6B74" w:rsidRDefault="00557887">
      <w:pPr>
        <w:pStyle w:val="FootnoteText"/>
        <w:rPr>
          <w:sz w:val="20"/>
        </w:rPr>
      </w:pPr>
      <w:r>
        <w:rPr>
          <w:sz w:val="20"/>
        </w:rPr>
        <w:t>(</w:t>
      </w:r>
      <w:r>
        <w:rPr>
          <w:rStyle w:val="FootnoteReference"/>
          <w:sz w:val="20"/>
        </w:rPr>
        <w:footnoteRef/>
      </w:r>
      <w:r>
        <w:rPr>
          <w:sz w:val="20"/>
        </w:rPr>
        <w:t>)</w:t>
      </w:r>
      <w:r>
        <w:rPr>
          <w:sz w:val="20"/>
        </w:rPr>
        <w:tab/>
        <w:t xml:space="preserve">Regolament (UE) Nru 472/2013 tal-Parlament Ewropew u tal-Kunsill tal-21 ta’ Mejju </w:t>
      </w:r>
      <w:r>
        <w:rPr>
          <w:sz w:val="20"/>
        </w:rPr>
        <w:t>2013 dwar it-tisħiħ tas-sorveljanza ekonomika u baġitarja tal-Istati Membri fiż-żona tal-euro li jesperjenzaw jew ikunu mhedda b’diffikultajiet gravi fir-rigward tal-istabbiltà finanzjarja tagħhom, ĠU L 140, 27.5.2013, p. 1.</w:t>
      </w:r>
    </w:p>
  </w:footnote>
  <w:footnote w:id="2">
    <w:p w:rsidR="00DD6B74" w:rsidRDefault="00557887">
      <w:pPr>
        <w:pStyle w:val="FootnoteText"/>
        <w:rPr>
          <w:sz w:val="20"/>
        </w:rPr>
      </w:pPr>
      <w:r>
        <w:rPr>
          <w:sz w:val="20"/>
        </w:rPr>
        <w:t>(</w:t>
      </w:r>
      <w:r>
        <w:rPr>
          <w:rStyle w:val="FootnoteReference"/>
          <w:sz w:val="20"/>
        </w:rPr>
        <w:footnoteRef/>
      </w:r>
      <w:r>
        <w:rPr>
          <w:sz w:val="20"/>
        </w:rPr>
        <w:t>)</w:t>
      </w:r>
      <w:r>
        <w:rPr>
          <w:sz w:val="20"/>
        </w:rPr>
        <w:tab/>
        <w:t>Deċiżjoni ta’ Implimentazzj</w:t>
      </w:r>
      <w:r>
        <w:rPr>
          <w:sz w:val="20"/>
        </w:rPr>
        <w:t>oni tal-Kummissjoni (UE) 2018/1192 tal-11 ta’ Lulju 2018 dwar l-attivazzjoni ta’ sorveljanza msaħħa għall-Greċja, (ĠU L 211, 22.8.2018, p. 1), Deċiżjoni ta’ Implimentazzjoni tal-Kummissjoni (UE) 2019/338 tal-20 ta’ Frar 2019 dwar l-estensjoni tas-sorveljan</w:t>
      </w:r>
      <w:r>
        <w:rPr>
          <w:sz w:val="20"/>
        </w:rPr>
        <w:t>za msaħħa għall-Greċja (ĠU L 60, 20.2.2019, p. 17), Deċiżjoni ta’ Implimentazzjoni tal-Kummissjoni (UE) 2019/1287 tas-26 ta’ Lulju 2019 dwar l-estensjoni tas-sorveljanza msaħħa għall-Greċja, (ĠU L 202, 31.7.2019, p. 110.)</w:t>
      </w:r>
    </w:p>
  </w:footnote>
  <w:footnote w:id="3">
    <w:p w:rsidR="00DD6B74" w:rsidRDefault="00557887">
      <w:pPr>
        <w:pStyle w:val="FootnoteText"/>
        <w:rPr>
          <w:sz w:val="20"/>
        </w:rPr>
      </w:pPr>
      <w:r>
        <w:rPr>
          <w:sz w:val="20"/>
        </w:rPr>
        <w:t>(</w:t>
      </w:r>
      <w:r>
        <w:rPr>
          <w:rStyle w:val="FootnoteReference"/>
          <w:sz w:val="20"/>
        </w:rPr>
        <w:footnoteRef/>
      </w:r>
      <w:r>
        <w:rPr>
          <w:sz w:val="20"/>
        </w:rPr>
        <w:t>)</w:t>
      </w:r>
      <w:r>
        <w:rPr>
          <w:sz w:val="20"/>
        </w:rPr>
        <w:tab/>
      </w:r>
      <w:hyperlink r:id="rId1" w:history="1">
        <w:r>
          <w:rPr>
            <w:rStyle w:val="Hyperlink"/>
            <w:sz w:val="20"/>
          </w:rPr>
          <w:t>https://www.consilium.europa.eu/media/35749/z-council</w:t>
        </w:r>
        <w:r>
          <w:rPr>
            <w:rStyle w:val="Hyperlink"/>
            <w:sz w:val="20"/>
          </w:rPr>
          <w:t>s-council-configurations-ecofin-eurogroup-2018-180621-specific-commitments-to-ensure-the-continuity-and-completion-of-reforms-adopted-under-the-esm-programme_2.pdf</w:t>
        </w:r>
      </w:hyperlink>
      <w:r>
        <w:rPr>
          <w:rStyle w:val="Hyperlink"/>
          <w:sz w:val="20"/>
        </w:rPr>
        <w:t>.</w:t>
      </w:r>
    </w:p>
  </w:footnote>
  <w:footnote w:id="4">
    <w:p w:rsidR="00DD6B74" w:rsidRDefault="00557887">
      <w:pPr>
        <w:pStyle w:val="FootnoteText"/>
      </w:pPr>
      <w:r>
        <w:rPr>
          <w:sz w:val="20"/>
        </w:rPr>
        <w:t>(</w:t>
      </w:r>
      <w:r>
        <w:rPr>
          <w:rStyle w:val="FootnoteReference"/>
          <w:sz w:val="20"/>
        </w:rPr>
        <w:footnoteRef/>
      </w:r>
      <w:r>
        <w:rPr>
          <w:sz w:val="20"/>
        </w:rPr>
        <w:t>)</w:t>
      </w:r>
      <w:r>
        <w:rPr>
          <w:sz w:val="20"/>
        </w:rPr>
        <w:tab/>
        <w:t>Il-persunal tal-BĊE pparteċipa fil-missjoni ta’ rieżami skont il-kompetenzi tal-BĊE u b</w:t>
      </w:r>
      <w:r>
        <w:rPr>
          <w:sz w:val="20"/>
        </w:rPr>
        <w:t>’hekk ipprovda għarfien espert dwar il-politiki tas-settur finanzjarju u l-kwistjonijiet makrokritiċi, bħall-miri fiskali ewlenin u s-sostenibbiltà u l-ħtiġijiet tal-finanzjament. Qabel il-missjoni ta’ rieżami kien hemm missjoni teknika mis-16 sal-20 ta’ S</w:t>
      </w:r>
      <w:r>
        <w:rPr>
          <w:sz w:val="20"/>
        </w:rPr>
        <w:t>ettembru.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87" w:rsidRPr="00557887" w:rsidRDefault="00557887" w:rsidP="0055788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74" w:rsidRDefault="00DD6B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74" w:rsidRDefault="00DD6B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74" w:rsidRDefault="00DD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632"/>
    <w:multiLevelType w:val="hybridMultilevel"/>
    <w:tmpl w:val="52D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5A78"/>
    <w:multiLevelType w:val="hybridMultilevel"/>
    <w:tmpl w:val="06D2034E"/>
    <w:lvl w:ilvl="0" w:tplc="EE969E30">
      <w:start w:val="1"/>
      <w:numFmt w:val="decimal"/>
      <w:pStyle w:val="Heading1"/>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589B"/>
    <w:multiLevelType w:val="multilevel"/>
    <w:tmpl w:val="F02C72C2"/>
    <w:lvl w:ilvl="0">
      <w:start w:val="1"/>
      <w:numFmt w:val="decimal"/>
      <w:lvlRestart w:val="0"/>
      <w:lvlText w:val="8.%1."/>
      <w:lvlJc w:val="left"/>
      <w:pPr>
        <w:tabs>
          <w:tab w:val="num" w:pos="567"/>
        </w:tabs>
        <w:ind w:left="567" w:hanging="567"/>
      </w:pPr>
    </w:lvl>
    <w:lvl w:ilvl="1">
      <w:start w:val="1"/>
      <w:numFmt w:val="decimal"/>
      <w:lvlText w:val="8.%1.%2."/>
      <w:lvlJc w:val="left"/>
      <w:pPr>
        <w:tabs>
          <w:tab w:val="num" w:pos="567"/>
        </w:tabs>
        <w:ind w:left="567" w:hanging="567"/>
      </w:pPr>
    </w:lvl>
    <w:lvl w:ilvl="2">
      <w:start w:val="1"/>
      <w:numFmt w:val="decimal"/>
      <w:lvlText w:val="1.%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B36AF"/>
    <w:multiLevelType w:val="singleLevel"/>
    <w:tmpl w:val="96445E22"/>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4" w15:restartNumberingAfterBreak="0">
    <w:nsid w:val="3A841349"/>
    <w:multiLevelType w:val="hybridMultilevel"/>
    <w:tmpl w:val="ED1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12AF8"/>
    <w:multiLevelType w:val="hybridMultilevel"/>
    <w:tmpl w:val="F09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A6A0F"/>
    <w:multiLevelType w:val="hybridMultilevel"/>
    <w:tmpl w:val="38F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C1A39"/>
    <w:multiLevelType w:val="hybridMultilevel"/>
    <w:tmpl w:val="6F76726A"/>
    <w:lvl w:ilvl="0" w:tplc="126C25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E5D09"/>
    <w:multiLevelType w:val="hybridMultilevel"/>
    <w:tmpl w:val="CFDA60E2"/>
    <w:lvl w:ilvl="0" w:tplc="B880AA32">
      <w:start w:val="1"/>
      <w:numFmt w:val="decimal"/>
      <w:pStyle w:val="StyleHeading1NotBold"/>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2180D"/>
    <w:multiLevelType w:val="hybridMultilevel"/>
    <w:tmpl w:val="C6D8E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the COM (2019) 930 final of 20.11.2019_x000b_Level of sensibility removed from the cover page_x000b_The text should read as follows:_x000b_"/>
    <w:docVar w:name="LW_COVERPAGE_EXISTS" w:val="True"/>
    <w:docVar w:name="LW_COVERPAGE_GUID" w:val="83E5B437-E224-49C7-A9B6-393BE724A249"/>
    <w:docVar w:name="LW_COVERPAGE_TYPE" w:val="1"/>
    <w:docVar w:name="LW_CROSSREFERENCE" w:val="{SWD(2019) 930 final}"/>
    <w:docVar w:name="LW_DocType" w:val="NORMAL"/>
    <w:docVar w:name="LW_EMISSION" w:val="29.11.2019"/>
    <w:docVar w:name="LW_EMISSION_ISODATE" w:val="2019-11-29"/>
    <w:docVar w:name="LW_EMISSION_LOCATION" w:val="BRX"/>
    <w:docVar w:name="LW_EMISSION_PREFIX" w:val="Brussell,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2"/>
    <w:docVar w:name="LW_REF.INST.NEW_TEXT" w:val="(2019) 9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rveljanza Msa\u295?\u295?a \u8211? Gre\u267?ja, Novembru 2019"/>
    <w:docVar w:name="LW_TYPE.DOC.CP" w:val="KOMUNIKAZZJONI TAL-KUMMISSJONI"/>
    <w:docVar w:name="LW_TYPE.DOC.CP.USERTEXT" w:val="&lt;EMPTY&gt;"/>
  </w:docVars>
  <w:rsids>
    <w:rsidRoot w:val="00DD6B74"/>
    <w:rsid w:val="00557887"/>
    <w:rsid w:val="00DD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BB1B6A3-4192-478C-AB77-8F15CE97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9"/>
      </w:numPr>
      <w:spacing w:before="240" w:after="0" w:line="240" w:lineRule="atLeast"/>
      <w:ind w:left="714" w:hanging="357"/>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sz w:val="24"/>
      <w:szCs w:val="32"/>
    </w:rPr>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qFormat/>
    <w:pPr>
      <w:spacing w:after="0" w:line="240" w:lineRule="auto"/>
      <w:ind w:left="283" w:hanging="283"/>
      <w:jc w:val="both"/>
    </w:pPr>
    <w:rPr>
      <w:rFonts w:ascii="Times New Roman" w:eastAsia="Times New Roman" w:hAnsi="Times New Roman" w:cs="Times New Roman"/>
      <w:color w:val="000000"/>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qFormat/>
    <w:rPr>
      <w:rFonts w:ascii="Times New Roman" w:eastAsia="Times New Roman" w:hAnsi="Times New Roman" w:cs="Times New Roman"/>
      <w:color w:val="000000"/>
      <w:sz w:val="16"/>
      <w:szCs w:val="20"/>
    </w:rPr>
  </w:style>
  <w:style w:type="paragraph" w:customStyle="1" w:styleId="ChapterName">
    <w:name w:val="Chapter Name"/>
    <w:basedOn w:val="Normal"/>
    <w:next w:val="Normal"/>
    <w:pPr>
      <w:spacing w:before="1080" w:after="240" w:line="240" w:lineRule="auto"/>
    </w:pPr>
    <w:rPr>
      <w:rFonts w:ascii="Times New Roman" w:eastAsia="Times New Roman" w:hAnsi="Times New Roman" w:cs="Times New Roman"/>
      <w:b/>
      <w:color w:val="808080"/>
      <w:sz w:val="72"/>
      <w:szCs w:val="24"/>
    </w:rPr>
  </w:style>
  <w:style w:type="paragraph" w:customStyle="1" w:styleId="ChapterTitle">
    <w:name w:val="Chapter Title"/>
    <w:basedOn w:val="Normal"/>
    <w:next w:val="Normal"/>
    <w:pPr>
      <w:spacing w:after="240" w:line="240" w:lineRule="auto"/>
    </w:pPr>
    <w:rPr>
      <w:rFonts w:ascii="Century Gothic" w:eastAsia="Times New Roman" w:hAnsi="Century Gothic" w:cs="Times New Roman"/>
      <w:color w:val="333399"/>
      <w:sz w:val="36"/>
      <w:szCs w:val="24"/>
    </w:rPr>
  </w:style>
  <w:style w:type="paragraph" w:customStyle="1" w:styleId="SectionTitle">
    <w:name w:val="Section Title"/>
    <w:basedOn w:val="Normal"/>
    <w:next w:val="SectionSubtitle"/>
    <w:pPr>
      <w:keepNext/>
      <w:spacing w:before="1080" w:after="240" w:line="240" w:lineRule="auto"/>
      <w:ind w:left="992" w:hanging="992"/>
    </w:pPr>
    <w:rPr>
      <w:rFonts w:ascii="Century Gothic" w:eastAsia="Times New Roman" w:hAnsi="Century Gothic" w:cs="Times New Roman"/>
      <w:caps/>
      <w:color w:val="333399"/>
      <w:sz w:val="28"/>
      <w:szCs w:val="24"/>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eastAsia="Times New Roman" w:hAnsi="Century Gothic" w:cs="Times New Roman"/>
      <w:caps/>
      <w:color w:val="333399"/>
      <w:sz w:val="28"/>
      <w:szCs w:val="24"/>
    </w:rPr>
  </w:style>
  <w:style w:type="paragraph" w:customStyle="1" w:styleId="SectionSubtitle">
    <w:name w:val="Section Subtitle"/>
    <w:basedOn w:val="Normal"/>
    <w:next w:val="Normal"/>
    <w:pPr>
      <w:spacing w:after="360" w:line="240" w:lineRule="auto"/>
      <w:ind w:left="992"/>
    </w:pPr>
    <w:rPr>
      <w:rFonts w:ascii="Century Gothic" w:eastAsia="Times New Roman" w:hAnsi="Century Gothic" w:cs="Times New Roman"/>
      <w:color w:val="333399"/>
      <w:sz w:val="24"/>
      <w:szCs w:val="24"/>
    </w:rPr>
  </w:style>
  <w:style w:type="paragraph" w:customStyle="1" w:styleId="HeaderTitleLeft">
    <w:name w:val="Header Title Left"/>
    <w:basedOn w:val="Normal"/>
    <w:next w:val="Normal"/>
    <w:pPr>
      <w:tabs>
        <w:tab w:val="right" w:pos="8220"/>
      </w:tabs>
      <w:spacing w:before="100" w:after="40" w:line="240" w:lineRule="auto"/>
      <w:ind w:left="-1502"/>
      <w:jc w:val="both"/>
    </w:pPr>
    <w:rPr>
      <w:rFonts w:ascii="Century Gothic" w:eastAsia="Times New Roman" w:hAnsi="Century Gothic" w:cs="Times New Roman"/>
      <w:color w:val="333399"/>
      <w:sz w:val="14"/>
      <w:szCs w:val="24"/>
    </w:rPr>
  </w:style>
  <w:style w:type="paragraph" w:customStyle="1" w:styleId="HeaderSubtitleLeft">
    <w:name w:val="Header Subtitle Left"/>
    <w:basedOn w:val="Normal"/>
    <w:next w:val="Normal"/>
    <w:pPr>
      <w:tabs>
        <w:tab w:val="right" w:pos="8220"/>
      </w:tabs>
      <w:spacing w:after="0" w:line="240" w:lineRule="auto"/>
      <w:ind w:left="-1502"/>
      <w:jc w:val="both"/>
    </w:pPr>
    <w:rPr>
      <w:rFonts w:ascii="Century Gothic" w:eastAsia="Times New Roman" w:hAnsi="Century Gothic" w:cs="Times New Roman"/>
      <w:color w:val="333399"/>
      <w:sz w:val="14"/>
      <w:szCs w:val="24"/>
    </w:rPr>
  </w:style>
  <w:style w:type="paragraph" w:customStyle="1" w:styleId="HeaderTitleRight">
    <w:name w:val="Header Title Right"/>
    <w:basedOn w:val="Normal"/>
    <w:next w:val="Normal"/>
    <w:pPr>
      <w:spacing w:before="100" w:after="40" w:line="240" w:lineRule="auto"/>
      <w:ind w:right="-1502"/>
      <w:jc w:val="right"/>
    </w:pPr>
    <w:rPr>
      <w:rFonts w:ascii="Century Gothic" w:eastAsia="Times New Roman" w:hAnsi="Century Gothic" w:cs="Times New Roman"/>
      <w:color w:val="333399"/>
      <w:sz w:val="14"/>
      <w:szCs w:val="24"/>
    </w:rPr>
  </w:style>
  <w:style w:type="paragraph" w:customStyle="1" w:styleId="HeaderSubtitleRight">
    <w:name w:val="Header Subtitle Right"/>
    <w:basedOn w:val="Normal"/>
    <w:next w:val="Normal"/>
    <w:pPr>
      <w:spacing w:after="0" w:line="240" w:lineRule="auto"/>
      <w:ind w:right="-1502"/>
      <w:jc w:val="right"/>
    </w:pPr>
    <w:rPr>
      <w:rFonts w:ascii="Century Gothic" w:eastAsia="Times New Roman" w:hAnsi="Century Gothic" w:cs="Times New Roman"/>
      <w:color w:val="333399"/>
      <w:sz w:val="14"/>
      <w:szCs w:val="2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AnnexTitle">
    <w:name w:val="Annex Title"/>
    <w:basedOn w:val="Normal"/>
    <w:pPr>
      <w:spacing w:before="120" w:after="120" w:line="240" w:lineRule="auto"/>
    </w:pPr>
    <w:rPr>
      <w:rFonts w:ascii="Century Gothic" w:eastAsia="Times New Roman" w:hAnsi="Century Gothic" w:cs="Times New Roman"/>
      <w:color w:val="333399"/>
      <w:sz w:val="28"/>
      <w:szCs w:val="24"/>
    </w:rPr>
  </w:style>
  <w:style w:type="paragraph" w:customStyle="1" w:styleId="PublicationTitle">
    <w:name w:val="Publication Title"/>
    <w:basedOn w:val="Normal"/>
    <w:next w:val="Normal"/>
    <w:pPr>
      <w:spacing w:before="2880" w:after="240" w:line="240" w:lineRule="auto"/>
    </w:pPr>
    <w:rPr>
      <w:rFonts w:ascii="Georgia" w:eastAsia="Times New Roman" w:hAnsi="Georgia" w:cs="Times New Roman"/>
      <w:color w:val="333399"/>
      <w:sz w:val="48"/>
      <w:szCs w:val="24"/>
    </w:rPr>
  </w:style>
  <w:style w:type="paragraph" w:customStyle="1" w:styleId="PublicationSubtitle">
    <w:name w:val="Publication Subtitle"/>
    <w:basedOn w:val="Normal"/>
    <w:next w:val="Normal"/>
    <w:pPr>
      <w:spacing w:after="240" w:line="240" w:lineRule="auto"/>
    </w:pPr>
    <w:rPr>
      <w:rFonts w:ascii="Century Gothic" w:eastAsia="Times New Roman" w:hAnsi="Century Gothic" w:cs="Times New Roman"/>
      <w:color w:val="000000"/>
      <w:sz w:val="32"/>
      <w:szCs w:val="24"/>
    </w:rPr>
  </w:style>
  <w:style w:type="paragraph" w:customStyle="1" w:styleId="Series">
    <w:name w:val="Series"/>
    <w:basedOn w:val="Normal"/>
    <w:next w:val="Normal"/>
    <w:pPr>
      <w:tabs>
        <w:tab w:val="right" w:pos="8787"/>
      </w:tabs>
      <w:spacing w:before="6240" w:after="240" w:line="240" w:lineRule="auto"/>
    </w:pPr>
    <w:rPr>
      <w:rFonts w:ascii="Century Gothic" w:eastAsia="Times New Roman" w:hAnsi="Century Gothic" w:cs="Times New Roman"/>
      <w:color w:val="333399"/>
      <w:sz w:val="24"/>
      <w:szCs w:val="24"/>
    </w:rPr>
  </w:style>
  <w:style w:type="paragraph" w:customStyle="1" w:styleId="Institution">
    <w:name w:val="Institution"/>
    <w:basedOn w:val="Normal"/>
    <w:next w:val="Normal"/>
    <w:pPr>
      <w:spacing w:after="120" w:line="240" w:lineRule="auto"/>
    </w:pPr>
    <w:rPr>
      <w:rFonts w:ascii="Century Gothic" w:eastAsia="Times New Roman" w:hAnsi="Century Gothic" w:cs="Times New Roman"/>
      <w:color w:val="000000"/>
      <w:sz w:val="24"/>
      <w:szCs w:val="24"/>
    </w:rPr>
  </w:style>
  <w:style w:type="paragraph" w:customStyle="1" w:styleId="InstitutionSubtitle">
    <w:name w:val="Institution Subtitle"/>
    <w:basedOn w:val="Normal"/>
    <w:next w:val="Normal"/>
    <w:pPr>
      <w:spacing w:after="240" w:line="240" w:lineRule="auto"/>
    </w:pPr>
    <w:rPr>
      <w:rFonts w:ascii="Century Gothic" w:eastAsia="Times New Roman" w:hAnsi="Century Gothic" w:cs="Times New Roman"/>
      <w:color w:val="000000"/>
      <w:sz w:val="24"/>
      <w:szCs w:val="24"/>
    </w:rPr>
  </w:style>
  <w:style w:type="paragraph" w:customStyle="1" w:styleId="PartTitle">
    <w:name w:val="Part Title"/>
    <w:basedOn w:val="Normal"/>
    <w:next w:val="Normal"/>
    <w:pPr>
      <w:spacing w:before="1080" w:after="240" w:line="240" w:lineRule="auto"/>
    </w:pPr>
    <w:rPr>
      <w:rFonts w:ascii="Georgia" w:eastAsia="Times New Roman" w:hAnsi="Georgia" w:cs="Times New Roman"/>
      <w:color w:val="333399"/>
      <w:sz w:val="40"/>
      <w:szCs w:val="24"/>
    </w:rPr>
  </w:style>
  <w:style w:type="paragraph" w:customStyle="1" w:styleId="PartSubtitle">
    <w:name w:val="Part Subtitle"/>
    <w:basedOn w:val="Normal"/>
    <w:next w:val="Normal"/>
    <w:pPr>
      <w:spacing w:after="240" w:line="240" w:lineRule="auto"/>
    </w:pPr>
    <w:rPr>
      <w:rFonts w:ascii="Georgia" w:eastAsia="Times New Roman" w:hAnsi="Georgia" w:cs="Times New Roman"/>
      <w:color w:val="333399"/>
      <w:sz w:val="32"/>
      <w:szCs w:val="24"/>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jc w:val="both"/>
    </w:pPr>
    <w:rPr>
      <w:rFonts w:ascii="Century Gothic" w:eastAsia="Times New Roman" w:hAnsi="Century Gothic" w:cs="Times New Roman"/>
      <w:color w:val="333399"/>
      <w:sz w:val="14"/>
      <w:szCs w:val="24"/>
    </w:rPr>
  </w:style>
  <w:style w:type="paragraph" w:customStyle="1" w:styleId="HeaderSubtitleLeft30">
    <w:name w:val="Header Subtitle Left (30)"/>
    <w:basedOn w:val="Normal"/>
    <w:next w:val="Normal"/>
    <w:pPr>
      <w:tabs>
        <w:tab w:val="right" w:pos="8504"/>
      </w:tabs>
      <w:spacing w:after="0" w:line="240" w:lineRule="auto"/>
      <w:ind w:left="-850"/>
      <w:jc w:val="both"/>
    </w:pPr>
    <w:rPr>
      <w:rFonts w:ascii="Century Gothic" w:eastAsia="Times New Roman" w:hAnsi="Century Gothic" w:cs="Times New Roman"/>
      <w:color w:val="333399"/>
      <w:sz w:val="14"/>
      <w:szCs w:val="24"/>
    </w:rPr>
  </w:style>
  <w:style w:type="paragraph" w:customStyle="1" w:styleId="HeaderTitleRight30">
    <w:name w:val="Header Title Right (30)"/>
    <w:basedOn w:val="Normal"/>
    <w:next w:val="Normal"/>
    <w:pPr>
      <w:spacing w:before="100" w:after="40" w:line="240" w:lineRule="auto"/>
      <w:ind w:right="-850"/>
      <w:jc w:val="right"/>
    </w:pPr>
    <w:rPr>
      <w:rFonts w:ascii="Century Gothic" w:eastAsia="Times New Roman" w:hAnsi="Century Gothic" w:cs="Times New Roman"/>
      <w:color w:val="333399"/>
      <w:sz w:val="14"/>
      <w:szCs w:val="24"/>
    </w:rPr>
  </w:style>
  <w:style w:type="paragraph" w:customStyle="1" w:styleId="HeaderSubtitleRight30">
    <w:name w:val="Header Subtitle Right (30)"/>
    <w:basedOn w:val="Normal"/>
    <w:next w:val="Normal"/>
    <w:pPr>
      <w:spacing w:after="0" w:line="240" w:lineRule="auto"/>
      <w:ind w:right="-850"/>
      <w:jc w:val="right"/>
    </w:pPr>
    <w:rPr>
      <w:rFonts w:ascii="Century Gothic" w:eastAsia="Times New Roman" w:hAnsi="Century Gothic" w:cs="Times New Roman"/>
      <w:color w:val="333399"/>
      <w:sz w:val="14"/>
      <w:szCs w:val="2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SectionTitlelarge">
    <w:name w:val="Section Title (large)"/>
    <w:basedOn w:val="Normal"/>
    <w:next w:val="SectionSubtitle"/>
    <w:pPr>
      <w:keepNext/>
      <w:spacing w:before="1080" w:after="240" w:line="240" w:lineRule="auto"/>
      <w:ind w:left="992" w:hanging="992"/>
    </w:pPr>
    <w:rPr>
      <w:rFonts w:ascii="Century Gothic" w:eastAsia="Times New Roman" w:hAnsi="Century Gothic" w:cs="Times New Roman"/>
      <w:caps/>
      <w:color w:val="333399"/>
      <w:sz w:val="32"/>
      <w:szCs w:val="24"/>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eastAsia="Times New Roman" w:hAnsi="Century Gothic" w:cs="Times New Roman"/>
      <w:caps/>
      <w:color w:val="333399"/>
      <w:sz w:val="32"/>
      <w:szCs w:val="24"/>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
    <w:link w:val="BVIfnr"/>
    <w:uiPriority w:val="99"/>
    <w:rPr>
      <w:vertAlign w:val="superscript"/>
    </w:rPr>
  </w:style>
  <w:style w:type="paragraph" w:customStyle="1" w:styleId="Heading">
    <w:name w:val="Heading"/>
    <w:basedOn w:val="Normal"/>
    <w:next w:val="Normal"/>
    <w:pPr>
      <w:keepNext/>
      <w:spacing w:before="120" w:after="120" w:line="240" w:lineRule="atLeast"/>
      <w:jc w:val="both"/>
    </w:pPr>
    <w:rPr>
      <w:rFonts w:ascii="Century Gothic" w:eastAsia="Times New Roman" w:hAnsi="Century Gothic" w:cs="Times New Roman"/>
      <w:b/>
      <w:color w:val="333399"/>
      <w:sz w:val="18"/>
      <w:szCs w:val="24"/>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eastAsia="Times New Roman" w:hAnsi="Century Gothic" w:cs="Times New Roman"/>
      <w:color w:val="333399"/>
      <w:sz w:val="14"/>
      <w:szCs w:val="24"/>
    </w:rPr>
  </w:style>
  <w:style w:type="paragraph" w:customStyle="1" w:styleId="Abbreviation">
    <w:name w:val="Abbreviation"/>
    <w:basedOn w:val="Normal"/>
    <w:pPr>
      <w:spacing w:after="0" w:line="240" w:lineRule="atLeast"/>
      <w:ind w:left="1134" w:hanging="1134"/>
      <w:jc w:val="both"/>
    </w:pPr>
    <w:rPr>
      <w:rFonts w:ascii="Times New Roman" w:eastAsia="Times New Roman" w:hAnsi="Times New Roman" w:cs="Times New Roman"/>
      <w:color w:val="000000"/>
      <w:sz w:val="24"/>
      <w:szCs w:val="24"/>
    </w:rPr>
  </w:style>
  <w:style w:type="paragraph" w:customStyle="1" w:styleId="BoxShape">
    <w:name w:val="Box Shape"/>
    <w:basedOn w:val="Normal"/>
    <w:next w:val="Normal"/>
    <w:pPr>
      <w:spacing w:before="120" w:after="120" w:line="240" w:lineRule="atLeast"/>
      <w:jc w:val="center"/>
    </w:pPr>
    <w:rPr>
      <w:rFonts w:ascii="Times New Roman" w:eastAsia="Times New Roman" w:hAnsi="Times New Roman" w:cs="Times New Roman"/>
      <w:color w:val="000000"/>
      <w:sz w:val="24"/>
      <w:szCs w:val="24"/>
    </w:rPr>
  </w:style>
  <w:style w:type="paragraph" w:customStyle="1" w:styleId="BoxContinueTop">
    <w:name w:val="Box Continue Top"/>
    <w:basedOn w:val="Normal"/>
    <w:next w:val="Normal"/>
    <w:pPr>
      <w:spacing w:before="20" w:after="0" w:line="240" w:lineRule="auto"/>
      <w:ind w:left="283"/>
      <w:jc w:val="both"/>
    </w:pPr>
    <w:rPr>
      <w:rFonts w:ascii="Century Gothic" w:eastAsia="Times New Roman" w:hAnsi="Century Gothic" w:cs="Times New Roman"/>
      <w:i/>
      <w:color w:val="333399"/>
      <w:sz w:val="14"/>
      <w:szCs w:val="24"/>
    </w:rPr>
  </w:style>
  <w:style w:type="paragraph" w:customStyle="1" w:styleId="BoxContinueBottom">
    <w:name w:val="Box Continue Bottom"/>
    <w:basedOn w:val="Normal"/>
    <w:next w:val="Normal"/>
    <w:pPr>
      <w:spacing w:after="20" w:line="240" w:lineRule="auto"/>
      <w:ind w:right="283"/>
      <w:jc w:val="right"/>
    </w:pPr>
    <w:rPr>
      <w:rFonts w:ascii="Century Gothic" w:eastAsia="Times New Roman" w:hAnsi="Century Gothic" w:cs="Times New Roman"/>
      <w:i/>
      <w:color w:val="333399"/>
      <w:sz w:val="14"/>
      <w:szCs w:val="24"/>
    </w:rPr>
  </w:style>
  <w:style w:type="paragraph" w:customStyle="1" w:styleId="BottomTable">
    <w:name w:val="Bottom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DefaultTable">
    <w:name w:val="Default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BottomCenterTable">
    <w:name w:val="Bottom Center Tabl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BottomTableRestrictedShape">
    <w:name w:val="Bottom Table Restricted Shap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GraphShape">
    <w:name w:val="Graph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TableShape">
    <w:name w:val="Table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styleId="TOC1">
    <w:name w:val="toc 1"/>
    <w:basedOn w:val="Normal"/>
    <w:next w:val="Normal"/>
    <w:autoRedefine/>
    <w:semiHidden/>
    <w:unhideWhenUsed/>
    <w:pPr>
      <w:tabs>
        <w:tab w:val="left" w:pos="482"/>
        <w:tab w:val="right" w:pos="8504"/>
      </w:tabs>
      <w:spacing w:before="240" w:after="120" w:line="240" w:lineRule="atLeast"/>
      <w:ind w:left="482" w:right="425" w:hanging="482"/>
    </w:pPr>
    <w:rPr>
      <w:rFonts w:ascii="Times New Roman" w:eastAsia="Times New Roman" w:hAnsi="Times New Roman" w:cs="Times New Roman"/>
      <w:color w:val="333399"/>
      <w:sz w:val="24"/>
      <w:szCs w:val="24"/>
    </w:rPr>
  </w:style>
  <w:style w:type="paragraph" w:styleId="TOC2">
    <w:name w:val="toc 2"/>
    <w:basedOn w:val="Normal"/>
    <w:next w:val="Normal"/>
    <w:autoRedefine/>
    <w:semiHidden/>
    <w:unhideWhenUsed/>
    <w:pPr>
      <w:tabs>
        <w:tab w:val="left" w:pos="482"/>
        <w:tab w:val="right" w:pos="8504"/>
      </w:tabs>
      <w:spacing w:after="100" w:line="240" w:lineRule="atLeast"/>
      <w:ind w:left="482" w:right="425" w:hanging="482"/>
    </w:pPr>
    <w:rPr>
      <w:rFonts w:ascii="Times New Roman" w:eastAsia="Times New Roman" w:hAnsi="Times New Roman" w:cs="Times New Roman"/>
      <w:color w:val="333399"/>
      <w:sz w:val="24"/>
      <w:szCs w:val="24"/>
    </w:rPr>
  </w:style>
  <w:style w:type="paragraph" w:styleId="TOC3">
    <w:name w:val="toc 3"/>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aps/>
      <w:color w:val="333399"/>
      <w:sz w:val="16"/>
      <w:szCs w:val="24"/>
    </w:rPr>
  </w:style>
  <w:style w:type="paragraph" w:styleId="TOC4">
    <w:name w:val="toc 4"/>
    <w:basedOn w:val="Normal"/>
    <w:next w:val="Normal"/>
    <w:autoRedefine/>
    <w:semiHidden/>
    <w:unhideWhenUsed/>
    <w:pPr>
      <w:tabs>
        <w:tab w:val="left" w:pos="1644"/>
        <w:tab w:val="right" w:pos="8504"/>
      </w:tabs>
      <w:spacing w:after="0" w:line="240" w:lineRule="atLeast"/>
      <w:ind w:left="1531" w:right="425" w:hanging="567"/>
    </w:pPr>
    <w:rPr>
      <w:rFonts w:ascii="Century Gothic" w:eastAsia="Times New Roman" w:hAnsi="Century Gothic" w:cs="Times New Roman"/>
      <w:color w:val="333399"/>
      <w:sz w:val="16"/>
      <w:szCs w:val="24"/>
    </w:rPr>
  </w:style>
  <w:style w:type="paragraph" w:styleId="TOC5">
    <w:name w:val="toc 5"/>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olor w:val="333399"/>
      <w:sz w:val="16"/>
      <w:szCs w:val="24"/>
    </w:rPr>
  </w:style>
  <w:style w:type="paragraph" w:styleId="TOC6">
    <w:name w:val="toc 6"/>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styleId="TOC7">
    <w:name w:val="toc 7"/>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jc w:val="both"/>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unhideWhenUsed/>
    <w:pPr>
      <w:spacing w:after="0" w:line="240" w:lineRule="auto"/>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semiHidden/>
    <w:rPr>
      <w:rFonts w:ascii="Segoe UI" w:eastAsia="Times New Roman" w:hAnsi="Segoe UI" w:cs="Segoe UI"/>
      <w:color w:val="000000"/>
      <w:sz w:val="18"/>
      <w:szCs w:val="18"/>
    </w:rPr>
  </w:style>
  <w:style w:type="character" w:styleId="FollowedHyperlink">
    <w:name w:val="FollowedHyperlink"/>
    <w:basedOn w:val="DefaultParagraphFont"/>
    <w:semiHidden/>
    <w:unhideWhenUsed/>
    <w:rPr>
      <w:color w:val="800080" w:themeColor="followedHyperlink"/>
      <w:u w:val="single"/>
    </w:rPr>
  </w:style>
  <w:style w:type="paragraph" w:styleId="CommentText">
    <w:name w:val="annotation text"/>
    <w:basedOn w:val="Normal"/>
    <w:link w:val="CommentTextChar"/>
    <w:uiPriority w:val="99"/>
    <w:unhideWhenUsed/>
    <w:pPr>
      <w:spacing w:after="160" w:line="240" w:lineRule="auto"/>
    </w:pPr>
    <w:rPr>
      <w:sz w:val="24"/>
      <w:szCs w:val="20"/>
    </w:rPr>
  </w:style>
  <w:style w:type="character" w:customStyle="1" w:styleId="CommentTextChar">
    <w:name w:val="Comment Text Char"/>
    <w:basedOn w:val="DefaultParagraphFont"/>
    <w:link w:val="CommentText"/>
    <w:uiPriority w:val="99"/>
    <w:rPr>
      <w:sz w:val="24"/>
      <w:szCs w:val="20"/>
    </w:rPr>
  </w:style>
  <w:style w:type="paragraph" w:styleId="ListBullet">
    <w:name w:val="List Bullet"/>
    <w:basedOn w:val="Normal"/>
    <w:uiPriority w:val="99"/>
    <w:semiHidden/>
    <w:unhideWhenUsed/>
    <w:pPr>
      <w:numPr>
        <w:numId w:val="1"/>
      </w:numPr>
      <w:spacing w:after="240" w:line="240" w:lineRule="atLeast"/>
      <w:jc w:val="both"/>
    </w:pPr>
    <w:rPr>
      <w:rFonts w:ascii="Times New Roman" w:hAnsi="Times New Roman" w:cs="Times New Roman"/>
      <w:color w:val="000000"/>
      <w:sz w:val="24"/>
    </w:rPr>
  </w:style>
  <w:style w:type="paragraph" w:customStyle="1" w:styleId="SlimCell">
    <w:name w:val="Slim Cell"/>
    <w:basedOn w:val="Normal"/>
    <w:next w:val="Normal"/>
    <w:pPr>
      <w:spacing w:after="0" w:line="240" w:lineRule="auto"/>
      <w:jc w:val="both"/>
    </w:pPr>
    <w:rPr>
      <w:rFonts w:ascii="Times New Roman" w:hAnsi="Times New Roman" w:cs="Times New Roman"/>
      <w:color w:val="000000"/>
      <w:sz w:val="2"/>
    </w:rPr>
  </w:style>
  <w:style w:type="character" w:styleId="CommentReference">
    <w:name w:val="annotation reference"/>
    <w:basedOn w:val="DefaultParagraphFont"/>
    <w:uiPriority w:val="99"/>
    <w:semiHidden/>
    <w:unhideWhenUsed/>
    <w:rPr>
      <w:sz w:val="16"/>
      <w:szCs w:val="16"/>
    </w:rPr>
  </w:style>
  <w:style w:type="paragraph" w:customStyle="1" w:styleId="NumberedHeading1">
    <w:name w:val="Numbered Heading 1"/>
    <w:basedOn w:val="Normal"/>
    <w:next w:val="Normal"/>
    <w:link w:val="NumberedHeading1Char"/>
    <w:pPr>
      <w:keepNext/>
      <w:spacing w:before="240" w:after="240" w:line="240" w:lineRule="atLeast"/>
      <w:ind w:left="567" w:hanging="567"/>
      <w:jc w:val="both"/>
      <w:outlineLvl w:val="2"/>
    </w:pPr>
    <w:rPr>
      <w:rFonts w:ascii="Century Gothic" w:hAnsi="Century Gothic" w:cs="Times New Roman"/>
      <w:b/>
      <w:caps/>
      <w:color w:val="333399"/>
      <w:sz w:val="18"/>
    </w:rPr>
  </w:style>
  <w:style w:type="character" w:customStyle="1" w:styleId="NumberedHeading1Char">
    <w:name w:val="Numbered Heading 1 Char"/>
    <w:basedOn w:val="DefaultParagraphFont"/>
    <w:link w:val="NumberedHeading1"/>
    <w:rPr>
      <w:rFonts w:ascii="Century Gothic" w:hAnsi="Century Gothic" w:cs="Times New Roman"/>
      <w:b/>
      <w:caps/>
      <w:color w:val="333399"/>
      <w:sz w:val="18"/>
    </w:rPr>
  </w:style>
  <w:style w:type="paragraph" w:styleId="ListParagraph">
    <w:name w:val="List Paragraph"/>
    <w:basedOn w:val="Normal"/>
    <w:uiPriority w:val="34"/>
    <w:qFormat/>
    <w:pPr>
      <w:spacing w:after="240" w:line="240" w:lineRule="atLeast"/>
      <w:ind w:left="720"/>
      <w:contextualSpacing/>
      <w:jc w:val="both"/>
    </w:pPr>
    <w:rPr>
      <w:rFonts w:ascii="Times New Roman" w:hAnsi="Times New Roman" w:cs="Times New Roman"/>
      <w:color w:val="000000"/>
      <w:sz w:val="24"/>
    </w:rPr>
  </w:style>
  <w:style w:type="paragraph" w:customStyle="1" w:styleId="NumberedHeading2">
    <w:name w:val="Numbered Heading 2"/>
    <w:basedOn w:val="Normal"/>
    <w:next w:val="Normal"/>
    <w:pPr>
      <w:keepNext/>
      <w:tabs>
        <w:tab w:val="num" w:pos="567"/>
      </w:tabs>
      <w:spacing w:before="80" w:after="160" w:line="240" w:lineRule="atLeast"/>
      <w:ind w:left="567" w:hanging="567"/>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pPr>
      <w:keepNext/>
      <w:tabs>
        <w:tab w:val="num" w:pos="709"/>
      </w:tabs>
      <w:spacing w:before="80" w:after="160" w:line="240" w:lineRule="atLeast"/>
      <w:ind w:left="709" w:hanging="709"/>
      <w:jc w:val="both"/>
      <w:outlineLvl w:val="3"/>
    </w:pPr>
    <w:rPr>
      <w:rFonts w:ascii="Century Gothic" w:hAnsi="Century Gothic" w:cs="Times New Roman"/>
      <w:i/>
      <w:color w:val="333399"/>
      <w:sz w:val="18"/>
    </w:rPr>
  </w:style>
  <w:style w:type="paragraph" w:styleId="CommentSubject">
    <w:name w:val="annotation subject"/>
    <w:basedOn w:val="CommentText"/>
    <w:next w:val="CommentText"/>
    <w:link w:val="CommentSubjectChar"/>
    <w:semiHidden/>
    <w:unhideWhenUsed/>
    <w:pPr>
      <w:spacing w:after="24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color w:val="000000"/>
      <w:sz w:val="24"/>
      <w:szCs w:val="20"/>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0"/>
      <w:szCs w:val="24"/>
    </w:rPr>
  </w:style>
  <w:style w:type="paragraph" w:customStyle="1" w:styleId="StyleHeading1NotBold">
    <w:name w:val="Style Heading 1 + Not Bold"/>
    <w:basedOn w:val="Heading1"/>
    <w:pPr>
      <w:numPr>
        <w:numId w:val="10"/>
      </w:numPr>
      <w:tabs>
        <w:tab w:val="left" w:pos="482"/>
      </w:tabs>
      <w:spacing w:before="360" w:after="240" w:line="240" w:lineRule="auto"/>
      <w:ind w:left="482" w:hanging="482"/>
    </w:pPr>
    <w:rPr>
      <w:rFonts w:ascii="Times New Roman Bold" w:hAnsi="Times New Roman Bold"/>
      <w:smallCap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keepLines/>
      <w:tabs>
        <w:tab w:val="center" w:pos="4535"/>
        <w:tab w:val="right" w:pos="9071"/>
        <w:tab w:val="right" w:pos="9921"/>
      </w:tabs>
      <w:spacing w:before="360" w:after="0" w:line="240" w:lineRule="auto"/>
      <w:ind w:left="-850" w:right="-850" w:hanging="482"/>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keepLines/>
      <w:pBdr>
        <w:top w:val="single" w:sz="4" w:space="1" w:color="auto"/>
        <w:left w:val="single" w:sz="4" w:space="4" w:color="auto"/>
        <w:bottom w:val="single" w:sz="4" w:space="1" w:color="auto"/>
        <w:right w:val="single" w:sz="4" w:space="4" w:color="auto"/>
      </w:pBdr>
      <w:spacing w:before="360" w:after="0" w:line="240" w:lineRule="auto"/>
      <w:ind w:left="113" w:right="113" w:hanging="482"/>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keepLines/>
      <w:tabs>
        <w:tab w:val="center" w:pos="4535"/>
        <w:tab w:val="right" w:pos="9071"/>
      </w:tabs>
      <w:spacing w:after="120" w:line="240" w:lineRule="auto"/>
      <w:ind w:hanging="482"/>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keepLines/>
      <w:pBdr>
        <w:top w:val="single" w:sz="4" w:space="1" w:color="auto"/>
        <w:left w:val="single" w:sz="4" w:space="4" w:color="auto"/>
        <w:bottom w:val="single" w:sz="4" w:space="1" w:color="auto"/>
        <w:right w:val="single" w:sz="4" w:space="4" w:color="auto"/>
      </w:pBdr>
      <w:spacing w:after="120" w:line="240" w:lineRule="auto"/>
      <w:ind w:left="113" w:right="113" w:hanging="482"/>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keepNext/>
      <w:keepLines/>
      <w:spacing w:after="120" w:line="240" w:lineRule="auto"/>
      <w:ind w:hanging="482"/>
      <w:jc w:val="right"/>
      <w:outlineLvl w:val="0"/>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9443</Words>
  <Characters>69789</Characters>
  <Application>Microsoft Office Word</Application>
  <DocSecurity>0</DocSecurity>
  <Lines>930</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ANDRIKAKIS Nikolaos (SG)</cp:lastModifiedBy>
  <cp:revision>33</cp:revision>
  <dcterms:created xsi:type="dcterms:W3CDTF">2019-11-18T16:19:00Z</dcterms:created>
  <dcterms:modified xsi:type="dcterms:W3CDTF">2019-11-29T08:09:00Z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7.0.1, Build 20190916</vt:lpwstr>
  </property>
</Properties>
</file>