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182E303-85CE-49D3-9960-6CF66D6D50DF" style="width:450.75pt;height:438pt">
            <v:imagedata r:id="rId8" o:title=""/>
          </v:shape>
        </w:pict>
      </w:r>
    </w:p>
    <w:p>
      <w:pPr>
        <w:jc w:val="center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ANEXO </w:t>
      </w:r>
    </w:p>
    <w:p>
      <w:pPr>
        <w:jc w:val="center"/>
        <w:rPr>
          <w:b/>
          <w:noProof/>
        </w:rPr>
      </w:pPr>
      <w:r>
        <w:rPr>
          <w:b/>
          <w:noProof/>
        </w:rPr>
        <w:t>Diretrizes de negociação sobre a alteração do Protocolo do Acordo relativo ao transporte internacional ocasional de passageiros em autocarro (Acordo Interbus) respeitante ao transporte internacional regular e regular especializado de passageiros em autocarro e do Protocolo que altera o Acordo relativo ao transporte internacional ocasional de passageiros em autocarro (Acordo Interbus), a fim de alargar a possibilidade de adesão ao Reino de Marrocos</w:t>
      </w:r>
    </w:p>
    <w:p>
      <w:pPr>
        <w:pStyle w:val="NormalCentered"/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>Há que suprimir o prazo para a assinatura do Protocolo ao Acordo relativo ao transporte internacional ocasional de passageiros em autocarro (Acordo Interbus) respeitante ao transporte internacional regular e regular especializado de passageiros em autocarro e do Protocolo que altera o Acordo relativo ao transporte internacional ocasional de passageiros em autocarro (Acordo Interbus), a fim de alargar a possibilidade de adesão ao Reino de Marrocos atualmente estabelecida no artigo 20.º, n.</w:t>
      </w:r>
      <w:r>
        <w:rPr>
          <w:noProof/>
          <w:vertAlign w:val="superscript"/>
        </w:rPr>
        <w:t>os</w:t>
      </w:r>
      <w:r>
        <w:rPr>
          <w:noProof/>
        </w:rPr>
        <w:t xml:space="preserve"> 1 e 2, respetivamente, em 16 de abril de 2019. </w:t>
      </w:r>
    </w:p>
    <w:p>
      <w:pPr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>As referências à «antiga República jugoslava da Macedónia» em ambos os protocolos devem ser substituídas por referências à «República da Macedónia do Norte».</w:t>
      </w:r>
    </w:p>
    <w:p>
      <w:pPr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 xml:space="preserve">O Protocolo que altera o Acordo relativo ao transporte internacional ocasional de passageiros em autocarro (Acordo Interbus), a fim de alargar a possibilidade de adesão ao Reino de Marrocos, só deve entrar em vigor depois de todas as atuais Partes Contratantes no Acordo Interbus terem celebrado esse protocolo.  </w:t>
      </w:r>
    </w:p>
    <w:p>
      <w:pPr>
        <w:ind w:left="720" w:hanging="720"/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>O negociador deve encontrar a modalidade mais adequada de instrumento internacional com vista a acordar as alterações. As assinaturas já apostas não devem ser afetadas.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FC86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688CE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CB04E34"/>
    <w:name w:val="0,60578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A78DB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E58AF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18A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184F3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472C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1-28 14:23:0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182E303-85CE-49D3-9960-6CF66D6D50DF"/>
    <w:docVar w:name="LW_COVERPAGE_TYPE" w:val="1"/>
    <w:docVar w:name="LW_CROSSREFERENCE" w:val="&lt;UNUSED&gt;"/>
    <w:docVar w:name="LW_DocType" w:val="ANNEX"/>
    <w:docVar w:name="LW_EMISSION" w:val="29.11.2019"/>
    <w:docVar w:name="LW_EMISSION_ISODATE" w:val="2019-11-29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que autoriza a abertura de negociações sobre a alteração do Protocolo do Acordo relativo ao transporte internacional ocasional de passageiros em autocarro (Acordo Interbus) respeitante ao transporte internacional regular e regular especializado de passageiros em autocarro e do Protocolo que altera o Acordo relativo ao transporte internacional ocasional de passageiros em autocarro (Acordo Interbus), a fim de alargar a possibilidade de adesão ao Reino de Marrocos"/>
    <w:docVar w:name="LW_OBJETACTEPRINCIPAL.CP" w:val="que autoriza a abertura de negociações sobre a alteração do Protocolo do Acordo relativo ao transporte internacional ocasional de passageiros em autocarro (Acordo Interbus) respeitante ao transporte internacional regular e regular especializado de passageiros em autocarro e do Protocolo que altera o Acordo relativo ao transporte internacional ocasional de passageiros em autocarro (Acordo Interbus), a fim de alargar a possibilidade de adesão ao Reino de Marrocos"/>
    <w:docVar w:name="LW_PART_NBR" w:val="1"/>
    <w:docVar w:name="LW_PART_NBR_TOTAL" w:val="1"/>
    <w:docVar w:name="LW_REF.INST.NEW" w:val="COM"/>
    <w:docVar w:name="LW_REF.INST.NEW_ADOPTED" w:val="final"/>
    <w:docVar w:name="LW_REF.INST.NEW_TEXT" w:val="(2019) 6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Recomendação de Decisão do Conselho"/>
    <w:docVar w:name="LW_TYPEACTEPRINCIPAL.CP" w:val="Recomendação de 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">
    <w:name w:val="List"/>
    <w:basedOn w:val="Normal"/>
    <w:uiPriority w:val="99"/>
    <w:unhideWhenUsed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">
    <w:name w:val="List"/>
    <w:basedOn w:val="Normal"/>
    <w:uiPriority w:val="99"/>
    <w:unhideWhenUsed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2</Pages>
  <Words>244</Words>
  <Characters>1407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Ismo (MOVE)</dc:creator>
  <cp:lastModifiedBy>WES PDFC Administrator</cp:lastModifiedBy>
  <cp:revision>9</cp:revision>
  <dcterms:created xsi:type="dcterms:W3CDTF">2019-11-19T10:25:00Z</dcterms:created>
  <dcterms:modified xsi:type="dcterms:W3CDTF">2019-11-28T13:23:00Z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