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D1" w:rsidRDefault="008C651D" w:rsidP="008C651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EC2C484-734E-4AC9-A4DF-556988AE1F8F" style="width:450.75pt;height:397.5pt">
            <v:imagedata r:id="rId9" o:title=""/>
          </v:shape>
        </w:pict>
      </w:r>
    </w:p>
    <w:p w:rsidR="003454D1" w:rsidRDefault="003454D1">
      <w:pPr>
        <w:rPr>
          <w:noProof/>
        </w:rPr>
        <w:sectPr w:rsidR="003454D1" w:rsidSect="008C651D">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3454D1" w:rsidRDefault="008C651D">
      <w:pPr>
        <w:pStyle w:val="Annexetitre"/>
        <w:rPr>
          <w:noProof/>
        </w:rPr>
      </w:pPr>
      <w:bookmarkStart w:id="0" w:name="_GoBack"/>
      <w:bookmarkEnd w:id="0"/>
      <w:r>
        <w:rPr>
          <w:noProof/>
        </w:rPr>
        <w:lastRenderedPageBreak/>
        <w:t>BILAGA 1</w:t>
      </w:r>
    </w:p>
    <w:p w:rsidR="003454D1" w:rsidRDefault="003454D1">
      <w:pPr>
        <w:rPr>
          <w:noProof/>
        </w:rPr>
      </w:pPr>
    </w:p>
    <w:p w:rsidR="003454D1" w:rsidRDefault="008C651D">
      <w:pPr>
        <w:jc w:val="center"/>
        <w:rPr>
          <w:b/>
          <w:noProof/>
        </w:rPr>
      </w:pPr>
      <w:r>
        <w:rPr>
          <w:b/>
          <w:noProof/>
        </w:rPr>
        <w:t>Ministerrådet</w:t>
      </w:r>
    </w:p>
    <w:p w:rsidR="003454D1" w:rsidRDefault="008C651D">
      <w:pPr>
        <w:pStyle w:val="Heading1"/>
        <w:numPr>
          <w:ilvl w:val="0"/>
          <w:numId w:val="1"/>
        </w:numPr>
        <w:rPr>
          <w:noProof/>
        </w:rPr>
      </w:pPr>
      <w:r>
        <w:rPr>
          <w:noProof/>
        </w:rPr>
        <w:t>BESLUT OM ANTAGANDE AV ENERGIGEMENSKAPENS BUDGET OCH FINANSIELLA BIDRAG FÖR PERIODEN 2020–2021</w:t>
      </w:r>
    </w:p>
    <w:p w:rsidR="003454D1" w:rsidRDefault="008C651D">
      <w:pPr>
        <w:pStyle w:val="Text1"/>
        <w:rPr>
          <w:noProof/>
        </w:rPr>
      </w:pPr>
      <w:r>
        <w:rPr>
          <w:noProof/>
        </w:rPr>
        <w:t xml:space="preserve">Den ståndpunkt som ska intas </w:t>
      </w:r>
      <w:r>
        <w:rPr>
          <w:noProof/>
        </w:rPr>
        <w:t>på Europeiska unionens vägnar är att godkänna beslutet om antagande av energigemenskapens budget och finansiella bidrag för perioden 2020–2021 i enlighet med kommissionens beslut av den 6 november 2019 om upprättande av kommissionens förslag till energigem</w:t>
      </w:r>
      <w:r>
        <w:rPr>
          <w:noProof/>
        </w:rPr>
        <w:t>enskapens ministerråd om energigemenskapens budget för perioden 2020–2021, C (2019) 7828 final, och det utkast till ministerrådets procedurbeslut som bifogas som addendum till denna bilaga.</w:t>
      </w:r>
    </w:p>
    <w:p w:rsidR="003454D1" w:rsidRDefault="008C651D">
      <w:pPr>
        <w:pStyle w:val="Heading1"/>
        <w:numPr>
          <w:ilvl w:val="0"/>
          <w:numId w:val="1"/>
        </w:numPr>
        <w:rPr>
          <w:noProof/>
        </w:rPr>
      </w:pPr>
      <w:r>
        <w:rPr>
          <w:noProof/>
        </w:rPr>
        <w:t>BESLUT ENLIGT ARTIKEL 91.1 I FÖRDRAGET OM ENERGIGEMENSKAPEN ANGÅEN</w:t>
      </w:r>
      <w:r>
        <w:rPr>
          <w:noProof/>
        </w:rPr>
        <w:t>DE FASTSTÄLLANDE AV EN UNDERLÅTENHET ATT UPPFYLLA SKYLDIGHETER ENLIGT DET FÖRDRAGET I FÖLJANDE ÄRENDEN: ÄRENDE ECS-10/17 (SERBIEN), ÄRENDE ECS-13/17 (SERBIEN), ÄRENDE ECS 6/18 (KOSOVO*)</w:t>
      </w:r>
    </w:p>
    <w:p w:rsidR="003454D1" w:rsidRDefault="008C651D">
      <w:pPr>
        <w:pStyle w:val="Point0letter"/>
        <w:numPr>
          <w:ilvl w:val="1"/>
          <w:numId w:val="13"/>
        </w:numPr>
        <w:rPr>
          <w:noProof/>
        </w:rPr>
      </w:pPr>
      <w:r>
        <w:rPr>
          <w:noProof/>
        </w:rPr>
        <w:t>Den ståndpunkt som ska intas på EU:s vägnar är att godkänna utkasten t</w:t>
      </w:r>
      <w:r>
        <w:rPr>
          <w:noProof/>
        </w:rPr>
        <w:t xml:space="preserve">ill beslut enligt artikel 91.1 i fördraget om energigemenskapen om fastställande av en underlåtenhet i ärende ECS-10/17 (Serbien) på villkor att obiter dictum (sidokommentaren) i punkt 71 i den motiverade begäran tas bort, i ärende ECS-13/17 (Serbien) och </w:t>
      </w:r>
      <w:r>
        <w:rPr>
          <w:noProof/>
        </w:rPr>
        <w:t xml:space="preserve">i ärende ECS-6/18 (Kosovo*). </w:t>
      </w:r>
    </w:p>
    <w:p w:rsidR="003454D1" w:rsidRDefault="008C651D">
      <w:pPr>
        <w:pStyle w:val="Heading1"/>
        <w:numPr>
          <w:ilvl w:val="0"/>
          <w:numId w:val="1"/>
        </w:numPr>
        <w:rPr>
          <w:noProof/>
        </w:rPr>
      </w:pPr>
      <w:r>
        <w:rPr>
          <w:noProof/>
        </w:rPr>
        <w:t>BESLUT ENLIGT ARTIKEL 92.1 I FÖRDRAGET OM ENERGIGEMENSKAPEN ATT INFÖRA ELLER FÖRLÄNGA ÅTGÄRDER MOT BOSNIEN OCH HERCEGOVINA I ÄRENDENA ECS-8/11, ECS-2/13 OCH ECS-6/16; MOT SERBIEN I ÄRENDENA ECS-3/08 OCH ECS-9/13</w:t>
      </w:r>
    </w:p>
    <w:p w:rsidR="003454D1" w:rsidRDefault="008C651D">
      <w:pPr>
        <w:pStyle w:val="Text1"/>
        <w:rPr>
          <w:noProof/>
        </w:rPr>
      </w:pPr>
      <w:r>
        <w:rPr>
          <w:noProof/>
        </w:rPr>
        <w:t>Den ståndpunkt</w:t>
      </w:r>
      <w:r>
        <w:rPr>
          <w:noProof/>
        </w:rPr>
        <w:t xml:space="preserve"> som ska intas på EU:s vägnar är att godkänna utkasten till beslut enligt artikel 92.1 i fördraget om energigemenskapen i fråga om Bosnien och Hercegovina i ärendena ECS-8/11, ECS-2/13 och ECS-6/16, och i fråga om Serbien i ärendena ECS-3/08 och ECS-9/13. </w:t>
      </w:r>
    </w:p>
    <w:p w:rsidR="003454D1" w:rsidRDefault="003454D1">
      <w:pPr>
        <w:pStyle w:val="Text1"/>
        <w:rPr>
          <w:noProof/>
        </w:rPr>
      </w:pPr>
    </w:p>
    <w:p w:rsidR="003454D1" w:rsidRDefault="008C651D">
      <w:pPr>
        <w:spacing w:before="0" w:after="200" w:line="276" w:lineRule="auto"/>
        <w:jc w:val="left"/>
        <w:rPr>
          <w:noProof/>
        </w:rPr>
      </w:pPr>
      <w:r>
        <w:rPr>
          <w:noProof/>
        </w:rPr>
        <w:br w:type="page"/>
      </w:r>
    </w:p>
    <w:p w:rsidR="003454D1" w:rsidRDefault="008C651D">
      <w:pPr>
        <w:spacing w:before="0" w:after="200" w:line="276" w:lineRule="auto"/>
        <w:jc w:val="center"/>
        <w:rPr>
          <w:b/>
          <w:i/>
          <w:noProof/>
          <w:u w:val="single"/>
        </w:rPr>
      </w:pPr>
      <w:r>
        <w:rPr>
          <w:b/>
          <w:i/>
          <w:noProof/>
          <w:u w:val="single"/>
        </w:rPr>
        <w:lastRenderedPageBreak/>
        <w:t>ADDENDUM TILL BILAGA 1</w:t>
      </w:r>
    </w:p>
    <w:p w:rsidR="003454D1" w:rsidRDefault="003454D1">
      <w:pPr>
        <w:spacing w:before="0" w:after="200" w:line="276" w:lineRule="auto"/>
        <w:jc w:val="left"/>
        <w:rPr>
          <w:noProof/>
        </w:rPr>
      </w:pPr>
    </w:p>
    <w:p w:rsidR="003454D1" w:rsidRDefault="008C651D">
      <w:pPr>
        <w:jc w:val="center"/>
        <w:outlineLvl w:val="0"/>
        <w:rPr>
          <w:rFonts w:ascii="Arial" w:hAnsi="Arial" w:cs="Arial"/>
          <w:b/>
          <w:noProof/>
        </w:rPr>
      </w:pPr>
      <w:r>
        <w:rPr>
          <w:rFonts w:ascii="Arial" w:hAnsi="Arial"/>
          <w:b/>
          <w:noProof/>
        </w:rPr>
        <w:t xml:space="preserve">ENERGIGEMENSKAPENS MINISTERRÅDS </w:t>
      </w:r>
    </w:p>
    <w:p w:rsidR="003454D1" w:rsidRDefault="008C651D">
      <w:pPr>
        <w:jc w:val="center"/>
        <w:outlineLvl w:val="0"/>
        <w:rPr>
          <w:rFonts w:ascii="Arial" w:hAnsi="Arial" w:cs="Arial"/>
          <w:b/>
          <w:noProof/>
        </w:rPr>
      </w:pPr>
      <w:r>
        <w:rPr>
          <w:rFonts w:ascii="Arial" w:hAnsi="Arial"/>
          <w:b/>
          <w:noProof/>
        </w:rPr>
        <w:t>PROCEDURBESLUT</w:t>
      </w:r>
    </w:p>
    <w:p w:rsidR="003454D1" w:rsidRDefault="003454D1">
      <w:pPr>
        <w:jc w:val="center"/>
        <w:outlineLvl w:val="0"/>
        <w:rPr>
          <w:rFonts w:ascii="Arial" w:hAnsi="Arial" w:cs="Arial"/>
          <w:b/>
          <w:bCs/>
          <w:noProof/>
          <w:sz w:val="22"/>
        </w:rPr>
      </w:pPr>
    </w:p>
    <w:p w:rsidR="003454D1" w:rsidRDefault="008C651D">
      <w:pPr>
        <w:outlineLvl w:val="0"/>
        <w:rPr>
          <w:rFonts w:ascii="Arial" w:hAnsi="Arial" w:cs="Arial"/>
          <w:b/>
          <w:bCs/>
          <w:noProof/>
          <w:sz w:val="22"/>
        </w:rPr>
      </w:pPr>
      <w:r>
        <w:rPr>
          <w:rFonts w:ascii="Arial" w:hAnsi="Arial"/>
          <w:b/>
          <w:bCs/>
          <w:noProof/>
          <w:sz w:val="22"/>
        </w:rPr>
        <w:t xml:space="preserve">2019/PA/01/MC-EnC om antagande av energigemenskapens budget för åren 2020–2021 och om parternas bidrag till budgeten </w:t>
      </w: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Energigemenskapens ministerråd har antagit detta beslut</w:t>
      </w: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med</w:t>
      </w:r>
      <w:r>
        <w:rPr>
          <w:rFonts w:ascii="Arial" w:hAnsi="Arial"/>
          <w:noProof/>
          <w:sz w:val="22"/>
        </w:rPr>
        <w:t xml:space="preserve"> beaktande av fördraget om upprättande av en energigemenskap, särskilt artiklarna 73, 74, 86 och 88,</w:t>
      </w: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med beaktande av kommissionens beslut av den ……………………… om fastställande av kommissionens förslag till energigemenskapens ministerråd om energigemenskapens</w:t>
      </w:r>
      <w:r>
        <w:rPr>
          <w:rFonts w:ascii="Arial" w:hAnsi="Arial"/>
          <w:noProof/>
          <w:sz w:val="22"/>
        </w:rPr>
        <w:t xml:space="preserve"> budget för perioden 2020–2021, </w:t>
      </w: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 xml:space="preserve">med beaktande av artiklarna 24 och 25 i energigemenskapens förfaranden för upprättande av budget, revision och inspektion, </w:t>
      </w: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 xml:space="preserve">eftersom ministerrådet ska anta en tvåårsbudget som täcker energigemenskapens driftsutgifter som </w:t>
      </w:r>
      <w:r>
        <w:rPr>
          <w:rFonts w:ascii="Arial" w:hAnsi="Arial"/>
          <w:noProof/>
          <w:sz w:val="22"/>
        </w:rPr>
        <w:t xml:space="preserve">är nödvändiga för att dess institutioner ska kunna fungera, </w:t>
      </w: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eftersom varje part ska bidra till energigemenskapens budget i enlighet med bilaga IV till fördraget om upprättande av en energigemenskap.</w:t>
      </w: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HÄRIGENOM FÖRESKRIVS FÖLJANDE.</w:t>
      </w:r>
    </w:p>
    <w:p w:rsidR="003454D1" w:rsidRDefault="003454D1">
      <w:pPr>
        <w:rPr>
          <w:rFonts w:ascii="Arial" w:hAnsi="Arial" w:cs="Arial"/>
          <w:b/>
          <w:noProof/>
          <w:sz w:val="22"/>
        </w:rPr>
      </w:pPr>
    </w:p>
    <w:p w:rsidR="003454D1" w:rsidRDefault="008C651D">
      <w:pPr>
        <w:jc w:val="center"/>
        <w:rPr>
          <w:rFonts w:ascii="Arial" w:hAnsi="Arial" w:cs="Arial"/>
          <w:b/>
          <w:noProof/>
          <w:sz w:val="22"/>
        </w:rPr>
      </w:pPr>
      <w:r>
        <w:rPr>
          <w:rFonts w:ascii="Arial" w:hAnsi="Arial"/>
          <w:b/>
          <w:noProof/>
          <w:sz w:val="22"/>
        </w:rPr>
        <w:t>Artikel 1</w:t>
      </w: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Energigemenskapens budget för budgetåren 2020 och 2021 enligt bilagan till detta procedurbeslut antas härmed.</w:t>
      </w:r>
    </w:p>
    <w:p w:rsidR="003454D1" w:rsidRDefault="003454D1">
      <w:pPr>
        <w:rPr>
          <w:rFonts w:ascii="Arial" w:hAnsi="Arial" w:cs="Arial"/>
          <w:b/>
          <w:noProof/>
          <w:sz w:val="22"/>
        </w:rPr>
      </w:pPr>
    </w:p>
    <w:p w:rsidR="003454D1" w:rsidRDefault="008C651D">
      <w:pPr>
        <w:jc w:val="center"/>
        <w:rPr>
          <w:rFonts w:ascii="Arial" w:hAnsi="Arial" w:cs="Arial"/>
          <w:b/>
          <w:noProof/>
          <w:sz w:val="22"/>
        </w:rPr>
      </w:pPr>
      <w:r>
        <w:rPr>
          <w:rFonts w:ascii="Arial" w:hAnsi="Arial"/>
          <w:b/>
          <w:noProof/>
          <w:sz w:val="22"/>
        </w:rPr>
        <w:t>Artikel 2</w:t>
      </w:r>
    </w:p>
    <w:p w:rsidR="003454D1" w:rsidRDefault="003454D1">
      <w:pPr>
        <w:jc w:val="center"/>
        <w:rPr>
          <w:rFonts w:ascii="Arial" w:hAnsi="Arial" w:cs="Arial"/>
          <w:b/>
          <w:noProof/>
          <w:sz w:val="22"/>
        </w:rPr>
      </w:pPr>
    </w:p>
    <w:p w:rsidR="003454D1" w:rsidRDefault="008C651D">
      <w:pPr>
        <w:rPr>
          <w:rFonts w:ascii="Arial" w:hAnsi="Arial" w:cs="Arial"/>
          <w:noProof/>
          <w:sz w:val="22"/>
        </w:rPr>
      </w:pPr>
      <w:r>
        <w:rPr>
          <w:rFonts w:ascii="Arial" w:hAnsi="Arial"/>
          <w:noProof/>
          <w:sz w:val="22"/>
        </w:rPr>
        <w:t xml:space="preserve">Med verkan från och med den 1 januari 2020 anges parternas bidrag till energigemenskapens budget i bilaga till detta procedurbeslut. </w:t>
      </w:r>
    </w:p>
    <w:p w:rsidR="003454D1" w:rsidRDefault="003454D1">
      <w:pPr>
        <w:rPr>
          <w:rFonts w:ascii="Arial" w:hAnsi="Arial" w:cs="Arial"/>
          <w:b/>
          <w:noProof/>
          <w:sz w:val="22"/>
        </w:rPr>
      </w:pPr>
    </w:p>
    <w:p w:rsidR="003454D1" w:rsidRDefault="008C651D">
      <w:pPr>
        <w:jc w:val="center"/>
        <w:rPr>
          <w:rFonts w:ascii="Arial" w:hAnsi="Arial" w:cs="Arial"/>
          <w:b/>
          <w:noProof/>
          <w:sz w:val="22"/>
        </w:rPr>
      </w:pPr>
      <w:r>
        <w:rPr>
          <w:rFonts w:ascii="Arial" w:hAnsi="Arial"/>
          <w:b/>
          <w:noProof/>
          <w:sz w:val="22"/>
        </w:rPr>
        <w:t>Artikel 3</w:t>
      </w:r>
    </w:p>
    <w:p w:rsidR="003454D1" w:rsidRDefault="003454D1">
      <w:pPr>
        <w:jc w:val="center"/>
        <w:rPr>
          <w:rFonts w:ascii="Arial" w:hAnsi="Arial" w:cs="Arial"/>
          <w:b/>
          <w:noProof/>
          <w:sz w:val="22"/>
        </w:rPr>
      </w:pPr>
    </w:p>
    <w:p w:rsidR="003454D1" w:rsidRDefault="008C651D">
      <w:pPr>
        <w:rPr>
          <w:rFonts w:ascii="Arial" w:hAnsi="Arial" w:cs="Arial"/>
          <w:noProof/>
          <w:sz w:val="22"/>
        </w:rPr>
      </w:pPr>
      <w:r>
        <w:rPr>
          <w:rFonts w:ascii="Arial" w:hAnsi="Arial"/>
          <w:noProof/>
          <w:sz w:val="22"/>
        </w:rPr>
        <w:lastRenderedPageBreak/>
        <w:t xml:space="preserve">Detta beslut riktar sig till alla parter och institutioner som omfattas av fördraget om upprättande av en energigemenskap. </w:t>
      </w:r>
    </w:p>
    <w:p w:rsidR="003454D1" w:rsidRDefault="003454D1">
      <w:pPr>
        <w:rPr>
          <w:rFonts w:ascii="Arial" w:hAnsi="Arial" w:cs="Arial"/>
          <w:b/>
          <w:noProof/>
          <w:sz w:val="22"/>
        </w:rPr>
      </w:pPr>
    </w:p>
    <w:p w:rsidR="003454D1" w:rsidRDefault="008C651D">
      <w:pPr>
        <w:jc w:val="center"/>
        <w:rPr>
          <w:rFonts w:ascii="Arial" w:hAnsi="Arial" w:cs="Arial"/>
          <w:b/>
          <w:noProof/>
          <w:sz w:val="22"/>
        </w:rPr>
      </w:pPr>
      <w:r>
        <w:rPr>
          <w:rFonts w:ascii="Arial" w:hAnsi="Arial"/>
          <w:b/>
          <w:noProof/>
          <w:sz w:val="22"/>
        </w:rPr>
        <w:t>Artikel 4</w:t>
      </w:r>
    </w:p>
    <w:p w:rsidR="003454D1" w:rsidRDefault="003454D1">
      <w:pPr>
        <w:jc w:val="center"/>
        <w:rPr>
          <w:rFonts w:ascii="Arial" w:hAnsi="Arial" w:cs="Arial"/>
          <w:b/>
          <w:noProof/>
          <w:sz w:val="22"/>
        </w:rPr>
      </w:pPr>
    </w:p>
    <w:p w:rsidR="003454D1" w:rsidRDefault="008C651D">
      <w:pPr>
        <w:rPr>
          <w:rFonts w:ascii="Arial" w:hAnsi="Arial" w:cs="Arial"/>
          <w:noProof/>
          <w:sz w:val="22"/>
        </w:rPr>
      </w:pPr>
      <w:r>
        <w:rPr>
          <w:rFonts w:ascii="Arial" w:hAnsi="Arial"/>
          <w:noProof/>
          <w:sz w:val="22"/>
        </w:rPr>
        <w:t xml:space="preserve">Direktören för energigemenskapens sekretariat ska göra detta procedurbeslut och dess bilaga tillgänglig för </w:t>
      </w:r>
      <w:r>
        <w:rPr>
          <w:rFonts w:ascii="Arial" w:hAnsi="Arial"/>
          <w:noProof/>
          <w:sz w:val="22"/>
        </w:rPr>
        <w:t xml:space="preserve">alla parter och institutioner som omfattas av fördraget om upprättande av en energigemenskap inom sju dagar från antagandet.  </w:t>
      </w:r>
    </w:p>
    <w:p w:rsidR="003454D1" w:rsidRDefault="003454D1">
      <w:pPr>
        <w:rPr>
          <w:rFonts w:ascii="Arial" w:hAnsi="Arial" w:cs="Arial"/>
          <w:noProof/>
          <w:sz w:val="22"/>
        </w:rPr>
      </w:pPr>
    </w:p>
    <w:p w:rsidR="003454D1" w:rsidRDefault="003454D1">
      <w:pPr>
        <w:rPr>
          <w:rFonts w:ascii="Arial" w:hAnsi="Arial" w:cs="Arial"/>
          <w:noProof/>
          <w:sz w:val="22"/>
        </w:rPr>
      </w:pP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Antaget i Chișinău den 13 december 2019</w:t>
      </w:r>
    </w:p>
    <w:p w:rsidR="003454D1" w:rsidRDefault="003454D1">
      <w:pPr>
        <w:rPr>
          <w:rFonts w:ascii="Arial" w:hAnsi="Arial" w:cs="Arial"/>
          <w:noProof/>
          <w:sz w:val="22"/>
        </w:rPr>
      </w:pP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 xml:space="preserve">På ministerrådets vägnar </w:t>
      </w:r>
    </w:p>
    <w:p w:rsidR="003454D1" w:rsidRDefault="003454D1">
      <w:pPr>
        <w:rPr>
          <w:rFonts w:ascii="Arial" w:hAnsi="Arial" w:cs="Arial"/>
          <w:noProof/>
          <w:sz w:val="22"/>
        </w:rPr>
      </w:pPr>
    </w:p>
    <w:p w:rsidR="003454D1" w:rsidRDefault="003454D1">
      <w:pPr>
        <w:rPr>
          <w:rFonts w:ascii="Arial" w:hAnsi="Arial" w:cs="Arial"/>
          <w:noProof/>
          <w:sz w:val="22"/>
        </w:rPr>
      </w:pPr>
    </w:p>
    <w:p w:rsidR="003454D1" w:rsidRDefault="008C651D">
      <w:pPr>
        <w:rPr>
          <w:rFonts w:ascii="Arial" w:hAnsi="Arial" w:cs="Arial"/>
          <w:noProof/>
          <w:sz w:val="22"/>
        </w:rPr>
      </w:pPr>
      <w:r>
        <w:rPr>
          <w:rFonts w:ascii="Arial" w:hAnsi="Arial"/>
          <w:noProof/>
          <w:sz w:val="22"/>
        </w:rPr>
        <w:t>………………..</w:t>
      </w:r>
    </w:p>
    <w:p w:rsidR="003454D1" w:rsidRDefault="008C651D">
      <w:pPr>
        <w:rPr>
          <w:rFonts w:ascii="Arial" w:hAnsi="Arial" w:cs="Arial"/>
          <w:noProof/>
          <w:sz w:val="22"/>
        </w:rPr>
      </w:pPr>
      <w:r>
        <w:rPr>
          <w:rFonts w:ascii="Arial" w:hAnsi="Arial"/>
          <w:noProof/>
          <w:sz w:val="22"/>
        </w:rPr>
        <w:t>Ordförandeskapet</w:t>
      </w:r>
    </w:p>
    <w:p w:rsidR="003454D1" w:rsidRDefault="003454D1">
      <w:pPr>
        <w:rPr>
          <w:rFonts w:ascii="Arial" w:hAnsi="Arial" w:cs="Arial"/>
          <w:b/>
          <w:noProof/>
          <w:sz w:val="22"/>
        </w:rPr>
      </w:pPr>
    </w:p>
    <w:p w:rsidR="003454D1" w:rsidRDefault="003454D1">
      <w:pPr>
        <w:rPr>
          <w:rFonts w:ascii="Arial" w:hAnsi="Arial" w:cs="Arial"/>
          <w:b/>
          <w:noProof/>
          <w:sz w:val="22"/>
        </w:rPr>
      </w:pPr>
    </w:p>
    <w:p w:rsidR="003454D1" w:rsidRDefault="003454D1">
      <w:pPr>
        <w:rPr>
          <w:rFonts w:ascii="Arial" w:hAnsi="Arial" w:cs="Arial"/>
          <w:b/>
          <w:noProof/>
          <w:sz w:val="22"/>
        </w:rPr>
      </w:pPr>
    </w:p>
    <w:p w:rsidR="003454D1" w:rsidRDefault="008C651D">
      <w:pPr>
        <w:rPr>
          <w:rFonts w:ascii="Arial" w:hAnsi="Arial" w:cs="Arial"/>
          <w:b/>
          <w:noProof/>
          <w:sz w:val="22"/>
        </w:rPr>
      </w:pPr>
      <w:r>
        <w:rPr>
          <w:noProof/>
        </w:rPr>
        <w:br w:type="page"/>
      </w:r>
    </w:p>
    <w:p w:rsidR="003454D1" w:rsidRDefault="008C651D">
      <w:pPr>
        <w:jc w:val="center"/>
        <w:rPr>
          <w:rFonts w:ascii="Arial" w:hAnsi="Arial" w:cs="Arial"/>
          <w:b/>
          <w:noProof/>
          <w:sz w:val="22"/>
        </w:rPr>
      </w:pPr>
      <w:r>
        <w:rPr>
          <w:rFonts w:ascii="Arial" w:hAnsi="Arial"/>
          <w:b/>
          <w:noProof/>
          <w:sz w:val="22"/>
        </w:rPr>
        <w:t xml:space="preserve">Bilaga </w:t>
      </w:r>
    </w:p>
    <w:p w:rsidR="003454D1" w:rsidRDefault="003454D1">
      <w:pPr>
        <w:jc w:val="center"/>
        <w:rPr>
          <w:rFonts w:ascii="Arial" w:hAnsi="Arial" w:cs="Arial"/>
          <w:b/>
          <w:noProof/>
          <w:sz w:val="22"/>
        </w:rPr>
      </w:pPr>
    </w:p>
    <w:p w:rsidR="003454D1" w:rsidRDefault="008C651D">
      <w:pPr>
        <w:jc w:val="center"/>
        <w:rPr>
          <w:rFonts w:ascii="Arial" w:hAnsi="Arial" w:cs="Arial"/>
          <w:b/>
          <w:noProof/>
          <w:sz w:val="22"/>
        </w:rPr>
      </w:pPr>
      <w:r>
        <w:rPr>
          <w:rFonts w:ascii="Arial" w:hAnsi="Arial"/>
          <w:b/>
          <w:noProof/>
          <w:sz w:val="22"/>
        </w:rPr>
        <w:t xml:space="preserve">till </w:t>
      </w:r>
      <w:r>
        <w:rPr>
          <w:rFonts w:ascii="Arial" w:hAnsi="Arial"/>
          <w:b/>
          <w:noProof/>
          <w:sz w:val="22"/>
        </w:rPr>
        <w:t>kommissionens beslut ……………………… om fastställande av kommissionens förslag till energigemenskapens ministerråd om energigemenskapens budget för perioden 2018–2019</w:t>
      </w:r>
    </w:p>
    <w:p w:rsidR="003454D1" w:rsidRDefault="003454D1">
      <w:pPr>
        <w:pStyle w:val="Default"/>
        <w:jc w:val="both"/>
        <w:rPr>
          <w:rFonts w:ascii="Arial" w:hAnsi="Arial" w:cs="Arial"/>
          <w:noProof/>
          <w:sz w:val="22"/>
          <w:szCs w:val="22"/>
          <w:lang w:val="sv-SE"/>
        </w:rPr>
      </w:pPr>
    </w:p>
    <w:p w:rsidR="003454D1" w:rsidRDefault="008C651D">
      <w:pPr>
        <w:pStyle w:val="CM1"/>
        <w:spacing w:before="200" w:after="200"/>
        <w:jc w:val="center"/>
        <w:rPr>
          <w:rFonts w:ascii="Arial" w:hAnsi="Arial" w:cs="Arial"/>
          <w:b/>
          <w:noProof/>
          <w:sz w:val="28"/>
          <w:szCs w:val="28"/>
          <w:lang w:val="sv-SE"/>
        </w:rPr>
      </w:pPr>
      <w:r>
        <w:rPr>
          <w:rFonts w:ascii="Arial" w:hAnsi="Arial"/>
          <w:b/>
          <w:noProof/>
          <w:sz w:val="28"/>
          <w:szCs w:val="28"/>
          <w:lang w:val="sv-SE"/>
        </w:rPr>
        <w:t>Motivering till energigemenskapens budget för perioden 2020–2021</w:t>
      </w:r>
    </w:p>
    <w:p w:rsidR="003454D1" w:rsidRDefault="003454D1">
      <w:pPr>
        <w:pStyle w:val="Default"/>
        <w:rPr>
          <w:noProof/>
          <w:lang w:val="sv-SE"/>
        </w:rPr>
      </w:pPr>
    </w:p>
    <w:p w:rsidR="003454D1" w:rsidRDefault="008C651D">
      <w:pPr>
        <w:pStyle w:val="NumPar1"/>
        <w:numPr>
          <w:ilvl w:val="0"/>
          <w:numId w:val="11"/>
        </w:numPr>
        <w:rPr>
          <w:noProof/>
        </w:rPr>
      </w:pPr>
      <w:r>
        <w:rPr>
          <w:noProof/>
        </w:rPr>
        <w:t xml:space="preserve">Bakgrund till förslaget </w:t>
      </w:r>
    </w:p>
    <w:p w:rsidR="003454D1" w:rsidRDefault="008C651D">
      <w:pPr>
        <w:pStyle w:val="NumPar2"/>
        <w:rPr>
          <w:noProof/>
        </w:rPr>
      </w:pPr>
      <w:r>
        <w:rPr>
          <w:noProof/>
        </w:rPr>
        <w:t xml:space="preserve">Fördragsgrund </w:t>
      </w:r>
    </w:p>
    <w:p w:rsidR="003454D1" w:rsidRDefault="003454D1">
      <w:pPr>
        <w:rPr>
          <w:noProof/>
        </w:rPr>
      </w:pPr>
    </w:p>
    <w:p w:rsidR="003454D1" w:rsidRDefault="008C651D">
      <w:pPr>
        <w:rPr>
          <w:rFonts w:ascii="Arial" w:hAnsi="Arial" w:cs="Arial"/>
          <w:i/>
          <w:noProof/>
          <w:sz w:val="22"/>
        </w:rPr>
      </w:pPr>
      <w:r>
        <w:rPr>
          <w:rFonts w:ascii="Arial" w:hAnsi="Arial"/>
          <w:noProof/>
          <w:sz w:val="22"/>
        </w:rPr>
        <w:t xml:space="preserve">I artiklarna 73 och 74 i fördraget om upprättande av en energigemenskap (nedan kallat </w:t>
      </w:r>
      <w:r>
        <w:rPr>
          <w:rFonts w:ascii="Arial" w:hAnsi="Arial"/>
          <w:i/>
          <w:noProof/>
          <w:sz w:val="22"/>
        </w:rPr>
        <w:t>fördraget</w:t>
      </w:r>
      <w:r>
        <w:rPr>
          <w:rFonts w:ascii="Arial" w:hAnsi="Arial"/>
          <w:noProof/>
          <w:sz w:val="22"/>
        </w:rPr>
        <w:t>) anges att ett procedurbeslut som antagits enhälligt av ministerrådet på förslag av Europeiska kommissionen ska fastställa en tvåårig budget för</w:t>
      </w:r>
      <w:r>
        <w:rPr>
          <w:rFonts w:ascii="Arial" w:hAnsi="Arial"/>
          <w:noProof/>
          <w:sz w:val="22"/>
        </w:rPr>
        <w:t xml:space="preserve"> energigemenskapen. Den omfattar även energigemenskapens driftsutgifter som är nödvändiga för att dess institutioner ska fungera.</w:t>
      </w:r>
      <w:r>
        <w:rPr>
          <w:rFonts w:ascii="Arial" w:hAnsi="Arial"/>
          <w:i/>
          <w:noProof/>
          <w:sz w:val="22"/>
        </w:rPr>
        <w:t xml:space="preserve"> </w:t>
      </w:r>
    </w:p>
    <w:p w:rsidR="003454D1" w:rsidRDefault="008C651D">
      <w:pPr>
        <w:rPr>
          <w:rFonts w:ascii="Arial" w:hAnsi="Arial" w:cs="Arial"/>
          <w:noProof/>
          <w:sz w:val="22"/>
        </w:rPr>
      </w:pPr>
      <w:r>
        <w:rPr>
          <w:rFonts w:ascii="Arial" w:hAnsi="Arial"/>
          <w:noProof/>
          <w:sz w:val="22"/>
        </w:rPr>
        <w:t>Föreliggande budgetförslag och motivering har utarbetats av direktören i enlighet med artikel 30 i energigemenskapens förfara</w:t>
      </w:r>
      <w:r>
        <w:rPr>
          <w:rFonts w:ascii="Arial" w:hAnsi="Arial"/>
          <w:noProof/>
          <w:sz w:val="22"/>
        </w:rPr>
        <w:t xml:space="preserve">nden för upprättande och genomförande av budgeten samt revision och inspektion (nedan kallade </w:t>
      </w:r>
      <w:r>
        <w:rPr>
          <w:rFonts w:ascii="Arial" w:hAnsi="Arial"/>
          <w:i/>
          <w:noProof/>
          <w:sz w:val="22"/>
        </w:rPr>
        <w:t>budgetförfarandena</w:t>
      </w:r>
      <w:r>
        <w:rPr>
          <w:rFonts w:ascii="Arial" w:hAnsi="Arial"/>
          <w:noProof/>
          <w:sz w:val="22"/>
        </w:rPr>
        <w:t xml:space="preserve">). </w:t>
      </w:r>
    </w:p>
    <w:p w:rsidR="003454D1" w:rsidRDefault="008C651D">
      <w:pPr>
        <w:pStyle w:val="NumPar2"/>
        <w:rPr>
          <w:noProof/>
        </w:rPr>
      </w:pPr>
      <w:r>
        <w:rPr>
          <w:noProof/>
        </w:rPr>
        <w:t>Bestämmelser rörande energigemenskapens budget för 2020–2021</w:t>
      </w:r>
    </w:p>
    <w:p w:rsidR="003454D1" w:rsidRDefault="008C651D">
      <w:pPr>
        <w:rPr>
          <w:rFonts w:ascii="Arial" w:hAnsi="Arial" w:cs="Arial"/>
          <w:noProof/>
          <w:sz w:val="22"/>
        </w:rPr>
      </w:pPr>
      <w:r>
        <w:rPr>
          <w:rFonts w:ascii="Arial" w:hAnsi="Arial"/>
          <w:noProof/>
          <w:sz w:val="22"/>
        </w:rPr>
        <w:t>Vägledande principer och bestämmelser för utarbetandet av budgeten (om innehåll</w:t>
      </w:r>
      <w:r>
        <w:rPr>
          <w:rFonts w:ascii="Arial" w:hAnsi="Arial"/>
          <w:noProof/>
          <w:sz w:val="22"/>
        </w:rPr>
        <w:t xml:space="preserve"> och struktur) fastställs i energigemenskapens budgetförfaranden (ändrade 2014). </w:t>
      </w:r>
    </w:p>
    <w:p w:rsidR="003454D1" w:rsidRDefault="008C651D">
      <w:pPr>
        <w:rPr>
          <w:rFonts w:ascii="Arial" w:hAnsi="Arial" w:cs="Arial"/>
          <w:noProof/>
          <w:sz w:val="22"/>
        </w:rPr>
      </w:pPr>
      <w:r>
        <w:rPr>
          <w:rFonts w:ascii="Arial" w:hAnsi="Arial"/>
          <w:noProof/>
          <w:sz w:val="22"/>
        </w:rPr>
        <w:t xml:space="preserve">En ytterligare princip som tillämpas för första gången i processen hänger samman med införandet av principer för verksamhetsbaserad budgetering i energigemenskapens framtida </w:t>
      </w:r>
      <w:r>
        <w:rPr>
          <w:rFonts w:ascii="Arial" w:hAnsi="Arial"/>
          <w:noProof/>
          <w:sz w:val="22"/>
        </w:rPr>
        <w:t xml:space="preserve">rapporteringssystem. </w:t>
      </w:r>
    </w:p>
    <w:p w:rsidR="003454D1" w:rsidRDefault="008C651D">
      <w:pPr>
        <w:pStyle w:val="NumPar1"/>
        <w:rPr>
          <w:noProof/>
        </w:rPr>
      </w:pPr>
      <w:r>
        <w:rPr>
          <w:noProof/>
        </w:rPr>
        <w:t>Utkast till arbetsprogram 2020–2021</w:t>
      </w:r>
    </w:p>
    <w:p w:rsidR="003454D1" w:rsidRDefault="003454D1">
      <w:pPr>
        <w:rPr>
          <w:noProof/>
        </w:rPr>
      </w:pPr>
    </w:p>
    <w:p w:rsidR="003454D1" w:rsidRDefault="008C651D">
      <w:pPr>
        <w:ind w:right="142"/>
        <w:rPr>
          <w:rFonts w:ascii="Arial" w:hAnsi="Arial" w:cs="Arial"/>
          <w:noProof/>
          <w:sz w:val="22"/>
        </w:rPr>
      </w:pPr>
      <w:r>
        <w:rPr>
          <w:rFonts w:ascii="Arial" w:hAnsi="Arial"/>
          <w:noProof/>
          <w:sz w:val="22"/>
        </w:rPr>
        <w:t xml:space="preserve">Även om vikt läggs vid att ta itu med nya utmaningar kommer prioriteringarna för energigemenskapen och dess institutioner, inbegripet sekretariatet, att vara starkt inriktade på att nå de centrala </w:t>
      </w:r>
      <w:r>
        <w:rPr>
          <w:rFonts w:ascii="Arial" w:hAnsi="Arial"/>
          <w:noProof/>
          <w:sz w:val="22"/>
        </w:rPr>
        <w:t xml:space="preserve">mål som fastställs i fördraget, nämligen följande:  </w:t>
      </w:r>
    </w:p>
    <w:p w:rsidR="003454D1" w:rsidRDefault="003454D1">
      <w:pPr>
        <w:ind w:right="142"/>
        <w:rPr>
          <w:rFonts w:ascii="Arial" w:hAnsi="Arial" w:cs="Arial"/>
          <w:noProof/>
          <w:sz w:val="22"/>
        </w:rPr>
      </w:pPr>
    </w:p>
    <w:p w:rsidR="003454D1" w:rsidRDefault="008C651D">
      <w:pPr>
        <w:pStyle w:val="NumPar1"/>
        <w:rPr>
          <w:noProof/>
        </w:rPr>
      </w:pPr>
      <w:r>
        <w:rPr>
          <w:noProof/>
        </w:rPr>
        <w:t>Utsträcka EU:s regler och principer för den inre energimarknaden till att även omfatta länder i sydöstra Europa, Svartahavsområdet och där bortom på grundval av en rättsligt bindande ram.</w:t>
      </w:r>
    </w:p>
    <w:p w:rsidR="003454D1" w:rsidRDefault="008C651D">
      <w:pPr>
        <w:pStyle w:val="NumPar1"/>
        <w:rPr>
          <w:noProof/>
        </w:rPr>
      </w:pPr>
      <w:r>
        <w:rPr>
          <w:noProof/>
        </w:rPr>
        <w:t>Skapa en stabi</w:t>
      </w:r>
      <w:r>
        <w:rPr>
          <w:noProof/>
        </w:rPr>
        <w:t>l reglerings- och marknadsram som kan locka till sig investeringar i energiproduktion och -nät.</w:t>
      </w:r>
    </w:p>
    <w:p w:rsidR="003454D1" w:rsidRDefault="008C651D">
      <w:pPr>
        <w:pStyle w:val="NumPar1"/>
        <w:rPr>
          <w:noProof/>
        </w:rPr>
      </w:pPr>
      <w:r>
        <w:rPr>
          <w:noProof/>
        </w:rPr>
        <w:t>Skapa en integrerad energimarknad som möjliggör gränsöverskridande energihandel och integration med EU-marknaden.</w:t>
      </w:r>
    </w:p>
    <w:p w:rsidR="003454D1" w:rsidRDefault="008C651D">
      <w:pPr>
        <w:pStyle w:val="NumPar1"/>
        <w:rPr>
          <w:noProof/>
        </w:rPr>
      </w:pPr>
      <w:r>
        <w:rPr>
          <w:noProof/>
        </w:rPr>
        <w:t>Öka försörjningstryggheten för att säkerställa</w:t>
      </w:r>
      <w:r>
        <w:rPr>
          <w:noProof/>
        </w:rPr>
        <w:t xml:space="preserve"> en stabil och kontinuerlig energiförsörjning som är avgörande för den ekonomiska utvecklingen och den sociala stabiliteten.</w:t>
      </w:r>
    </w:p>
    <w:p w:rsidR="003454D1" w:rsidRDefault="008C651D">
      <w:pPr>
        <w:pStyle w:val="NumPar1"/>
        <w:rPr>
          <w:noProof/>
        </w:rPr>
      </w:pPr>
      <w:r>
        <w:rPr>
          <w:noProof/>
        </w:rPr>
        <w:t>Förbättra miljösituationen med avseende på energiförsörjningen i regionen och främja användningen av förnybar energi och energieffe</w:t>
      </w:r>
      <w:r>
        <w:rPr>
          <w:noProof/>
        </w:rPr>
        <w:t xml:space="preserve">ktivitet. </w:t>
      </w:r>
    </w:p>
    <w:p w:rsidR="003454D1" w:rsidRDefault="008C651D">
      <w:pPr>
        <w:ind w:right="142"/>
        <w:rPr>
          <w:rFonts w:ascii="Arial" w:hAnsi="Arial" w:cs="Arial"/>
          <w:noProof/>
          <w:sz w:val="22"/>
        </w:rPr>
      </w:pPr>
      <w:r>
        <w:rPr>
          <w:rFonts w:ascii="Arial" w:hAnsi="Arial"/>
          <w:noProof/>
          <w:sz w:val="22"/>
        </w:rPr>
        <w:t xml:space="preserve">Sekretariatet kommer att fortsätta att stödja de fördragsslutande parterna vid införlivandet och genomförandet av gemenskapens regelverk.  I situationer där det saknas framsteg kommer sekretariatets experter i allt högre grad att engagera sig i </w:t>
      </w:r>
      <w:r>
        <w:rPr>
          <w:rFonts w:ascii="Arial" w:hAnsi="Arial"/>
          <w:noProof/>
          <w:sz w:val="22"/>
        </w:rPr>
        <w:t>enskilda fall och ge skräddarsytt stöd, antingen genom landsspecifika genomförandeuppdrag eller genom förvaltning av externa konsulttjänster. Efterlevnadsmekanismen enligt fördraget kommer, med stöd av medling och tvistlösning, att fortsätta fungera som et</w:t>
      </w:r>
      <w:r>
        <w:rPr>
          <w:rFonts w:ascii="Arial" w:hAnsi="Arial"/>
          <w:noProof/>
          <w:sz w:val="22"/>
        </w:rPr>
        <w:t xml:space="preserve">t viktigt verktyg för att stödja genomförandet av fördraget i fall där andra typer av stöd har misslyckats (t.ex. utarbetande av utkast, kunskapsdelning, kapacitetsuppbyggnad). </w:t>
      </w:r>
    </w:p>
    <w:p w:rsidR="003454D1" w:rsidRDefault="003454D1">
      <w:pPr>
        <w:ind w:right="142"/>
        <w:rPr>
          <w:rFonts w:ascii="Arial" w:hAnsi="Arial" w:cs="Arial"/>
          <w:noProof/>
          <w:sz w:val="22"/>
        </w:rPr>
      </w:pPr>
    </w:p>
    <w:p w:rsidR="003454D1" w:rsidRDefault="008C651D">
      <w:pPr>
        <w:ind w:right="142"/>
        <w:rPr>
          <w:rFonts w:ascii="Arial" w:hAnsi="Arial" w:cs="Arial"/>
          <w:noProof/>
          <w:sz w:val="22"/>
        </w:rPr>
      </w:pPr>
      <w:r>
        <w:rPr>
          <w:rFonts w:ascii="Arial" w:hAnsi="Arial"/>
          <w:noProof/>
          <w:sz w:val="22"/>
        </w:rPr>
        <w:t xml:space="preserve">Samtidigt måste förordningen om integritet och öppenhet på grossistmarknaderna för energi (Remit) och nätföreskrifterna och riktlinjerna för gas, som nyligen antagits av energigemenskapens beslutande organ, införlivas och genomföras. Ytterligare uppgifter </w:t>
      </w:r>
      <w:r>
        <w:rPr>
          <w:rFonts w:ascii="Arial" w:hAnsi="Arial"/>
          <w:noProof/>
          <w:sz w:val="22"/>
        </w:rPr>
        <w:t>rörande infrastrukturfrågor (inom PECI/PMI, dvs. projekt av intresse för energigemenskapen eller projekt av ömsesidigt intresse) kommer att finnas kvar på sekretariatets dagordning, och det kommer att krävas regelbunden rapportering i enlighet med den till</w:t>
      </w:r>
      <w:r>
        <w:rPr>
          <w:rFonts w:ascii="Arial" w:hAnsi="Arial"/>
          <w:noProof/>
          <w:sz w:val="22"/>
        </w:rPr>
        <w:t xml:space="preserve">ämpliga förordningen. </w:t>
      </w:r>
    </w:p>
    <w:p w:rsidR="003454D1" w:rsidRDefault="003454D1">
      <w:pPr>
        <w:ind w:right="142"/>
        <w:rPr>
          <w:rFonts w:ascii="Arial" w:hAnsi="Arial" w:cs="Arial"/>
          <w:noProof/>
          <w:sz w:val="22"/>
        </w:rPr>
      </w:pPr>
    </w:p>
    <w:p w:rsidR="003454D1" w:rsidRDefault="008C651D">
      <w:pPr>
        <w:ind w:right="142"/>
        <w:rPr>
          <w:rFonts w:ascii="Arial" w:hAnsi="Arial" w:cs="Arial"/>
          <w:noProof/>
          <w:sz w:val="22"/>
        </w:rPr>
      </w:pPr>
      <w:r>
        <w:rPr>
          <w:rFonts w:ascii="Arial" w:hAnsi="Arial"/>
          <w:noProof/>
          <w:sz w:val="22"/>
        </w:rPr>
        <w:t>Riktlinjerna för allmän policy om 2030 års mål för energigemenskapens fördragsslutande parter, som antogs i december 2018, fastställer den framtida inriktningen för energigemenskapens arbete på området för minskade koldioxidutsläpp.</w:t>
      </w:r>
      <w:r>
        <w:rPr>
          <w:rFonts w:ascii="Arial" w:hAnsi="Arial"/>
          <w:noProof/>
          <w:sz w:val="22"/>
        </w:rPr>
        <w:t xml:space="preserve"> Vid nämnda möte i december meddelade ministerrådet att man skulle arbeta för att införliva paketet för ren energi. De första delarna av paketet, som kan införlivas i regelverket redan under 2019, är det omarbetade direktivet om förnybar energi, det ändrad</w:t>
      </w:r>
      <w:r>
        <w:rPr>
          <w:rFonts w:ascii="Arial" w:hAnsi="Arial"/>
          <w:noProof/>
          <w:sz w:val="22"/>
        </w:rPr>
        <w:t>e direktivet om energieffektivitet och det ändrade direktivet om byggnaders energiprestanda samt förordningen om styrning. Detta kommer att leda till ytterligare uppgifter och skyldigheter för de fördragsslutande parterna och kräva nya insatser från sekret</w:t>
      </w:r>
      <w:r>
        <w:rPr>
          <w:rFonts w:ascii="Arial" w:hAnsi="Arial"/>
          <w:noProof/>
          <w:sz w:val="22"/>
        </w:rPr>
        <w:t>ariatet. En särskilt utmanande skyldighet kommer att vara utarbetandet och antagandet av nationella energi- och klimatplaner.</w:t>
      </w:r>
    </w:p>
    <w:p w:rsidR="003454D1" w:rsidRDefault="008C651D">
      <w:pPr>
        <w:ind w:right="142"/>
        <w:rPr>
          <w:rFonts w:ascii="Arial" w:hAnsi="Arial" w:cs="Arial"/>
          <w:noProof/>
          <w:sz w:val="22"/>
        </w:rPr>
      </w:pPr>
      <w:r>
        <w:rPr>
          <w:rFonts w:ascii="Arial" w:hAnsi="Arial"/>
          <w:noProof/>
          <w:sz w:val="22"/>
        </w:rPr>
        <w:t>Vidare innehåller regelverket om tryggad gasförsörjning och befintliga och framtida nätföreskrifter ett antal nya uppgifter för se</w:t>
      </w:r>
      <w:r>
        <w:rPr>
          <w:rFonts w:ascii="Arial" w:hAnsi="Arial"/>
          <w:noProof/>
          <w:sz w:val="22"/>
        </w:rPr>
        <w:t xml:space="preserve">kretariatet och energigemenskapens tillsynsnämnd. </w:t>
      </w:r>
    </w:p>
    <w:p w:rsidR="003454D1" w:rsidRDefault="008C651D">
      <w:pPr>
        <w:ind w:right="142"/>
        <w:rPr>
          <w:rFonts w:ascii="Arial" w:hAnsi="Arial" w:cs="Arial"/>
          <w:noProof/>
          <w:sz w:val="22"/>
        </w:rPr>
      </w:pPr>
      <w:r>
        <w:rPr>
          <w:rFonts w:ascii="Arial" w:hAnsi="Arial"/>
          <w:noProof/>
          <w:sz w:val="22"/>
        </w:rPr>
        <w:t>Dessutom kommer ministerrådets antagande av procedurbeslut om upprättande av och arbete inom samordningsgruppen för energigemenskapens systemansvariga för distributionssystem för el och för samordningsgrup</w:t>
      </w:r>
      <w:r>
        <w:rPr>
          <w:rFonts w:ascii="Arial" w:hAnsi="Arial"/>
          <w:noProof/>
          <w:sz w:val="22"/>
        </w:rPr>
        <w:t xml:space="preserve">pen för energigemenskapen i fråga om it-säkerhet och kritisk infrastruktur att resultera i ett antal nya uppgifter, t.ex. organisation och förberedelse av möten, övergripande stöd till arbetsgrupperna osv. </w:t>
      </w:r>
    </w:p>
    <w:p w:rsidR="003454D1" w:rsidRDefault="008C651D">
      <w:pPr>
        <w:ind w:right="142"/>
        <w:rPr>
          <w:rFonts w:ascii="Arial" w:hAnsi="Arial" w:cs="Arial"/>
          <w:noProof/>
          <w:sz w:val="22"/>
        </w:rPr>
      </w:pPr>
      <w:r>
        <w:rPr>
          <w:rFonts w:ascii="Arial" w:hAnsi="Arial"/>
          <w:noProof/>
          <w:sz w:val="22"/>
        </w:rPr>
        <w:t>Med de befintliga och nya uppgifter som följer av</w:t>
      </w:r>
      <w:r>
        <w:rPr>
          <w:rFonts w:ascii="Arial" w:hAnsi="Arial"/>
          <w:noProof/>
          <w:sz w:val="22"/>
        </w:rPr>
        <w:t xml:space="preserve"> sekretariatets mandat har förteckningen över rapporteringsskyldigheter gentemot olika energigemenskapsinstitutioner (t.ex. ministerrådet, energigemenskapens tillsynsnämnd, den permanenta högnivågruppen) och Europeiska kommissionen ökat stadigt. Närmare up</w:t>
      </w:r>
      <w:r>
        <w:rPr>
          <w:rFonts w:ascii="Arial" w:hAnsi="Arial"/>
          <w:noProof/>
          <w:sz w:val="22"/>
        </w:rPr>
        <w:t xml:space="preserve">plysningar om rapporteringsskyldigheterna finns i bilaga II till arbetsprogrammet. </w:t>
      </w:r>
    </w:p>
    <w:p w:rsidR="003454D1" w:rsidRDefault="008C651D">
      <w:pPr>
        <w:ind w:right="142"/>
        <w:rPr>
          <w:rFonts w:ascii="Arial" w:hAnsi="Arial" w:cs="Arial"/>
          <w:noProof/>
          <w:sz w:val="22"/>
        </w:rPr>
      </w:pPr>
      <w:r>
        <w:rPr>
          <w:rFonts w:ascii="Arial" w:hAnsi="Arial"/>
          <w:noProof/>
          <w:sz w:val="22"/>
        </w:rPr>
        <w:t xml:space="preserve">Överlag återspeglar sekretariatets arbete tre huvudsakliga prioriterade områden i enlighet med artikel 67 i fördraget: </w:t>
      </w:r>
    </w:p>
    <w:p w:rsidR="003454D1" w:rsidRDefault="003454D1">
      <w:pPr>
        <w:ind w:right="142"/>
        <w:rPr>
          <w:rFonts w:ascii="Arial" w:hAnsi="Arial" w:cs="Arial"/>
          <w:noProof/>
          <w:sz w:val="22"/>
        </w:rPr>
      </w:pPr>
    </w:p>
    <w:p w:rsidR="003454D1" w:rsidRDefault="008C651D">
      <w:pPr>
        <w:pStyle w:val="Tiret0"/>
        <w:numPr>
          <w:ilvl w:val="0"/>
          <w:numId w:val="12"/>
        </w:numPr>
        <w:rPr>
          <w:noProof/>
        </w:rPr>
      </w:pPr>
      <w:r>
        <w:rPr>
          <w:noProof/>
          <w:u w:val="single"/>
        </w:rPr>
        <w:t>Verksamhet 1 (A1)</w:t>
      </w:r>
      <w:r>
        <w:rPr>
          <w:noProof/>
        </w:rPr>
        <w:t xml:space="preserve"> — Genomförande av regelverket i e</w:t>
      </w:r>
      <w:r>
        <w:rPr>
          <w:noProof/>
        </w:rPr>
        <w:t xml:space="preserve">nlighet med artikel 67 b i fördraget, med inriktning på det bistånd som erbjuds de avtalsslutande parterna för att stödja ett korrekt fullgörande av skyldigheterna enligt fördraget och årlig lägesrapportering till ministerrådet. </w:t>
      </w:r>
    </w:p>
    <w:p w:rsidR="003454D1" w:rsidRDefault="008C651D">
      <w:pPr>
        <w:pStyle w:val="Tiret0"/>
        <w:rPr>
          <w:noProof/>
        </w:rPr>
      </w:pPr>
      <w:r>
        <w:rPr>
          <w:noProof/>
          <w:u w:val="single"/>
        </w:rPr>
        <w:t>Verksamhet 2 (A2)</w:t>
      </w:r>
      <w:r>
        <w:rPr>
          <w:noProof/>
        </w:rPr>
        <w:t xml:space="preserve"> — Stöd t</w:t>
      </w:r>
      <w:r>
        <w:rPr>
          <w:noProof/>
        </w:rPr>
        <w:t xml:space="preserve">ill givare och till Europeiska kommissionens samordning av givarnas verksamhet i enlighet med artikel 67 c, inbegripet stöd till givarsamfundets arbete på områdena för energigemenskapens tillämpningsområde i de fördragsslutande parterna.   </w:t>
      </w:r>
    </w:p>
    <w:p w:rsidR="003454D1" w:rsidRDefault="008C651D">
      <w:pPr>
        <w:pStyle w:val="Tiret0"/>
        <w:rPr>
          <w:noProof/>
        </w:rPr>
      </w:pPr>
      <w:r>
        <w:rPr>
          <w:noProof/>
          <w:u w:val="single"/>
        </w:rPr>
        <w:t>Verksamhet 3 (A</w:t>
      </w:r>
      <w:r>
        <w:rPr>
          <w:noProof/>
          <w:u w:val="single"/>
        </w:rPr>
        <w:t>3)</w:t>
      </w:r>
      <w:r>
        <w:rPr>
          <w:noProof/>
        </w:rPr>
        <w:t xml:space="preserve"> — Administrativt stöd till institutioner och organ i enlighet med artikel 67 a vad gäller underlättande och organisering av arbetet i energigemenskapens institutioner och organ som inrättats genom ministerrådets beslut.</w:t>
      </w:r>
    </w:p>
    <w:p w:rsidR="003454D1" w:rsidRDefault="008C651D">
      <w:pPr>
        <w:rPr>
          <w:rFonts w:ascii="Arial" w:hAnsi="Arial" w:cs="Arial"/>
          <w:noProof/>
          <w:sz w:val="22"/>
        </w:rPr>
      </w:pPr>
      <w:r>
        <w:rPr>
          <w:rFonts w:ascii="Arial" w:hAnsi="Arial"/>
          <w:noProof/>
          <w:sz w:val="22"/>
        </w:rPr>
        <w:t>De huvudsakliga verksamheterna, s</w:t>
      </w:r>
      <w:r>
        <w:rPr>
          <w:rFonts w:ascii="Arial" w:hAnsi="Arial"/>
          <w:noProof/>
          <w:sz w:val="22"/>
        </w:rPr>
        <w:t>om de definieras för rapporteringsändamål i arbetsprogrammet, är vidare indelade i åtgärder (se bilaga I till arbetsprogrammet för 2020–2021). Fortsatt rapportering om budgetutnyttjandet kommer att ske i enlighet med fastställda verksamheter (se A1–A3 ovan</w:t>
      </w:r>
      <w:r>
        <w:rPr>
          <w:rFonts w:ascii="Arial" w:hAnsi="Arial"/>
          <w:noProof/>
          <w:sz w:val="22"/>
        </w:rPr>
        <w:t xml:space="preserve">) och motsvarande indikatorer. </w:t>
      </w:r>
    </w:p>
    <w:p w:rsidR="003454D1" w:rsidRDefault="008C651D">
      <w:pPr>
        <w:rPr>
          <w:rFonts w:ascii="Arial" w:hAnsi="Arial" w:cs="Arial"/>
          <w:noProof/>
          <w:sz w:val="22"/>
        </w:rPr>
      </w:pPr>
      <w:r>
        <w:rPr>
          <w:rFonts w:ascii="Arial" w:hAnsi="Arial"/>
          <w:noProof/>
          <w:sz w:val="22"/>
        </w:rPr>
        <w:t xml:space="preserve">Detta dokument avser dock planering av resurser i enlighet med principerna för </w:t>
      </w:r>
      <w:r>
        <w:rPr>
          <w:rFonts w:ascii="Arial" w:hAnsi="Arial"/>
          <w:i/>
          <w:noProof/>
          <w:sz w:val="22"/>
        </w:rPr>
        <w:t>budgetförfarandena</w:t>
      </w:r>
      <w:r>
        <w:rPr>
          <w:rFonts w:ascii="Arial" w:hAnsi="Arial"/>
          <w:noProof/>
          <w:sz w:val="22"/>
        </w:rPr>
        <w:t xml:space="preserve"> ( se nedan). </w:t>
      </w:r>
    </w:p>
    <w:p w:rsidR="003454D1" w:rsidRDefault="008C651D">
      <w:pPr>
        <w:pStyle w:val="NumPar1"/>
        <w:rPr>
          <w:noProof/>
        </w:rPr>
      </w:pPr>
      <w:r>
        <w:rPr>
          <w:noProof/>
        </w:rPr>
        <w:t xml:space="preserve">Budgetantaganden </w:t>
      </w:r>
    </w:p>
    <w:p w:rsidR="003454D1" w:rsidRDefault="008C651D">
      <w:pPr>
        <w:rPr>
          <w:noProof/>
        </w:rPr>
      </w:pPr>
      <w:r>
        <w:rPr>
          <w:rFonts w:ascii="Arial" w:hAnsi="Arial"/>
          <w:noProof/>
          <w:sz w:val="22"/>
        </w:rPr>
        <w:t>Det viktigaste antagandet som ligger till grund för budgetförslaget är att den stabila rättsli</w:t>
      </w:r>
      <w:r>
        <w:rPr>
          <w:rFonts w:ascii="Arial" w:hAnsi="Arial"/>
          <w:noProof/>
          <w:sz w:val="22"/>
        </w:rPr>
        <w:t>ga och finansiella ramen även fortsättningsvis kommer att kunna tillämpas på energigemenskapens verksamhet. De planerade ändringarna av fördraget för att förbättra dess funktion, som ministerrådet planeras anta under 2019 med stöd av det sittande ordförand</w:t>
      </w:r>
      <w:r>
        <w:rPr>
          <w:rFonts w:ascii="Arial" w:hAnsi="Arial"/>
          <w:noProof/>
          <w:sz w:val="22"/>
        </w:rPr>
        <w:t>eskapet och sekretariatet, är ett första steg i säkerställandet av att gemenskapen kommer att fortsätta arbeta för att energigemenskapens mål ska uppnås och uppfylla kraven på att skapa en inre marknad för energi. När det gäller den finansiella planeringen</w:t>
      </w:r>
      <w:r>
        <w:rPr>
          <w:rFonts w:ascii="Arial" w:hAnsi="Arial"/>
          <w:noProof/>
          <w:sz w:val="22"/>
        </w:rPr>
        <w:t xml:space="preserve"> för 2020–2021 beaktades erfarenheterna av budgetgenomförandet under de tre föregående åren samt den strategiska planeringen av framtida uppgifter och verksamheter enligt arbetsprogrammet. </w:t>
      </w:r>
    </w:p>
    <w:p w:rsidR="003454D1" w:rsidRDefault="008C651D">
      <w:pPr>
        <w:pStyle w:val="NumPar1"/>
        <w:rPr>
          <w:noProof/>
        </w:rPr>
      </w:pPr>
      <w:r>
        <w:rPr>
          <w:noProof/>
        </w:rPr>
        <w:t xml:space="preserve">Energigemenskapens budgetstruktur </w:t>
      </w:r>
    </w:p>
    <w:p w:rsidR="003454D1" w:rsidRDefault="008C651D">
      <w:pPr>
        <w:rPr>
          <w:rFonts w:ascii="Arial" w:hAnsi="Arial" w:cs="Arial"/>
          <w:noProof/>
          <w:sz w:val="22"/>
        </w:rPr>
      </w:pPr>
      <w:r>
        <w:rPr>
          <w:rFonts w:ascii="Arial" w:hAnsi="Arial"/>
          <w:noProof/>
          <w:sz w:val="22"/>
        </w:rPr>
        <w:t>Den ekonomiska planeringen följ</w:t>
      </w:r>
      <w:r>
        <w:rPr>
          <w:rFonts w:ascii="Arial" w:hAnsi="Arial"/>
          <w:noProof/>
          <w:sz w:val="22"/>
        </w:rPr>
        <w:t xml:space="preserve">er den fastställda budgetstrukturen genom att tillämpningsregler tillhandahålls. Denna stabila ram för planering av utgifter och inkomster som funnits ända sedan början av energigemenskapen möjliggör en flerårig jämförelse av hur posterna utnyttjats. </w:t>
      </w:r>
    </w:p>
    <w:p w:rsidR="003454D1" w:rsidRDefault="008C651D">
      <w:pPr>
        <w:rPr>
          <w:rFonts w:ascii="Arial" w:hAnsi="Arial" w:cs="Arial"/>
          <w:noProof/>
          <w:sz w:val="22"/>
        </w:rPr>
      </w:pPr>
      <w:r>
        <w:rPr>
          <w:rFonts w:ascii="Arial" w:hAnsi="Arial"/>
          <w:noProof/>
          <w:sz w:val="22"/>
        </w:rPr>
        <w:t xml:space="preserve">Den framlagda budgeten fördelas i enlighet med fyra budgetrubriker, nämligen </w:t>
      </w:r>
      <w:r>
        <w:rPr>
          <w:rFonts w:ascii="Arial" w:hAnsi="Arial"/>
          <w:i/>
          <w:noProof/>
          <w:sz w:val="22"/>
        </w:rPr>
        <w:t>personalresurser</w:t>
      </w:r>
      <w:r>
        <w:rPr>
          <w:rFonts w:ascii="Arial" w:hAnsi="Arial"/>
          <w:noProof/>
          <w:sz w:val="22"/>
        </w:rPr>
        <w:t xml:space="preserve">, </w:t>
      </w:r>
      <w:r>
        <w:rPr>
          <w:rFonts w:ascii="Arial" w:hAnsi="Arial"/>
          <w:i/>
          <w:noProof/>
          <w:sz w:val="22"/>
        </w:rPr>
        <w:t>resekostnader</w:t>
      </w:r>
      <w:r>
        <w:rPr>
          <w:rFonts w:ascii="Arial" w:hAnsi="Arial"/>
          <w:noProof/>
          <w:sz w:val="22"/>
        </w:rPr>
        <w:t xml:space="preserve">, </w:t>
      </w:r>
      <w:r>
        <w:rPr>
          <w:rFonts w:ascii="Arial" w:hAnsi="Arial"/>
          <w:i/>
          <w:noProof/>
          <w:sz w:val="22"/>
        </w:rPr>
        <w:t>kontorskostnader</w:t>
      </w:r>
      <w:r>
        <w:rPr>
          <w:rFonts w:ascii="Arial" w:hAnsi="Arial"/>
          <w:noProof/>
          <w:sz w:val="22"/>
        </w:rPr>
        <w:t xml:space="preserve"> och </w:t>
      </w:r>
      <w:r>
        <w:rPr>
          <w:rFonts w:ascii="Arial" w:hAnsi="Arial"/>
          <w:i/>
          <w:noProof/>
          <w:sz w:val="22"/>
        </w:rPr>
        <w:t>andra kostnader, tjänster</w:t>
      </w:r>
      <w:r>
        <w:rPr>
          <w:rFonts w:ascii="Arial" w:hAnsi="Arial"/>
          <w:noProof/>
          <w:sz w:val="22"/>
        </w:rPr>
        <w:t xml:space="preserve"> som beskrivs närmare i budgetposterna (olika antal i olika budgetrubriker). Var och en av budgetpos</w:t>
      </w:r>
      <w:r>
        <w:rPr>
          <w:rFonts w:ascii="Arial" w:hAnsi="Arial"/>
          <w:noProof/>
          <w:sz w:val="22"/>
        </w:rPr>
        <w:t>terna består vidare av fördefinierade konton som bildar en grupp av konton vilka i sin tur representerar en viss kategori av utgifter med anknytning till budgetrubrikerna. Förklaringar i detta avsnitt gäller för båda åren 2020 och 2021.</w:t>
      </w:r>
    </w:p>
    <w:p w:rsidR="003454D1" w:rsidRDefault="003454D1">
      <w:pPr>
        <w:rPr>
          <w:rFonts w:ascii="Arial" w:hAnsi="Arial" w:cs="Arial"/>
          <w:noProof/>
          <w:sz w:val="22"/>
        </w:rPr>
      </w:pPr>
    </w:p>
    <w:p w:rsidR="003454D1" w:rsidRDefault="008C651D">
      <w:pPr>
        <w:pStyle w:val="NumPar2"/>
        <w:rPr>
          <w:noProof/>
        </w:rPr>
      </w:pPr>
      <w:r>
        <w:rPr>
          <w:noProof/>
        </w:rPr>
        <w:t>Budgetrubrik: Pers</w:t>
      </w:r>
      <w:r>
        <w:rPr>
          <w:noProof/>
        </w:rPr>
        <w:t xml:space="preserve">onalresurser </w:t>
      </w:r>
    </w:p>
    <w:p w:rsidR="003454D1" w:rsidRDefault="008C651D">
      <w:pPr>
        <w:rPr>
          <w:rFonts w:ascii="Arial" w:hAnsi="Arial" w:cs="Arial"/>
          <w:noProof/>
          <w:sz w:val="22"/>
        </w:rPr>
      </w:pPr>
      <w:r>
        <w:rPr>
          <w:rFonts w:ascii="Arial" w:hAnsi="Arial"/>
          <w:noProof/>
          <w:sz w:val="22"/>
        </w:rPr>
        <w:t xml:space="preserve">Budgetrubrik I omfattar utgifter för personalresurser. Denna del av budgeten definieras i enlighet med den godkända tjänsteförteckningen och följer de fastställda löneskalorna. </w:t>
      </w:r>
    </w:p>
    <w:p w:rsidR="003454D1" w:rsidRDefault="008C651D">
      <w:pPr>
        <w:rPr>
          <w:rFonts w:ascii="Arial" w:hAnsi="Arial" w:cs="Arial"/>
          <w:noProof/>
          <w:sz w:val="22"/>
        </w:rPr>
      </w:pPr>
      <w:r>
        <w:rPr>
          <w:rFonts w:ascii="Arial" w:hAnsi="Arial"/>
          <w:noProof/>
          <w:sz w:val="22"/>
        </w:rPr>
        <w:t>Sekretariatets befintliga organisationsstruktur ligger till grun</w:t>
      </w:r>
      <w:r>
        <w:rPr>
          <w:rFonts w:ascii="Arial" w:hAnsi="Arial"/>
          <w:noProof/>
          <w:sz w:val="22"/>
        </w:rPr>
        <w:t>d för förslaget. Budgeten för budgetrubriken ”Personalresurser” är ett resultat av följande överväganden:</w:t>
      </w:r>
    </w:p>
    <w:p w:rsidR="003454D1" w:rsidRDefault="008C651D">
      <w:pPr>
        <w:pStyle w:val="Tiret0"/>
        <w:rPr>
          <w:rFonts w:cs="Arial"/>
          <w:noProof/>
        </w:rPr>
      </w:pPr>
      <w:r>
        <w:rPr>
          <w:noProof/>
        </w:rPr>
        <w:t xml:space="preserve">För 2020 respektive 2021 indexeras lönerna med en inflationsfaktor på 2 %. </w:t>
      </w:r>
    </w:p>
    <w:p w:rsidR="003454D1" w:rsidRDefault="008C651D">
      <w:pPr>
        <w:pStyle w:val="Tiret0"/>
        <w:rPr>
          <w:rFonts w:cs="Arial"/>
          <w:noProof/>
        </w:rPr>
      </w:pPr>
      <w:r>
        <w:rPr>
          <w:noProof/>
        </w:rPr>
        <w:t>Ett fortsatt främjande av tillfällig anställning inom ramen för system för</w:t>
      </w:r>
      <w:r>
        <w:rPr>
          <w:noProof/>
        </w:rPr>
        <w:t xml:space="preserve"> utstationering och praktik planeras. Utstationering, som används som en form av förstärkning av de fördragsslutande parternas administrativa kapacitet, kommer att fortsätta att användas under åren 2020–2021 för att komplettera sekretariatets team med särs</w:t>
      </w:r>
      <w:r>
        <w:rPr>
          <w:noProof/>
        </w:rPr>
        <w:t>kild teknisk sakkunskap från nationella förvaltningar och andra organisationer. Praktikplatser syftar till att stödja personal samt sprida kunskap om energigemenskapen och bidra till kapacitetsuppbyggnad. De finansiella antagandena i den föreslagna budgete</w:t>
      </w:r>
      <w:r>
        <w:rPr>
          <w:noProof/>
        </w:rPr>
        <w:t>n omfattar medel för cirka 60 personmånader för praktik</w:t>
      </w:r>
      <w:r>
        <w:rPr>
          <w:rStyle w:val="FootnoteReference"/>
          <w:noProof/>
        </w:rPr>
        <w:footnoteReference w:id="1"/>
      </w:r>
      <w:r>
        <w:rPr>
          <w:noProof/>
        </w:rPr>
        <w:t xml:space="preserve"> och 24 personmånader för utstationering. Antalet tillfälligt anställda beräknas på grundval av ett års engagemang, dvs. totalt planeras fem praktikplatser om ett år vardera och två utstationeringar o</w:t>
      </w:r>
      <w:r>
        <w:rPr>
          <w:noProof/>
        </w:rPr>
        <w:t xml:space="preserve">m ett år vardera för 2020 (totalt sju tillfälliga anställningar). </w:t>
      </w:r>
    </w:p>
    <w:p w:rsidR="003454D1" w:rsidRDefault="003454D1">
      <w:pPr>
        <w:rPr>
          <w:rFonts w:ascii="Arial" w:hAnsi="Arial" w:cs="Arial"/>
          <w:noProof/>
          <w:sz w:val="22"/>
        </w:rPr>
      </w:pPr>
    </w:p>
    <w:p w:rsidR="003454D1" w:rsidRDefault="008C651D">
      <w:pPr>
        <w:pStyle w:val="NumPar2"/>
        <w:rPr>
          <w:noProof/>
        </w:rPr>
      </w:pPr>
      <w:r>
        <w:rPr>
          <w:noProof/>
        </w:rPr>
        <w:t xml:space="preserve">Budgetrubrik: Resor  </w:t>
      </w:r>
    </w:p>
    <w:p w:rsidR="003454D1" w:rsidRDefault="008C651D">
      <w:pPr>
        <w:rPr>
          <w:rFonts w:ascii="Arial" w:hAnsi="Arial" w:cs="Arial"/>
          <w:noProof/>
          <w:sz w:val="22"/>
        </w:rPr>
      </w:pPr>
      <w:r>
        <w:rPr>
          <w:rFonts w:ascii="Arial" w:hAnsi="Arial"/>
          <w:noProof/>
          <w:sz w:val="22"/>
        </w:rPr>
        <w:t xml:space="preserve">Budgetrubrik II omfattar utgifter för godkända resor som sekretariatets personal gör på energigemenskapens vägnar för att utföra verksamhet som har samband med genomförandet av fördraget. </w:t>
      </w:r>
    </w:p>
    <w:p w:rsidR="003454D1" w:rsidRDefault="008C651D">
      <w:pPr>
        <w:rPr>
          <w:rFonts w:ascii="Arial" w:hAnsi="Arial" w:cs="Arial"/>
          <w:noProof/>
          <w:sz w:val="22"/>
        </w:rPr>
      </w:pPr>
      <w:r>
        <w:rPr>
          <w:rFonts w:ascii="Arial" w:hAnsi="Arial"/>
          <w:noProof/>
          <w:sz w:val="22"/>
        </w:rPr>
        <w:t xml:space="preserve">Utgifterna avser huvudsakligen tjänsteresor till de avtalsslutande </w:t>
      </w:r>
      <w:r>
        <w:rPr>
          <w:rFonts w:ascii="Arial" w:hAnsi="Arial"/>
          <w:noProof/>
          <w:sz w:val="22"/>
        </w:rPr>
        <w:t>parterna eller tekniskt bistånd för att se över genomförandet av skyldigheterna enligt fördraget. Denna budget innehåller också medel för motiverade resor med anknytning till organisationen, och personalens deltagande, t.ex. som talare, i olika möten och k</w:t>
      </w:r>
      <w:r>
        <w:rPr>
          <w:rFonts w:ascii="Arial" w:hAnsi="Arial"/>
          <w:noProof/>
          <w:sz w:val="22"/>
        </w:rPr>
        <w:t xml:space="preserve">onferenser, inklusive de som hålls av energigemenskapens institutioner. </w:t>
      </w:r>
    </w:p>
    <w:p w:rsidR="003454D1" w:rsidRDefault="008C651D">
      <w:pPr>
        <w:rPr>
          <w:rFonts w:ascii="Arial" w:hAnsi="Arial" w:cs="Arial"/>
          <w:noProof/>
          <w:sz w:val="22"/>
        </w:rPr>
      </w:pPr>
      <w:r>
        <w:rPr>
          <w:rFonts w:ascii="Arial" w:hAnsi="Arial"/>
          <w:noProof/>
          <w:sz w:val="22"/>
        </w:rPr>
        <w:t>Budgeten för resekostnader omfattar</w:t>
      </w:r>
    </w:p>
    <w:p w:rsidR="003454D1" w:rsidRDefault="008C651D">
      <w:pPr>
        <w:pStyle w:val="Tiret0"/>
        <w:rPr>
          <w:noProof/>
        </w:rPr>
      </w:pPr>
      <w:r>
        <w:rPr>
          <w:noProof/>
        </w:rPr>
        <w:t>kostnader för flygresor och biutgifter, och</w:t>
      </w:r>
    </w:p>
    <w:p w:rsidR="003454D1" w:rsidRDefault="008C651D">
      <w:pPr>
        <w:pStyle w:val="Tiret0"/>
        <w:rPr>
          <w:noProof/>
        </w:rPr>
      </w:pPr>
      <w:r>
        <w:rPr>
          <w:noProof/>
        </w:rPr>
        <w:t>dagtraktamente</w:t>
      </w:r>
      <w:r>
        <w:rPr>
          <w:rStyle w:val="FootnoteReference"/>
          <w:noProof/>
        </w:rPr>
        <w:footnoteReference w:id="2"/>
      </w:r>
      <w:r>
        <w:rPr>
          <w:noProof/>
        </w:rPr>
        <w:t xml:space="preserve">. </w:t>
      </w:r>
    </w:p>
    <w:p w:rsidR="003454D1" w:rsidRDefault="003454D1">
      <w:pPr>
        <w:rPr>
          <w:rFonts w:ascii="Arial" w:hAnsi="Arial" w:cs="Arial"/>
          <w:noProof/>
          <w:sz w:val="22"/>
        </w:rPr>
      </w:pPr>
    </w:p>
    <w:p w:rsidR="003454D1" w:rsidRDefault="008C651D">
      <w:pPr>
        <w:pStyle w:val="NumPar2"/>
        <w:rPr>
          <w:noProof/>
        </w:rPr>
      </w:pPr>
      <w:r>
        <w:rPr>
          <w:noProof/>
        </w:rPr>
        <w:t>Budgetrubrik: Kontor</w:t>
      </w:r>
    </w:p>
    <w:p w:rsidR="003454D1" w:rsidRDefault="008C651D">
      <w:pPr>
        <w:rPr>
          <w:rFonts w:ascii="Arial" w:hAnsi="Arial" w:cs="Arial"/>
          <w:noProof/>
          <w:sz w:val="22"/>
        </w:rPr>
      </w:pPr>
      <w:r>
        <w:rPr>
          <w:rFonts w:ascii="Arial" w:hAnsi="Arial"/>
          <w:noProof/>
          <w:sz w:val="22"/>
        </w:rPr>
        <w:t>Budgetrubrik III omfattar utgifter som ökar eller ändrar energi</w:t>
      </w:r>
      <w:r>
        <w:rPr>
          <w:rFonts w:ascii="Arial" w:hAnsi="Arial"/>
          <w:noProof/>
          <w:sz w:val="22"/>
        </w:rPr>
        <w:t>gemenskapens tillgångar och andra utgifter för kontorsinfrastruktur (hyra, kontorsmaterial, förbrukningsmaterial och andra tjänster) som är nödvändiga för sekretariatets funktion som institution enligt fördraget.</w:t>
      </w:r>
    </w:p>
    <w:p w:rsidR="003454D1" w:rsidRDefault="008C651D">
      <w:pPr>
        <w:rPr>
          <w:rFonts w:ascii="Arial" w:hAnsi="Arial" w:cs="Arial"/>
          <w:noProof/>
          <w:sz w:val="22"/>
        </w:rPr>
      </w:pPr>
      <w:r>
        <w:rPr>
          <w:rFonts w:ascii="Arial" w:hAnsi="Arial"/>
          <w:noProof/>
          <w:sz w:val="22"/>
        </w:rPr>
        <w:t>Denna budgetrubrik omfattar följande budget</w:t>
      </w:r>
      <w:r>
        <w:rPr>
          <w:rFonts w:ascii="Arial" w:hAnsi="Arial"/>
          <w:noProof/>
          <w:sz w:val="22"/>
        </w:rPr>
        <w:t>poster:</w:t>
      </w:r>
    </w:p>
    <w:p w:rsidR="003454D1" w:rsidRDefault="003454D1">
      <w:pPr>
        <w:rPr>
          <w:rFonts w:ascii="Arial" w:hAnsi="Arial" w:cs="Arial"/>
          <w:noProof/>
          <w:sz w:val="22"/>
        </w:rPr>
      </w:pPr>
    </w:p>
    <w:p w:rsidR="003454D1" w:rsidRDefault="008C651D">
      <w:pPr>
        <w:pStyle w:val="Tiret0"/>
        <w:rPr>
          <w:noProof/>
        </w:rPr>
      </w:pPr>
      <w:r>
        <w:rPr>
          <w:noProof/>
          <w:u w:val="single"/>
        </w:rPr>
        <w:t>Hyra</w:t>
      </w:r>
      <w:r>
        <w:rPr>
          <w:noProof/>
        </w:rPr>
        <w:t>: En uppskattning av utgifterna för hyra av kontorslokaler. Denna budgetpost tar hänsyn till värdlandets (Österrike) bidrag till energigemenskapens totala budget</w:t>
      </w:r>
      <w:r>
        <w:rPr>
          <w:rStyle w:val="FootnoteReference"/>
          <w:noProof/>
        </w:rPr>
        <w:footnoteReference w:id="3"/>
      </w:r>
      <w:r>
        <w:rPr>
          <w:noProof/>
        </w:rPr>
        <w:t xml:space="preserve">. </w:t>
      </w:r>
    </w:p>
    <w:p w:rsidR="003454D1" w:rsidRDefault="008C651D">
      <w:pPr>
        <w:pStyle w:val="Tiret0"/>
        <w:rPr>
          <w:noProof/>
        </w:rPr>
      </w:pPr>
      <w:r>
        <w:rPr>
          <w:noProof/>
          <w:u w:val="single"/>
        </w:rPr>
        <w:t>Kontorsutrustning</w:t>
      </w:r>
      <w:r>
        <w:rPr>
          <w:noProof/>
        </w:rPr>
        <w:t>: Denna budgetpost återspeglar behovet av att hålla utrustnin</w:t>
      </w:r>
      <w:r>
        <w:rPr>
          <w:noProof/>
        </w:rPr>
        <w:t>g (särskilt it-utrustning och därtill hörande kontorsmöbler) uppdaterad för att upprätthålla maximal säkerhet vad gäller arbetsmiljö, processer och behandlade uppgifter. Denna budgetrubrik omfattar följande budgetkonton: maskinvara, programvara, kontorsutr</w:t>
      </w:r>
      <w:r>
        <w:rPr>
          <w:noProof/>
        </w:rPr>
        <w:t>ustning och lågt värderade tillgångar. Budgeteringen av de samlade utgifterna för 2020 följer it-planen, som innehåller beräkningar av kostnaderna för att byta ut maskinvara (utrustning för it-personal – bärbara datorer, skrivare och servrar för it-förvalt</w:t>
      </w:r>
      <w:r>
        <w:rPr>
          <w:noProof/>
        </w:rPr>
        <w:t>ning) och tillhörande programvara. Den omfattar även licenser för användningen av befintlig programvara som krävs för energigemenskapens webbplats och för det interna bokföringsprogrammet för förvaltningen av energigemenskapens räkenskaper.</w:t>
      </w:r>
    </w:p>
    <w:p w:rsidR="003454D1" w:rsidRDefault="008C651D">
      <w:pPr>
        <w:pStyle w:val="Tiret0"/>
        <w:rPr>
          <w:noProof/>
        </w:rPr>
      </w:pPr>
      <w:r>
        <w:rPr>
          <w:noProof/>
          <w:u w:val="single"/>
        </w:rPr>
        <w:t>Förbrukningsmat</w:t>
      </w:r>
      <w:r>
        <w:rPr>
          <w:noProof/>
          <w:u w:val="single"/>
        </w:rPr>
        <w:t>erial</w:t>
      </w:r>
      <w:r>
        <w:rPr>
          <w:noProof/>
        </w:rPr>
        <w:t xml:space="preserve">: Denna budgetrubrik omfattar följande konton: kontorsmateriel, reparationer och underhåll samt lokalvård, löpande kostnader och elektricitet för lokalerna. </w:t>
      </w:r>
    </w:p>
    <w:p w:rsidR="003454D1" w:rsidRDefault="008C651D">
      <w:pPr>
        <w:pStyle w:val="Tiret0"/>
        <w:rPr>
          <w:noProof/>
        </w:rPr>
      </w:pPr>
      <w:r>
        <w:rPr>
          <w:noProof/>
          <w:u w:val="single"/>
        </w:rPr>
        <w:t>Andra tjänster</w:t>
      </w:r>
      <w:r>
        <w:rPr>
          <w:noProof/>
        </w:rPr>
        <w:t>: Den planerade budgeten under budgetposten ”Andra tjänster” återspeglar behove</w:t>
      </w:r>
      <w:r>
        <w:rPr>
          <w:noProof/>
        </w:rPr>
        <w:t>t av tillräckliga medel för transporter utförda av tredje parter, postavgifter, andra driftskostnader och kommunikationskostnader (telekommunikation).</w:t>
      </w:r>
    </w:p>
    <w:p w:rsidR="003454D1" w:rsidRDefault="003454D1">
      <w:pPr>
        <w:rPr>
          <w:rFonts w:ascii="Arial" w:hAnsi="Arial" w:cs="Arial"/>
          <w:noProof/>
          <w:sz w:val="22"/>
        </w:rPr>
      </w:pPr>
    </w:p>
    <w:p w:rsidR="003454D1" w:rsidRDefault="008C651D">
      <w:pPr>
        <w:pStyle w:val="NumPar2"/>
        <w:rPr>
          <w:noProof/>
        </w:rPr>
      </w:pPr>
      <w:r>
        <w:rPr>
          <w:noProof/>
        </w:rPr>
        <w:t>Budgetrubrik: Andra kostnader och tjänster</w:t>
      </w:r>
    </w:p>
    <w:p w:rsidR="003454D1" w:rsidRDefault="008C651D">
      <w:pPr>
        <w:rPr>
          <w:rFonts w:ascii="Arial" w:hAnsi="Arial" w:cs="Arial"/>
          <w:noProof/>
          <w:sz w:val="22"/>
        </w:rPr>
      </w:pPr>
      <w:r>
        <w:rPr>
          <w:rFonts w:ascii="Arial" w:hAnsi="Arial"/>
          <w:noProof/>
          <w:sz w:val="22"/>
        </w:rPr>
        <w:t>Budgetrubrik IV rör andra utgifter med anknytning till de ver</w:t>
      </w:r>
      <w:r>
        <w:rPr>
          <w:rFonts w:ascii="Arial" w:hAnsi="Arial"/>
          <w:noProof/>
          <w:sz w:val="22"/>
        </w:rPr>
        <w:t xml:space="preserve">ksamheter som är nödvändiga för att sekretariatet och andra institutioner som omfattas av fördraget ska kunna fungera (ministerrådet, den permanenta högnivågruppen, energigemenskapens tillsynsnämnd och forumgrupper). </w:t>
      </w:r>
    </w:p>
    <w:p w:rsidR="003454D1" w:rsidRDefault="008C651D">
      <w:pPr>
        <w:rPr>
          <w:rFonts w:ascii="Arial" w:hAnsi="Arial" w:cs="Arial"/>
          <w:noProof/>
          <w:sz w:val="22"/>
        </w:rPr>
      </w:pPr>
      <w:r>
        <w:rPr>
          <w:rFonts w:ascii="Arial" w:hAnsi="Arial"/>
          <w:noProof/>
          <w:sz w:val="22"/>
        </w:rPr>
        <w:t xml:space="preserve"> Denna budgetrubrik omfattar följande </w:t>
      </w:r>
      <w:r>
        <w:rPr>
          <w:rFonts w:ascii="Arial" w:hAnsi="Arial"/>
          <w:noProof/>
          <w:sz w:val="22"/>
        </w:rPr>
        <w:t xml:space="preserve">budgetposter: </w:t>
      </w:r>
    </w:p>
    <w:p w:rsidR="003454D1" w:rsidRDefault="008C651D">
      <w:pPr>
        <w:pStyle w:val="Tiret0"/>
        <w:rPr>
          <w:noProof/>
        </w:rPr>
      </w:pPr>
      <w:r>
        <w:rPr>
          <w:noProof/>
          <w:u w:val="single"/>
        </w:rPr>
        <w:t>Marknadsföring, kommunikation och representation</w:t>
      </w:r>
      <w:r>
        <w:rPr>
          <w:noProof/>
        </w:rPr>
        <w:t>: Detta omfattar arbete som utförs med avseende på PR och med anknytning till sekretariatets utfärdande av publikationer (dvs. offentliggörande av nya utgåvor av de rättsliga ramarna, genomföra</w:t>
      </w:r>
      <w:r>
        <w:rPr>
          <w:noProof/>
        </w:rPr>
        <w:t xml:space="preserve">nderapporter osv.), annonsering som krävs för upphandlingsändamål och sökande efter personal samt kostnader för representation. </w:t>
      </w:r>
    </w:p>
    <w:p w:rsidR="003454D1" w:rsidRDefault="008C651D">
      <w:pPr>
        <w:pStyle w:val="Tiret0"/>
        <w:rPr>
          <w:noProof/>
        </w:rPr>
      </w:pPr>
      <w:r>
        <w:rPr>
          <w:noProof/>
          <w:u w:val="single"/>
        </w:rPr>
        <w:t>Undersökningar, forskning och rådgivning</w:t>
      </w:r>
      <w:r>
        <w:rPr>
          <w:noProof/>
        </w:rPr>
        <w:t>: Erfarenheten har visat att tekniskt stöd genom undersökningar är ett mycket användbar</w:t>
      </w:r>
      <w:r>
        <w:rPr>
          <w:noProof/>
        </w:rPr>
        <w:t xml:space="preserve">t verktyg för att uppnå energigemenskapens mål. Forskning och rådgivning rör de arbetsområden som anges i energigemenskapens arbetsprogram (inklusive energigemenskapens tillsynsnämnd). </w:t>
      </w:r>
    </w:p>
    <w:p w:rsidR="003454D1" w:rsidRDefault="008C651D">
      <w:pPr>
        <w:pStyle w:val="Tiret0"/>
        <w:rPr>
          <w:noProof/>
        </w:rPr>
      </w:pPr>
      <w:r>
        <w:rPr>
          <w:noProof/>
          <w:u w:val="single"/>
        </w:rPr>
        <w:t xml:space="preserve">Kostnader för tjänster som lagts ut på entreprenad (it, </w:t>
      </w:r>
      <w:r>
        <w:rPr>
          <w:noProof/>
          <w:u w:val="single"/>
        </w:rPr>
        <w:t>löneadministration osv.)</w:t>
      </w:r>
      <w:r>
        <w:rPr>
          <w:noProof/>
        </w:rPr>
        <w:t>: Denna budgetpost omfattar kostnader för genomförandet av verksamhet och uppgifter med anknytning till it-förvaltning (verksamhet som lagts ut på entreprenad till en extern partner), tekniskt underhåll av energigemenskapens webbpla</w:t>
      </w:r>
      <w:r>
        <w:rPr>
          <w:noProof/>
        </w:rPr>
        <w:t>ts (avseende både administration och externa användare) samt leasingkontrakt för kontorsutrustning (t.ex. kopieringsapparater och skrivare) och underhåll av befintliga it-lösningar inom administration, redovisning och personalresurser (databaser för redovi</w:t>
      </w:r>
      <w:r>
        <w:rPr>
          <w:noProof/>
        </w:rPr>
        <w:t xml:space="preserve">sning och personal). </w:t>
      </w:r>
    </w:p>
    <w:p w:rsidR="003454D1" w:rsidRDefault="008C651D">
      <w:pPr>
        <w:pStyle w:val="Tiret0"/>
        <w:rPr>
          <w:noProof/>
        </w:rPr>
      </w:pPr>
      <w:r>
        <w:rPr>
          <w:noProof/>
          <w:u w:val="single"/>
        </w:rPr>
        <w:t>Kostnader för revision, juridisk och ekonomisk rådgivning</w:t>
      </w:r>
      <w:r>
        <w:rPr>
          <w:noProof/>
        </w:rPr>
        <w:t>: Denna budgetpost omfattar medel för externa revisioner samt för juridiska tjänster som lagts ut på entreprenad och för finansiella avtal för löneadministration och redovisning</w:t>
      </w:r>
      <w:r>
        <w:rPr>
          <w:rStyle w:val="FootnoteReference"/>
          <w:noProof/>
        </w:rPr>
        <w:footnoteReference w:id="4"/>
      </w:r>
      <w:r>
        <w:rPr>
          <w:noProof/>
        </w:rPr>
        <w:t xml:space="preserve">. </w:t>
      </w:r>
    </w:p>
    <w:p w:rsidR="003454D1" w:rsidRDefault="008C651D">
      <w:pPr>
        <w:pStyle w:val="Tiret0"/>
        <w:rPr>
          <w:noProof/>
        </w:rPr>
      </w:pPr>
      <w:r>
        <w:rPr>
          <w:noProof/>
          <w:u w:val="single"/>
        </w:rPr>
        <w:t>Finansiella tjänster</w:t>
      </w:r>
      <w:r>
        <w:rPr>
          <w:noProof/>
        </w:rPr>
        <w:t xml:space="preserve">: Denna post omfattar bank- och transaktionsavgifter. </w:t>
      </w:r>
    </w:p>
    <w:p w:rsidR="003454D1" w:rsidRDefault="008C651D">
      <w:pPr>
        <w:pStyle w:val="Tiret0"/>
        <w:rPr>
          <w:noProof/>
        </w:rPr>
      </w:pPr>
      <w:r>
        <w:rPr>
          <w:noProof/>
          <w:u w:val="single"/>
        </w:rPr>
        <w:t>Kostnader för evenemang</w:t>
      </w:r>
      <w:r>
        <w:rPr>
          <w:noProof/>
        </w:rPr>
        <w:t>: Denna budgetpost täcker utgifter för anordnande av alla ordinarie och tillfälliga evenemang, inbegripet hyra av lokaler och utrustning, catering och tek</w:t>
      </w:r>
      <w:r>
        <w:rPr>
          <w:noProof/>
        </w:rPr>
        <w:t xml:space="preserve">niska arrangemang.  </w:t>
      </w:r>
    </w:p>
    <w:p w:rsidR="003454D1" w:rsidRDefault="008C651D">
      <w:pPr>
        <w:pStyle w:val="Tiret0"/>
        <w:rPr>
          <w:noProof/>
        </w:rPr>
      </w:pPr>
      <w:r>
        <w:rPr>
          <w:noProof/>
          <w:u w:val="single"/>
        </w:rPr>
        <w:t>Återbetalning</w:t>
      </w:r>
      <w:r>
        <w:rPr>
          <w:noProof/>
        </w:rPr>
        <w:t>: Här täcks resekostnader i samband med deltagande av företrädare för de fördragsslutande parterna och/eller observatörer vid institutionella möten, seminarier och andra evenemang som anordnas av energigemenskapens sekreta</w:t>
      </w:r>
      <w:r>
        <w:rPr>
          <w:noProof/>
        </w:rPr>
        <w:t xml:space="preserve">riat. Genomförandet av denna budget följer en separat uppsättning regler för ersättning. I princip har samma regler för ersättning av kostnader för transport och logi tillämpats ända sedan energigemenskapen inleddes. </w:t>
      </w:r>
    </w:p>
    <w:p w:rsidR="003454D1" w:rsidRDefault="008C651D">
      <w:pPr>
        <w:pStyle w:val="Tiret0"/>
        <w:rPr>
          <w:noProof/>
        </w:rPr>
      </w:pPr>
      <w:r>
        <w:rPr>
          <w:noProof/>
          <w:u w:val="single"/>
        </w:rPr>
        <w:t>Utbildning</w:t>
      </w:r>
      <w:r>
        <w:rPr>
          <w:noProof/>
        </w:rPr>
        <w:t>: Denna budgetpost täcker ut</w:t>
      </w:r>
      <w:r>
        <w:rPr>
          <w:noProof/>
        </w:rPr>
        <w:t xml:space="preserve">gifter för utbildning, inklusive grundutbildning, interna årsmöten för sekretariatets personal och särskilt grundutbildningsåtgärder som erbjuds företrädarna för de fördragsslutande parterna. </w:t>
      </w:r>
    </w:p>
    <w:p w:rsidR="003454D1" w:rsidRDefault="008C651D">
      <w:pPr>
        <w:pStyle w:val="NumPar1"/>
        <w:rPr>
          <w:noProof/>
        </w:rPr>
      </w:pPr>
      <w:r>
        <w:rPr>
          <w:noProof/>
        </w:rPr>
        <w:t xml:space="preserve">Energigemenskapens budget för 2020 </w:t>
      </w:r>
    </w:p>
    <w:p w:rsidR="003454D1" w:rsidRDefault="008C651D">
      <w:pPr>
        <w:rPr>
          <w:rFonts w:ascii="Arial" w:hAnsi="Arial" w:cs="Arial"/>
          <w:noProof/>
          <w:sz w:val="22"/>
        </w:rPr>
      </w:pPr>
      <w:r>
        <w:rPr>
          <w:rFonts w:ascii="Arial" w:hAnsi="Arial"/>
          <w:noProof/>
          <w:sz w:val="22"/>
        </w:rPr>
        <w:t>Den föreslagna budgeten för</w:t>
      </w:r>
      <w:r>
        <w:rPr>
          <w:rFonts w:ascii="Arial" w:hAnsi="Arial"/>
          <w:noProof/>
          <w:sz w:val="22"/>
        </w:rPr>
        <w:t xml:space="preserve"> 2020 överensstämmer med de siffror som kommissionen lagt fram och ligger på samma nivå som 2019 års budget (4 812 073 euro).</w:t>
      </w:r>
      <w:r>
        <w:rPr>
          <w:rFonts w:ascii="Arial" w:hAnsi="Arial"/>
          <w:bCs/>
          <w:noProof/>
          <w:sz w:val="22"/>
        </w:rPr>
        <w:t xml:space="preserve"> </w:t>
      </w:r>
      <w:r>
        <w:rPr>
          <w:rFonts w:ascii="Arial" w:hAnsi="Arial"/>
          <w:noProof/>
          <w:sz w:val="22"/>
        </w:rPr>
        <w:t>Liksom varje år är EU:s bidrag (94,78 % av energigemenskapens budget) beroende av det slutliga antagandet av EU:s budget för 2020.</w:t>
      </w:r>
    </w:p>
    <w:p w:rsidR="003454D1" w:rsidRDefault="003454D1">
      <w:pPr>
        <w:rPr>
          <w:rFonts w:ascii="Arial" w:hAnsi="Arial" w:cs="Arial"/>
          <w:noProof/>
          <w:sz w:val="22"/>
        </w:rPr>
      </w:pPr>
    </w:p>
    <w:p w:rsidR="003454D1" w:rsidRDefault="008C651D">
      <w:pPr>
        <w:keepNext/>
        <w:keepLines/>
        <w:spacing w:before="200"/>
        <w:outlineLvl w:val="1"/>
        <w:rPr>
          <w:rFonts w:ascii="Arial" w:eastAsiaTheme="majorEastAsia" w:hAnsi="Arial" w:cs="Arial"/>
          <w:b/>
          <w:bCs/>
          <w:noProof/>
          <w:color w:val="4F81BD" w:themeColor="accent1"/>
          <w:sz w:val="26"/>
          <w:szCs w:val="26"/>
        </w:rPr>
      </w:pPr>
      <w:r>
        <w:rPr>
          <w:rFonts w:ascii="Arial" w:hAnsi="Arial"/>
          <w:b/>
          <w:bCs/>
          <w:noProof/>
          <w:color w:val="4F81BD" w:themeColor="accent1"/>
          <w:sz w:val="26"/>
          <w:szCs w:val="26"/>
        </w:rPr>
        <w:t>5.1. Budgetrubrik 1: Personalresurser 2020</w:t>
      </w:r>
    </w:p>
    <w:p w:rsidR="003454D1" w:rsidRDefault="008C651D">
      <w:pPr>
        <w:rPr>
          <w:rFonts w:ascii="Arial" w:hAnsi="Arial" w:cs="Arial"/>
          <w:noProof/>
          <w:sz w:val="22"/>
        </w:rPr>
      </w:pPr>
      <w:r>
        <w:rPr>
          <w:rFonts w:ascii="Arial" w:hAnsi="Arial"/>
          <w:noProof/>
          <w:sz w:val="22"/>
        </w:rPr>
        <w:t>Jämfört med 2019 ökas de finansiella resurser som begärs för budgetrubrik 1 med 3,7 %. Detta beror på en begäran om två nya experttjänster (för närmare uppgifter och motivering, se det bifogade arbetsprogrammet) som kommer att tillsättas under nästa år, oc</w:t>
      </w:r>
      <w:r>
        <w:rPr>
          <w:rFonts w:ascii="Arial" w:hAnsi="Arial"/>
          <w:noProof/>
          <w:sz w:val="22"/>
        </w:rPr>
        <w:t xml:space="preserve">h på en tvåprocentig inflationsjustering.  </w:t>
      </w:r>
    </w:p>
    <w:p w:rsidR="003454D1" w:rsidRDefault="008C651D">
      <w:pPr>
        <w:rPr>
          <w:rFonts w:ascii="Arial" w:hAnsi="Arial" w:cs="Arial"/>
          <w:noProof/>
          <w:sz w:val="22"/>
        </w:rPr>
      </w:pPr>
      <w:r>
        <w:rPr>
          <w:rFonts w:ascii="Arial" w:hAnsi="Arial"/>
          <w:noProof/>
          <w:sz w:val="22"/>
        </w:rPr>
        <w:t>Denna budgetrubrik omfattar löner till fast anställda (med begränsade kontrakt som eventuellt kan förlängas) och tillfälligt anställda (praktikanter, utstationerad personal). Lönerna är befriade från nationell in</w:t>
      </w:r>
      <w:r>
        <w:rPr>
          <w:rFonts w:ascii="Arial" w:hAnsi="Arial"/>
          <w:noProof/>
          <w:sz w:val="22"/>
        </w:rPr>
        <w:t xml:space="preserve">komstskatt, utan ytterligare förmåner (pensionsrättigheter, hälsa, arbetslöshet) utöver olycksfallsförsäkringar. Inga ytterligare ersättningar och förmåner erbjuds. </w:t>
      </w:r>
    </w:p>
    <w:p w:rsidR="003454D1" w:rsidRDefault="008C651D">
      <w:pPr>
        <w:rPr>
          <w:rFonts w:ascii="Arial" w:hAnsi="Arial" w:cs="Arial"/>
          <w:noProof/>
          <w:sz w:val="22"/>
        </w:rPr>
      </w:pPr>
      <w:r>
        <w:rPr>
          <w:rFonts w:ascii="Arial" w:hAnsi="Arial"/>
          <w:noProof/>
          <w:sz w:val="22"/>
        </w:rPr>
        <w:t>Lönerna för personal vid energigemenskapens sekretariat som är tillämpliga från och med de</w:t>
      </w:r>
      <w:r>
        <w:rPr>
          <w:rFonts w:ascii="Arial" w:hAnsi="Arial"/>
          <w:noProof/>
          <w:sz w:val="22"/>
        </w:rPr>
        <w:t xml:space="preserve">n 1 januari 2020 grundas på befintliga ersättningsnivåer (2019) och inflationsjusteras med 2 %. </w:t>
      </w:r>
    </w:p>
    <w:p w:rsidR="003454D1" w:rsidRDefault="008C651D">
      <w:pPr>
        <w:rPr>
          <w:rFonts w:ascii="Arial" w:hAnsi="Arial" w:cs="Arial"/>
          <w:bCs/>
          <w:noProof/>
          <w:sz w:val="22"/>
        </w:rPr>
      </w:pPr>
      <w:r>
        <w:rPr>
          <w:rFonts w:ascii="Arial" w:hAnsi="Arial"/>
          <w:noProof/>
          <w:sz w:val="22"/>
        </w:rPr>
        <w:t>I denna budgetrubrik ingår även resurser för tillfälliga uppdrag (24 personmånader för utstationering och 60 personmånader för praktik) (under 2019: 46,6 perso</w:t>
      </w:r>
      <w:r>
        <w:rPr>
          <w:rFonts w:ascii="Arial" w:hAnsi="Arial"/>
          <w:noProof/>
          <w:sz w:val="22"/>
        </w:rPr>
        <w:t xml:space="preserve">nmånader). Ersättningsnivåerna för utstationerad personal har justerats, vilket har gjort det möjligt att minska den totala budgeten för tillfälligt anställda från 190 485 euro till 175 432 euro. Denna typ av anställning visade sig tillföra ett mervärde i </w:t>
      </w:r>
      <w:r>
        <w:rPr>
          <w:rFonts w:ascii="Arial" w:hAnsi="Arial"/>
          <w:noProof/>
          <w:sz w:val="22"/>
        </w:rPr>
        <w:t xml:space="preserve">sekretariatets arbete. Det har också varit det bästa instrumentet för att engagera unga yrkesverksamma eller experter från parterna i energigemenskapens arbete. Dessutom bidrar tillfälliga anställningar till att uppfylla kraven på geografisk spridning – i </w:t>
      </w:r>
      <w:r>
        <w:rPr>
          <w:rFonts w:ascii="Arial" w:hAnsi="Arial"/>
          <w:noProof/>
          <w:sz w:val="22"/>
        </w:rPr>
        <w:t xml:space="preserve">enlighet med </w:t>
      </w:r>
      <w:r>
        <w:rPr>
          <w:rFonts w:ascii="Arial" w:hAnsi="Arial"/>
          <w:i/>
          <w:noProof/>
          <w:sz w:val="22"/>
        </w:rPr>
        <w:t>Rules for Recruitment, Working Conditions and Geographical Equilibrium of the Secretariat’s Staff of the Energy Community</w:t>
      </w:r>
      <w:r>
        <w:rPr>
          <w:rFonts w:ascii="Arial" w:hAnsi="Arial"/>
          <w:noProof/>
          <w:sz w:val="22"/>
        </w:rPr>
        <w:t xml:space="preserve"> (</w:t>
      </w:r>
      <w:r>
        <w:rPr>
          <w:rFonts w:ascii="Arial" w:hAnsi="Arial"/>
          <w:noProof/>
        </w:rPr>
        <w:t xml:space="preserve"> </w:t>
      </w:r>
      <w:r>
        <w:rPr>
          <w:rFonts w:ascii="Arial" w:hAnsi="Arial"/>
          <w:i/>
          <w:noProof/>
          <w:sz w:val="22"/>
        </w:rPr>
        <w:t>rekryteringsreglerna</w:t>
      </w:r>
      <w:r>
        <w:rPr>
          <w:rFonts w:ascii="Arial" w:hAnsi="Arial"/>
          <w:noProof/>
          <w:sz w:val="22"/>
        </w:rPr>
        <w:t>).</w:t>
      </w:r>
      <w:r>
        <w:rPr>
          <w:rFonts w:ascii="Arial" w:hAnsi="Arial"/>
          <w:noProof/>
        </w:rPr>
        <w:t xml:space="preserve"> </w:t>
      </w:r>
    </w:p>
    <w:p w:rsidR="003454D1" w:rsidRDefault="008C651D">
      <w:pPr>
        <w:rPr>
          <w:rFonts w:ascii="Arial" w:hAnsi="Arial" w:cs="Arial"/>
          <w:noProof/>
          <w:sz w:val="22"/>
        </w:rPr>
      </w:pPr>
      <w:r>
        <w:rPr>
          <w:rFonts w:ascii="Arial" w:hAnsi="Arial"/>
          <w:noProof/>
          <w:sz w:val="22"/>
        </w:rPr>
        <w:t>Den begäran om personalökning som motiveras i arbetsprogrammet för 2020–2021 kompenserades geno</w:t>
      </w:r>
      <w:r>
        <w:rPr>
          <w:rFonts w:ascii="Arial" w:hAnsi="Arial"/>
          <w:noProof/>
          <w:sz w:val="22"/>
        </w:rPr>
        <w:t xml:space="preserve">m omfördelningar av budgetanslag mellan flera budgetposter. </w:t>
      </w:r>
    </w:p>
    <w:p w:rsidR="003454D1" w:rsidRDefault="003454D1">
      <w:pPr>
        <w:rPr>
          <w:rFonts w:ascii="Arial" w:hAnsi="Arial" w:cs="Arial"/>
          <w:noProof/>
        </w:rPr>
      </w:pPr>
    </w:p>
    <w:p w:rsidR="003454D1" w:rsidRDefault="008C651D">
      <w:pPr>
        <w:keepNext/>
        <w:keepLines/>
        <w:spacing w:before="200"/>
        <w:outlineLvl w:val="1"/>
        <w:rPr>
          <w:rFonts w:ascii="Arial" w:eastAsiaTheme="majorEastAsia" w:hAnsi="Arial" w:cs="Arial"/>
          <w:b/>
          <w:bCs/>
          <w:noProof/>
          <w:color w:val="4F81BD" w:themeColor="accent1"/>
          <w:sz w:val="26"/>
          <w:szCs w:val="26"/>
        </w:rPr>
      </w:pPr>
      <w:r>
        <w:rPr>
          <w:rFonts w:ascii="Arial" w:hAnsi="Arial"/>
          <w:b/>
          <w:bCs/>
          <w:noProof/>
          <w:color w:val="4F81BD" w:themeColor="accent1"/>
          <w:sz w:val="26"/>
          <w:szCs w:val="26"/>
        </w:rPr>
        <w:t>5.2. Budgetrubrik 2: Resor 2020</w:t>
      </w:r>
    </w:p>
    <w:p w:rsidR="003454D1" w:rsidRDefault="008C651D">
      <w:pPr>
        <w:rPr>
          <w:rFonts w:ascii="Arial" w:hAnsi="Arial" w:cs="Arial"/>
          <w:noProof/>
          <w:sz w:val="22"/>
        </w:rPr>
      </w:pPr>
      <w:r>
        <w:rPr>
          <w:rFonts w:ascii="Arial" w:hAnsi="Arial"/>
          <w:noProof/>
          <w:sz w:val="22"/>
        </w:rPr>
        <w:t>Resebudgeten för 2020 (340 000 euro) ligger 8 % lägre än för 2019 (367 812 euro). Uppskattningen för 2020 fastställdes på grundval av den erfarenhet av budgetutnyttjande som förvärvats under de senaste åren. En effektiv planering av framtida resor och tjän</w:t>
      </w:r>
      <w:r>
        <w:rPr>
          <w:rFonts w:ascii="Arial" w:hAnsi="Arial"/>
          <w:noProof/>
          <w:sz w:val="22"/>
        </w:rPr>
        <w:t xml:space="preserve">steresor ska möjliggöra ett tillfredsställande genomförande av verksamheterna inom den begärda budgeten. </w:t>
      </w:r>
    </w:p>
    <w:p w:rsidR="003454D1" w:rsidRDefault="003454D1">
      <w:pPr>
        <w:rPr>
          <w:rFonts w:ascii="Arial" w:hAnsi="Arial" w:cs="Arial"/>
          <w:noProof/>
          <w:sz w:val="22"/>
        </w:rPr>
      </w:pPr>
    </w:p>
    <w:p w:rsidR="003454D1" w:rsidRDefault="008C651D">
      <w:pPr>
        <w:keepNext/>
        <w:keepLines/>
        <w:spacing w:before="200"/>
        <w:outlineLvl w:val="1"/>
        <w:rPr>
          <w:rFonts w:ascii="Arial" w:eastAsiaTheme="majorEastAsia" w:hAnsi="Arial" w:cs="Arial"/>
          <w:b/>
          <w:bCs/>
          <w:noProof/>
          <w:color w:val="4F81BD" w:themeColor="accent1"/>
          <w:sz w:val="26"/>
          <w:szCs w:val="26"/>
        </w:rPr>
      </w:pPr>
      <w:r>
        <w:rPr>
          <w:rFonts w:ascii="Arial" w:hAnsi="Arial"/>
          <w:b/>
          <w:bCs/>
          <w:noProof/>
          <w:color w:val="4F81BD" w:themeColor="accent1"/>
          <w:sz w:val="26"/>
          <w:szCs w:val="26"/>
        </w:rPr>
        <w:t>5.3. Budgetrubrik 3: Kontor 2020</w:t>
      </w:r>
    </w:p>
    <w:p w:rsidR="003454D1" w:rsidRDefault="008C651D">
      <w:pPr>
        <w:rPr>
          <w:rFonts w:ascii="Arial" w:hAnsi="Arial" w:cs="Arial"/>
          <w:noProof/>
          <w:sz w:val="22"/>
        </w:rPr>
      </w:pPr>
      <w:r>
        <w:rPr>
          <w:rFonts w:ascii="Arial" w:hAnsi="Arial"/>
          <w:noProof/>
          <w:sz w:val="22"/>
        </w:rPr>
        <w:t>Ökningen på 6 % mellan 2019 (400 084 euro) och 2020 (424 205 euro) av budgeten för kontorskostnader bygger på realis</w:t>
      </w:r>
      <w:r>
        <w:rPr>
          <w:rFonts w:ascii="Arial" w:hAnsi="Arial"/>
          <w:noProof/>
          <w:sz w:val="22"/>
        </w:rPr>
        <w:t xml:space="preserve">tiska prognoser för hyror och andra tjänster. Båda budgetposterna led brist på medel under de senaste åren av genomförandet. </w:t>
      </w:r>
    </w:p>
    <w:p w:rsidR="003454D1" w:rsidRDefault="003454D1">
      <w:pPr>
        <w:keepNext/>
        <w:keepLines/>
        <w:spacing w:before="200"/>
        <w:outlineLvl w:val="1"/>
        <w:rPr>
          <w:rFonts w:ascii="Arial" w:eastAsiaTheme="majorEastAsia" w:hAnsi="Arial" w:cs="Arial"/>
          <w:b/>
          <w:bCs/>
          <w:noProof/>
          <w:color w:val="4F81BD" w:themeColor="accent1"/>
          <w:sz w:val="26"/>
          <w:szCs w:val="26"/>
        </w:rPr>
      </w:pPr>
    </w:p>
    <w:p w:rsidR="003454D1" w:rsidRDefault="008C651D">
      <w:pPr>
        <w:keepNext/>
        <w:keepLines/>
        <w:spacing w:before="200"/>
        <w:outlineLvl w:val="1"/>
        <w:rPr>
          <w:rFonts w:ascii="Arial" w:eastAsiaTheme="majorEastAsia" w:hAnsi="Arial" w:cs="Arial"/>
          <w:b/>
          <w:bCs/>
          <w:noProof/>
          <w:color w:val="4F81BD" w:themeColor="accent1"/>
          <w:sz w:val="26"/>
          <w:szCs w:val="26"/>
        </w:rPr>
      </w:pPr>
      <w:r>
        <w:rPr>
          <w:rFonts w:ascii="Arial" w:hAnsi="Arial"/>
          <w:b/>
          <w:bCs/>
          <w:noProof/>
          <w:color w:val="4F81BD" w:themeColor="accent1"/>
          <w:sz w:val="26"/>
          <w:szCs w:val="26"/>
        </w:rPr>
        <w:t>5.4. Budgetrubrik 4: Andra kostnader och tjänster 2020</w:t>
      </w:r>
    </w:p>
    <w:p w:rsidR="003454D1" w:rsidRDefault="008C651D">
      <w:pPr>
        <w:rPr>
          <w:rFonts w:ascii="Arial" w:hAnsi="Arial" w:cs="Arial"/>
          <w:noProof/>
          <w:sz w:val="22"/>
        </w:rPr>
      </w:pPr>
      <w:r>
        <w:rPr>
          <w:rFonts w:ascii="Arial" w:hAnsi="Arial"/>
          <w:noProof/>
          <w:sz w:val="22"/>
        </w:rPr>
        <w:t>Det totala budgetäskandet för övriga kostnader och tjänster är 6 % lägre f</w:t>
      </w:r>
      <w:r>
        <w:rPr>
          <w:rFonts w:ascii="Arial" w:hAnsi="Arial"/>
          <w:noProof/>
          <w:sz w:val="22"/>
        </w:rPr>
        <w:t>ör 2020 (1 395 000 euro) än för 2019 (1 486 956 euro). Detta kommer till uttryck som en justering av planeringen i olika budgetposter. Baserat på faktiska tidigare siffror avseende utnyttjandet i alla budgetposter, antas att denna budget kommer att vara ti</w:t>
      </w:r>
      <w:r>
        <w:rPr>
          <w:rFonts w:ascii="Arial" w:hAnsi="Arial"/>
          <w:noProof/>
          <w:sz w:val="22"/>
        </w:rPr>
        <w:t xml:space="preserve">llräcklig för att verksamheten inom ramen för denna budgetpost ska kunna fortsätta. </w:t>
      </w:r>
    </w:p>
    <w:p w:rsidR="003454D1" w:rsidRDefault="008C651D">
      <w:pPr>
        <w:pStyle w:val="NumPar1"/>
        <w:rPr>
          <w:noProof/>
        </w:rPr>
      </w:pPr>
      <w:r>
        <w:rPr>
          <w:noProof/>
        </w:rPr>
        <w:t>Energigemenskapens budget för 2021</w:t>
      </w:r>
    </w:p>
    <w:p w:rsidR="003454D1" w:rsidRDefault="008C651D">
      <w:pPr>
        <w:rPr>
          <w:rFonts w:ascii="Arial" w:hAnsi="Arial" w:cs="Arial"/>
          <w:noProof/>
          <w:sz w:val="22"/>
        </w:rPr>
      </w:pPr>
      <w:r>
        <w:rPr>
          <w:rFonts w:ascii="Arial" w:hAnsi="Arial"/>
          <w:noProof/>
          <w:sz w:val="22"/>
        </w:rPr>
        <w:t xml:space="preserve">Den föreslagna budgeten för 2021 på 4 812 073 euro bygger på samma antagande om ett fulltaligt team i enlighet med tjänsteförteckningen </w:t>
      </w:r>
      <w:r>
        <w:rPr>
          <w:rFonts w:ascii="Arial" w:hAnsi="Arial"/>
          <w:noProof/>
          <w:sz w:val="22"/>
        </w:rPr>
        <w:t>och samma lönenivå och övriga kostnader som för 2020. Ökningen av anslagen till löner uppvägs av en minskning av anslagen till undersökningar, grundutbildning och förbrukningsmaterial.</w:t>
      </w:r>
    </w:p>
    <w:p w:rsidR="003454D1" w:rsidRDefault="008C651D">
      <w:pPr>
        <w:rPr>
          <w:rFonts w:ascii="Arial" w:hAnsi="Arial" w:cs="Arial"/>
          <w:b/>
          <w:noProof/>
          <w:sz w:val="22"/>
        </w:rPr>
      </w:pPr>
      <w:r>
        <w:rPr>
          <w:rFonts w:ascii="Arial" w:hAnsi="Arial"/>
          <w:b/>
          <w:noProof/>
          <w:sz w:val="22"/>
        </w:rPr>
        <w:t>Siffrorna för 2021 finns ännu inte tillgängliga när det gäller EU:s fra</w:t>
      </w:r>
      <w:r>
        <w:rPr>
          <w:rFonts w:ascii="Arial" w:hAnsi="Arial"/>
          <w:b/>
          <w:noProof/>
          <w:sz w:val="22"/>
        </w:rPr>
        <w:t xml:space="preserve">mtida bidrag, i avvaktan på resultatet av den fleråriga budgetramen för 2021–2027. Detta utgör således en avancerad indikation på de resurser som behövs för energigemenskapens verksamhet efter 2020. </w:t>
      </w:r>
    </w:p>
    <w:p w:rsidR="003454D1" w:rsidRDefault="003454D1">
      <w:pPr>
        <w:rPr>
          <w:rFonts w:ascii="Arial" w:hAnsi="Arial" w:cs="Arial"/>
          <w:b/>
          <w:noProof/>
          <w:sz w:val="22"/>
        </w:rPr>
      </w:pPr>
    </w:p>
    <w:p w:rsidR="003454D1" w:rsidRDefault="008C651D">
      <w:pPr>
        <w:pStyle w:val="NumPar1"/>
        <w:rPr>
          <w:noProof/>
        </w:rPr>
      </w:pPr>
      <w:r>
        <w:rPr>
          <w:noProof/>
        </w:rPr>
        <w:t>Inkomstberäkning 2020–2021</w:t>
      </w:r>
    </w:p>
    <w:p w:rsidR="003454D1" w:rsidRDefault="003454D1">
      <w:pPr>
        <w:rPr>
          <w:noProof/>
        </w:rPr>
      </w:pPr>
    </w:p>
    <w:tbl>
      <w:tblPr>
        <w:tblW w:w="9240" w:type="dxa"/>
        <w:tblInd w:w="10" w:type="dxa"/>
        <w:tblLayout w:type="fixed"/>
        <w:tblCellMar>
          <w:left w:w="10" w:type="dxa"/>
          <w:right w:w="10" w:type="dxa"/>
        </w:tblCellMar>
        <w:tblLook w:val="0000" w:firstRow="0" w:lastRow="0" w:firstColumn="0" w:lastColumn="0" w:noHBand="0" w:noVBand="0"/>
      </w:tblPr>
      <w:tblGrid>
        <w:gridCol w:w="3000"/>
        <w:gridCol w:w="1320"/>
        <w:gridCol w:w="1200"/>
        <w:gridCol w:w="1320"/>
        <w:gridCol w:w="1200"/>
        <w:gridCol w:w="1200"/>
      </w:tblGrid>
      <w:tr w:rsidR="003454D1">
        <w:trPr>
          <w:trHeight w:hRule="exact" w:val="691"/>
        </w:trPr>
        <w:tc>
          <w:tcPr>
            <w:tcW w:w="3000" w:type="dxa"/>
            <w:tcBorders>
              <w:top w:val="single" w:sz="4" w:space="0" w:color="auto"/>
              <w:left w:val="single" w:sz="4" w:space="0" w:color="auto"/>
            </w:tcBorders>
            <w:shd w:val="clear" w:color="auto" w:fill="D9D9D9"/>
            <w:vAlign w:val="center"/>
          </w:tcPr>
          <w:p w:rsidR="003454D1" w:rsidRDefault="008C651D">
            <w:pPr>
              <w:widowControl w:val="0"/>
              <w:spacing w:before="0" w:after="0"/>
              <w:jc w:val="center"/>
              <w:rPr>
                <w:rFonts w:ascii="Arial" w:eastAsia="Arial" w:hAnsi="Arial" w:cs="Arial"/>
                <w:noProof/>
                <w:sz w:val="14"/>
                <w:szCs w:val="14"/>
                <w:highlight w:val="lightGray"/>
              </w:rPr>
            </w:pPr>
            <w:r>
              <w:rPr>
                <w:rFonts w:ascii="Arial" w:hAnsi="Arial"/>
                <w:b/>
                <w:bCs/>
                <w:noProof/>
                <w:sz w:val="14"/>
                <w:szCs w:val="14"/>
                <w:highlight w:val="lightGray"/>
                <w:shd w:val="clear" w:color="auto" w:fill="FFFFFF"/>
              </w:rPr>
              <w:t>Beskrivning</w:t>
            </w:r>
          </w:p>
        </w:tc>
        <w:tc>
          <w:tcPr>
            <w:tcW w:w="1320" w:type="dxa"/>
            <w:tcBorders>
              <w:top w:val="single" w:sz="4" w:space="0" w:color="auto"/>
              <w:left w:val="single" w:sz="4" w:space="0" w:color="auto"/>
            </w:tcBorders>
            <w:shd w:val="clear" w:color="auto" w:fill="FFFFFF"/>
            <w:vAlign w:val="center"/>
          </w:tcPr>
          <w:p w:rsidR="003454D1" w:rsidRDefault="008C651D">
            <w:pPr>
              <w:widowControl w:val="0"/>
              <w:spacing w:before="0" w:after="0"/>
              <w:jc w:val="center"/>
              <w:rPr>
                <w:rFonts w:ascii="Arial" w:eastAsia="Arial" w:hAnsi="Arial" w:cs="Arial"/>
                <w:noProof/>
                <w:sz w:val="14"/>
                <w:szCs w:val="14"/>
              </w:rPr>
            </w:pPr>
            <w:r>
              <w:rPr>
                <w:rFonts w:ascii="Arial" w:hAnsi="Arial"/>
                <w:b/>
                <w:bCs/>
                <w:noProof/>
                <w:sz w:val="14"/>
                <w:szCs w:val="14"/>
                <w:shd w:val="clear" w:color="auto" w:fill="FFFFFF"/>
              </w:rPr>
              <w:t>Budget 2019</w:t>
            </w:r>
          </w:p>
        </w:tc>
        <w:tc>
          <w:tcPr>
            <w:tcW w:w="1200" w:type="dxa"/>
            <w:tcBorders>
              <w:top w:val="single" w:sz="4" w:space="0" w:color="auto"/>
              <w:left w:val="single" w:sz="4" w:space="0" w:color="auto"/>
            </w:tcBorders>
            <w:shd w:val="clear" w:color="auto" w:fill="D9D9D9"/>
            <w:vAlign w:val="center"/>
          </w:tcPr>
          <w:p w:rsidR="003454D1" w:rsidRDefault="008C651D">
            <w:pPr>
              <w:widowControl w:val="0"/>
              <w:spacing w:before="0" w:after="0"/>
              <w:jc w:val="center"/>
              <w:rPr>
                <w:rFonts w:ascii="Arial" w:eastAsia="Arial" w:hAnsi="Arial" w:cs="Arial"/>
                <w:noProof/>
                <w:sz w:val="14"/>
                <w:szCs w:val="14"/>
                <w:highlight w:val="lightGray"/>
              </w:rPr>
            </w:pPr>
            <w:r>
              <w:rPr>
                <w:rFonts w:ascii="Arial" w:hAnsi="Arial"/>
                <w:b/>
                <w:bCs/>
                <w:noProof/>
                <w:sz w:val="14"/>
                <w:szCs w:val="14"/>
                <w:highlight w:val="lightGray"/>
                <w:shd w:val="clear" w:color="auto" w:fill="FFFFFF"/>
              </w:rPr>
              <w:t>Budget 2020</w:t>
            </w:r>
          </w:p>
        </w:tc>
        <w:tc>
          <w:tcPr>
            <w:tcW w:w="1320" w:type="dxa"/>
            <w:tcBorders>
              <w:top w:val="single" w:sz="4" w:space="0" w:color="auto"/>
              <w:left w:val="single" w:sz="4" w:space="0" w:color="auto"/>
            </w:tcBorders>
            <w:shd w:val="clear" w:color="auto" w:fill="D9D9D9"/>
            <w:vAlign w:val="center"/>
          </w:tcPr>
          <w:p w:rsidR="003454D1" w:rsidRDefault="008C651D">
            <w:pPr>
              <w:widowControl w:val="0"/>
              <w:spacing w:before="0" w:after="0"/>
              <w:jc w:val="center"/>
              <w:rPr>
                <w:rFonts w:ascii="Arial" w:eastAsia="Arial" w:hAnsi="Arial" w:cs="Arial"/>
                <w:noProof/>
                <w:sz w:val="14"/>
                <w:szCs w:val="14"/>
                <w:highlight w:val="lightGray"/>
              </w:rPr>
            </w:pPr>
            <w:r>
              <w:rPr>
                <w:rFonts w:ascii="Arial" w:hAnsi="Arial"/>
                <w:b/>
                <w:bCs/>
                <w:noProof/>
                <w:sz w:val="14"/>
                <w:szCs w:val="14"/>
                <w:highlight w:val="lightGray"/>
                <w:shd w:val="clear" w:color="auto" w:fill="FFFFFF"/>
              </w:rPr>
              <w:t>Budget 2021</w:t>
            </w:r>
          </w:p>
        </w:tc>
        <w:tc>
          <w:tcPr>
            <w:tcW w:w="1200" w:type="dxa"/>
            <w:tcBorders>
              <w:top w:val="single" w:sz="4" w:space="0" w:color="auto"/>
              <w:left w:val="single" w:sz="4" w:space="0" w:color="auto"/>
            </w:tcBorders>
            <w:shd w:val="clear" w:color="auto" w:fill="FFFFFF"/>
            <w:vAlign w:val="bottom"/>
          </w:tcPr>
          <w:p w:rsidR="003454D1" w:rsidRDefault="008C651D">
            <w:pPr>
              <w:widowControl w:val="0"/>
              <w:spacing w:before="0" w:after="0"/>
              <w:jc w:val="center"/>
              <w:rPr>
                <w:rFonts w:ascii="Arial" w:eastAsia="Arial" w:hAnsi="Arial" w:cs="Arial"/>
                <w:noProof/>
                <w:sz w:val="14"/>
                <w:szCs w:val="14"/>
              </w:rPr>
            </w:pPr>
            <w:r>
              <w:rPr>
                <w:rFonts w:ascii="Arial" w:hAnsi="Arial"/>
                <w:b/>
                <w:bCs/>
                <w:noProof/>
                <w:sz w:val="14"/>
                <w:szCs w:val="14"/>
                <w:shd w:val="clear" w:color="auto" w:fill="FFFFFF"/>
              </w:rPr>
              <w:t>Förändring,</w:t>
            </w:r>
          </w:p>
          <w:p w:rsidR="003454D1" w:rsidRDefault="008C651D">
            <w:pPr>
              <w:widowControl w:val="0"/>
              <w:spacing w:before="0" w:after="0"/>
              <w:jc w:val="center"/>
              <w:rPr>
                <w:rFonts w:ascii="Arial" w:eastAsia="Arial" w:hAnsi="Arial" w:cs="Arial"/>
                <w:noProof/>
                <w:sz w:val="14"/>
                <w:szCs w:val="14"/>
              </w:rPr>
            </w:pPr>
            <w:r>
              <w:rPr>
                <w:rFonts w:ascii="Arial" w:hAnsi="Arial"/>
                <w:b/>
                <w:bCs/>
                <w:noProof/>
                <w:sz w:val="14"/>
                <w:szCs w:val="14"/>
                <w:shd w:val="clear" w:color="auto" w:fill="FFFFFF"/>
              </w:rPr>
              <w:t>budget 2019 jämförd med budget 2020</w:t>
            </w:r>
          </w:p>
        </w:tc>
        <w:tc>
          <w:tcPr>
            <w:tcW w:w="1200" w:type="dxa"/>
            <w:tcBorders>
              <w:top w:val="single" w:sz="4" w:space="0" w:color="auto"/>
              <w:left w:val="single" w:sz="4" w:space="0" w:color="auto"/>
              <w:right w:val="single" w:sz="4" w:space="0" w:color="auto"/>
            </w:tcBorders>
            <w:shd w:val="clear" w:color="auto" w:fill="FFFFFF"/>
            <w:vAlign w:val="bottom"/>
          </w:tcPr>
          <w:p w:rsidR="003454D1" w:rsidRDefault="008C651D">
            <w:pPr>
              <w:widowControl w:val="0"/>
              <w:spacing w:before="0" w:after="0"/>
              <w:jc w:val="center"/>
              <w:rPr>
                <w:rFonts w:ascii="Arial" w:eastAsia="Arial" w:hAnsi="Arial" w:cs="Arial"/>
                <w:noProof/>
                <w:sz w:val="14"/>
                <w:szCs w:val="14"/>
              </w:rPr>
            </w:pPr>
            <w:r>
              <w:rPr>
                <w:rFonts w:ascii="Arial" w:hAnsi="Arial"/>
                <w:b/>
                <w:bCs/>
                <w:noProof/>
                <w:sz w:val="14"/>
                <w:szCs w:val="14"/>
                <w:shd w:val="clear" w:color="auto" w:fill="FFFFFF"/>
              </w:rPr>
              <w:t>Förändring,</w:t>
            </w:r>
          </w:p>
          <w:p w:rsidR="003454D1" w:rsidRDefault="008C651D">
            <w:pPr>
              <w:widowControl w:val="0"/>
              <w:spacing w:before="0" w:after="0"/>
              <w:jc w:val="center"/>
              <w:rPr>
                <w:rFonts w:ascii="Arial" w:eastAsia="Arial" w:hAnsi="Arial" w:cs="Arial"/>
                <w:noProof/>
                <w:sz w:val="14"/>
                <w:szCs w:val="14"/>
              </w:rPr>
            </w:pPr>
            <w:r>
              <w:rPr>
                <w:rFonts w:ascii="Arial" w:hAnsi="Arial"/>
                <w:b/>
                <w:bCs/>
                <w:noProof/>
                <w:sz w:val="14"/>
                <w:szCs w:val="14"/>
                <w:shd w:val="clear" w:color="auto" w:fill="FFFFFF"/>
              </w:rPr>
              <w:t>budget 2021 jämförd med budget 2020</w:t>
            </w:r>
          </w:p>
        </w:tc>
      </w:tr>
      <w:tr w:rsidR="003454D1">
        <w:trPr>
          <w:trHeight w:hRule="exact" w:val="567"/>
        </w:trPr>
        <w:tc>
          <w:tcPr>
            <w:tcW w:w="3000" w:type="dxa"/>
            <w:tcBorders>
              <w:top w:val="single" w:sz="4" w:space="0" w:color="auto"/>
              <w:left w:val="single" w:sz="4" w:space="0" w:color="auto"/>
            </w:tcBorders>
            <w:shd w:val="clear" w:color="auto" w:fill="D9D9D9"/>
            <w:vAlign w:val="center"/>
          </w:tcPr>
          <w:p w:rsidR="003454D1" w:rsidRDefault="008C651D">
            <w:pPr>
              <w:widowControl w:val="0"/>
              <w:spacing w:before="0" w:after="0"/>
              <w:jc w:val="left"/>
              <w:rPr>
                <w:rFonts w:ascii="Arial" w:eastAsia="Arial" w:hAnsi="Arial" w:cs="Arial"/>
                <w:noProof/>
                <w:sz w:val="14"/>
                <w:szCs w:val="14"/>
                <w:highlight w:val="lightGray"/>
              </w:rPr>
            </w:pPr>
            <w:r>
              <w:rPr>
                <w:rFonts w:ascii="Arial" w:hAnsi="Arial"/>
                <w:bCs/>
                <w:noProof/>
                <w:sz w:val="14"/>
                <w:szCs w:val="14"/>
                <w:highlight w:val="lightGray"/>
                <w:shd w:val="clear" w:color="auto" w:fill="FFFFFF"/>
              </w:rPr>
              <w:t>1. Parternas bidrag till budgeten</w:t>
            </w:r>
          </w:p>
        </w:tc>
        <w:tc>
          <w:tcPr>
            <w:tcW w:w="1320" w:type="dxa"/>
            <w:tcBorders>
              <w:top w:val="single" w:sz="4" w:space="0" w:color="auto"/>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top w:val="single" w:sz="4" w:space="0" w:color="auto"/>
              <w:left w:val="single" w:sz="4" w:space="0" w:color="auto"/>
            </w:tcBorders>
            <w:shd w:val="clear" w:color="auto" w:fill="D9D9D9"/>
          </w:tcPr>
          <w:p w:rsidR="003454D1" w:rsidRDefault="003454D1">
            <w:pPr>
              <w:widowControl w:val="0"/>
              <w:spacing w:before="0" w:after="0"/>
              <w:ind w:right="131"/>
              <w:jc w:val="left"/>
              <w:rPr>
                <w:rFonts w:ascii="Arial" w:eastAsia="Times New Roman" w:hAnsi="Arial" w:cs="Arial"/>
                <w:noProof/>
                <w:color w:val="000000"/>
                <w:sz w:val="14"/>
                <w:szCs w:val="14"/>
                <w:highlight w:val="lightGray"/>
              </w:rPr>
            </w:pPr>
          </w:p>
        </w:tc>
        <w:tc>
          <w:tcPr>
            <w:tcW w:w="1320" w:type="dxa"/>
            <w:tcBorders>
              <w:top w:val="single" w:sz="4" w:space="0" w:color="auto"/>
              <w:left w:val="single" w:sz="4" w:space="0" w:color="auto"/>
            </w:tcBorders>
            <w:shd w:val="clear" w:color="auto" w:fill="D9D9D9"/>
          </w:tcPr>
          <w:p w:rsidR="003454D1" w:rsidRDefault="003454D1">
            <w:pPr>
              <w:widowControl w:val="0"/>
              <w:spacing w:before="0" w:after="0"/>
              <w:jc w:val="left"/>
              <w:rPr>
                <w:rFonts w:ascii="Arial" w:eastAsia="Times New Roman" w:hAnsi="Arial" w:cs="Arial"/>
                <w:noProof/>
                <w:color w:val="000000"/>
                <w:sz w:val="14"/>
                <w:szCs w:val="14"/>
                <w:highlight w:val="lightGray"/>
              </w:rPr>
            </w:pPr>
          </w:p>
        </w:tc>
        <w:tc>
          <w:tcPr>
            <w:tcW w:w="1200" w:type="dxa"/>
            <w:tcBorders>
              <w:top w:val="single" w:sz="4" w:space="0" w:color="auto"/>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top w:val="single" w:sz="4" w:space="0" w:color="auto"/>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35"/>
        </w:trPr>
        <w:tc>
          <w:tcPr>
            <w:tcW w:w="3000" w:type="dxa"/>
            <w:tcBorders>
              <w:left w:val="single" w:sz="4" w:space="0" w:color="auto"/>
            </w:tcBorders>
            <w:shd w:val="clear" w:color="auto" w:fill="D9D9D9"/>
            <w:vAlign w:val="center"/>
          </w:tcPr>
          <w:p w:rsidR="003454D1" w:rsidRDefault="008C651D">
            <w:pPr>
              <w:widowControl w:val="0"/>
              <w:spacing w:before="0" w:after="0"/>
              <w:ind w:right="268"/>
              <w:jc w:val="right"/>
              <w:rPr>
                <w:rFonts w:ascii="Arial" w:eastAsia="Arial" w:hAnsi="Arial" w:cs="Arial"/>
                <w:noProof/>
                <w:sz w:val="14"/>
                <w:szCs w:val="14"/>
                <w:highlight w:val="lightGray"/>
              </w:rPr>
            </w:pPr>
            <w:r>
              <w:rPr>
                <w:rFonts w:ascii="Arial" w:hAnsi="Arial"/>
                <w:i/>
                <w:iCs/>
                <w:noProof/>
                <w:sz w:val="14"/>
                <w:szCs w:val="14"/>
                <w:highlight w:val="lightGray"/>
                <w:shd w:val="clear" w:color="auto" w:fill="FFFFFF"/>
              </w:rPr>
              <w:t>Europeiska unionen</w:t>
            </w:r>
          </w:p>
        </w:tc>
        <w:tc>
          <w:tcPr>
            <w:tcW w:w="1320" w:type="dxa"/>
            <w:tcBorders>
              <w:left w:val="single" w:sz="4" w:space="0" w:color="auto"/>
            </w:tcBorders>
            <w:shd w:val="clear" w:color="auto" w:fill="FFFFFF"/>
            <w:vAlign w:val="center"/>
          </w:tcPr>
          <w:p w:rsidR="003454D1" w:rsidRDefault="008C651D">
            <w:pPr>
              <w:widowControl w:val="0"/>
              <w:spacing w:before="0" w:after="0"/>
              <w:ind w:right="129"/>
              <w:jc w:val="right"/>
              <w:rPr>
                <w:rFonts w:ascii="Arial" w:eastAsia="Arial" w:hAnsi="Arial" w:cs="Arial"/>
                <w:noProof/>
                <w:sz w:val="14"/>
                <w:szCs w:val="14"/>
              </w:rPr>
            </w:pPr>
            <w:r>
              <w:rPr>
                <w:rFonts w:ascii="Arial" w:hAnsi="Arial"/>
                <w:bCs/>
                <w:noProof/>
                <w:sz w:val="14"/>
                <w:szCs w:val="14"/>
                <w:shd w:val="clear" w:color="auto" w:fill="FFFFFF"/>
              </w:rPr>
              <w:t>4 560 883</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4 560 883</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4 560 883</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40"/>
        </w:trPr>
        <w:tc>
          <w:tcPr>
            <w:tcW w:w="3000" w:type="dxa"/>
            <w:tcBorders>
              <w:left w:val="single" w:sz="4" w:space="0" w:color="auto"/>
            </w:tcBorders>
            <w:shd w:val="clear" w:color="auto" w:fill="D9D9D9"/>
            <w:vAlign w:val="center"/>
          </w:tcPr>
          <w:p w:rsidR="003454D1" w:rsidRDefault="008C651D">
            <w:pPr>
              <w:widowControl w:val="0"/>
              <w:spacing w:before="0" w:after="0"/>
              <w:ind w:right="268"/>
              <w:jc w:val="right"/>
              <w:rPr>
                <w:rFonts w:ascii="Arial" w:eastAsia="Arial" w:hAnsi="Arial" w:cs="Arial"/>
                <w:noProof/>
                <w:sz w:val="14"/>
                <w:szCs w:val="14"/>
                <w:highlight w:val="lightGray"/>
              </w:rPr>
            </w:pPr>
            <w:r>
              <w:rPr>
                <w:rFonts w:ascii="Arial" w:hAnsi="Arial"/>
                <w:i/>
                <w:iCs/>
                <w:noProof/>
                <w:sz w:val="14"/>
                <w:szCs w:val="14"/>
                <w:highlight w:val="lightGray"/>
                <w:shd w:val="clear" w:color="auto" w:fill="FFFFFF"/>
              </w:rPr>
              <w:t>Republiken Albanien</w:t>
            </w:r>
          </w:p>
        </w:tc>
        <w:tc>
          <w:tcPr>
            <w:tcW w:w="1320" w:type="dxa"/>
            <w:tcBorders>
              <w:left w:val="single" w:sz="4" w:space="0" w:color="auto"/>
            </w:tcBorders>
            <w:shd w:val="clear" w:color="auto" w:fill="FFFFFF"/>
            <w:vAlign w:val="center"/>
          </w:tcPr>
          <w:p w:rsidR="003454D1" w:rsidRDefault="008C651D">
            <w:pPr>
              <w:widowControl w:val="0"/>
              <w:spacing w:before="0" w:after="0"/>
              <w:ind w:right="129"/>
              <w:jc w:val="right"/>
              <w:rPr>
                <w:rFonts w:ascii="Arial" w:eastAsia="Arial" w:hAnsi="Arial" w:cs="Arial"/>
                <w:noProof/>
                <w:sz w:val="14"/>
                <w:szCs w:val="14"/>
              </w:rPr>
            </w:pPr>
            <w:r>
              <w:rPr>
                <w:rFonts w:ascii="Arial" w:hAnsi="Arial"/>
                <w:bCs/>
                <w:noProof/>
                <w:sz w:val="14"/>
                <w:szCs w:val="14"/>
                <w:shd w:val="clear" w:color="auto" w:fill="FFFFFF"/>
              </w:rPr>
              <w:t>4 331</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4 331</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4 331</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35"/>
        </w:trPr>
        <w:tc>
          <w:tcPr>
            <w:tcW w:w="3000" w:type="dxa"/>
            <w:tcBorders>
              <w:left w:val="single" w:sz="4" w:space="0" w:color="auto"/>
            </w:tcBorders>
            <w:shd w:val="clear" w:color="auto" w:fill="D9D9D9"/>
            <w:vAlign w:val="center"/>
          </w:tcPr>
          <w:p w:rsidR="003454D1" w:rsidRDefault="008C651D">
            <w:pPr>
              <w:widowControl w:val="0"/>
              <w:spacing w:before="0" w:after="0"/>
              <w:ind w:right="268"/>
              <w:jc w:val="right"/>
              <w:rPr>
                <w:rFonts w:ascii="Arial" w:eastAsia="Arial" w:hAnsi="Arial" w:cs="Arial"/>
                <w:noProof/>
                <w:sz w:val="14"/>
                <w:szCs w:val="14"/>
                <w:highlight w:val="lightGray"/>
              </w:rPr>
            </w:pPr>
            <w:r>
              <w:rPr>
                <w:rFonts w:ascii="Arial" w:hAnsi="Arial"/>
                <w:i/>
                <w:iCs/>
                <w:noProof/>
                <w:sz w:val="14"/>
                <w:szCs w:val="14"/>
                <w:highlight w:val="lightGray"/>
                <w:shd w:val="clear" w:color="auto" w:fill="FFFFFF"/>
              </w:rPr>
              <w:t>Bosnien och Hercegovina</w:t>
            </w:r>
          </w:p>
        </w:tc>
        <w:tc>
          <w:tcPr>
            <w:tcW w:w="1320" w:type="dxa"/>
            <w:tcBorders>
              <w:left w:val="single" w:sz="4" w:space="0" w:color="auto"/>
            </w:tcBorders>
            <w:shd w:val="clear" w:color="auto" w:fill="FFFFFF"/>
            <w:vAlign w:val="center"/>
          </w:tcPr>
          <w:p w:rsidR="003454D1" w:rsidRDefault="008C651D">
            <w:pPr>
              <w:widowControl w:val="0"/>
              <w:spacing w:before="0" w:after="0"/>
              <w:ind w:right="129"/>
              <w:jc w:val="right"/>
              <w:rPr>
                <w:rFonts w:ascii="Arial" w:eastAsia="Arial" w:hAnsi="Arial" w:cs="Arial"/>
                <w:noProof/>
                <w:sz w:val="14"/>
                <w:szCs w:val="14"/>
              </w:rPr>
            </w:pPr>
            <w:r>
              <w:rPr>
                <w:rFonts w:ascii="Arial" w:hAnsi="Arial"/>
                <w:bCs/>
                <w:noProof/>
                <w:sz w:val="14"/>
                <w:szCs w:val="14"/>
                <w:shd w:val="clear" w:color="auto" w:fill="FFFFFF"/>
              </w:rPr>
              <w:t>9 624</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9 624</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9 624</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35"/>
        </w:trPr>
        <w:tc>
          <w:tcPr>
            <w:tcW w:w="3000" w:type="dxa"/>
            <w:tcBorders>
              <w:left w:val="single" w:sz="4" w:space="0" w:color="auto"/>
            </w:tcBorders>
            <w:shd w:val="clear" w:color="auto" w:fill="D9D9D9"/>
            <w:vAlign w:val="center"/>
          </w:tcPr>
          <w:p w:rsidR="003454D1" w:rsidRDefault="008C651D">
            <w:pPr>
              <w:widowControl w:val="0"/>
              <w:spacing w:before="0" w:after="0"/>
              <w:ind w:right="268"/>
              <w:jc w:val="right"/>
              <w:rPr>
                <w:rFonts w:ascii="Arial" w:eastAsia="Arial" w:hAnsi="Arial" w:cs="Arial"/>
                <w:noProof/>
                <w:sz w:val="14"/>
                <w:szCs w:val="14"/>
                <w:highlight w:val="lightGray"/>
              </w:rPr>
            </w:pPr>
            <w:r>
              <w:rPr>
                <w:rFonts w:ascii="Arial" w:hAnsi="Arial"/>
                <w:i/>
                <w:iCs/>
                <w:noProof/>
                <w:sz w:val="14"/>
                <w:szCs w:val="14"/>
                <w:highlight w:val="lightGray"/>
                <w:shd w:val="clear" w:color="auto" w:fill="FFFFFF"/>
              </w:rPr>
              <w:t>Georgien</w:t>
            </w:r>
          </w:p>
        </w:tc>
        <w:tc>
          <w:tcPr>
            <w:tcW w:w="1320" w:type="dxa"/>
            <w:tcBorders>
              <w:left w:val="single" w:sz="4" w:space="0" w:color="auto"/>
            </w:tcBorders>
            <w:shd w:val="clear" w:color="auto" w:fill="FFFFFF"/>
            <w:vAlign w:val="center"/>
          </w:tcPr>
          <w:p w:rsidR="003454D1" w:rsidRDefault="008C651D">
            <w:pPr>
              <w:widowControl w:val="0"/>
              <w:spacing w:before="0" w:after="0"/>
              <w:ind w:right="129"/>
              <w:jc w:val="right"/>
              <w:rPr>
                <w:rFonts w:ascii="Arial" w:eastAsia="Arial" w:hAnsi="Arial" w:cs="Arial"/>
                <w:noProof/>
                <w:sz w:val="14"/>
                <w:szCs w:val="14"/>
              </w:rPr>
            </w:pPr>
            <w:r>
              <w:rPr>
                <w:rFonts w:ascii="Arial" w:hAnsi="Arial"/>
                <w:bCs/>
                <w:noProof/>
                <w:sz w:val="14"/>
                <w:szCs w:val="14"/>
                <w:shd w:val="clear" w:color="auto" w:fill="FFFFFF"/>
              </w:rPr>
              <w:t>5 293</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5 293</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5 293</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35"/>
        </w:trPr>
        <w:tc>
          <w:tcPr>
            <w:tcW w:w="3000" w:type="dxa"/>
            <w:tcBorders>
              <w:left w:val="single" w:sz="4" w:space="0" w:color="auto"/>
            </w:tcBorders>
            <w:shd w:val="clear" w:color="auto" w:fill="D9D9D9"/>
            <w:vAlign w:val="center"/>
          </w:tcPr>
          <w:p w:rsidR="003454D1" w:rsidRDefault="008C651D">
            <w:pPr>
              <w:widowControl w:val="0"/>
              <w:spacing w:before="0" w:after="0"/>
              <w:ind w:right="268"/>
              <w:jc w:val="right"/>
              <w:rPr>
                <w:rFonts w:ascii="Arial" w:eastAsia="Arial" w:hAnsi="Arial" w:cs="Arial"/>
                <w:noProof/>
                <w:sz w:val="14"/>
                <w:szCs w:val="14"/>
                <w:highlight w:val="lightGray"/>
              </w:rPr>
            </w:pPr>
            <w:r>
              <w:rPr>
                <w:rFonts w:ascii="Arial" w:hAnsi="Arial"/>
                <w:i/>
                <w:iCs/>
                <w:noProof/>
                <w:sz w:val="14"/>
                <w:szCs w:val="14"/>
                <w:highlight w:val="lightGray"/>
                <w:shd w:val="clear" w:color="auto" w:fill="FFFFFF"/>
              </w:rPr>
              <w:t>Kosovo*</w:t>
            </w:r>
          </w:p>
        </w:tc>
        <w:tc>
          <w:tcPr>
            <w:tcW w:w="1320" w:type="dxa"/>
            <w:tcBorders>
              <w:left w:val="single" w:sz="4" w:space="0" w:color="auto"/>
            </w:tcBorders>
            <w:shd w:val="clear" w:color="auto" w:fill="FFFFFF"/>
            <w:vAlign w:val="center"/>
          </w:tcPr>
          <w:p w:rsidR="003454D1" w:rsidRDefault="008C651D">
            <w:pPr>
              <w:widowControl w:val="0"/>
              <w:spacing w:before="0" w:after="0"/>
              <w:ind w:right="129"/>
              <w:jc w:val="right"/>
              <w:rPr>
                <w:rFonts w:ascii="Arial" w:eastAsia="Arial" w:hAnsi="Arial" w:cs="Arial"/>
                <w:noProof/>
                <w:sz w:val="14"/>
                <w:szCs w:val="14"/>
              </w:rPr>
            </w:pPr>
            <w:r>
              <w:rPr>
                <w:rFonts w:ascii="Arial" w:hAnsi="Arial"/>
                <w:bCs/>
                <w:noProof/>
                <w:sz w:val="14"/>
                <w:szCs w:val="14"/>
                <w:shd w:val="clear" w:color="auto" w:fill="FFFFFF"/>
              </w:rPr>
              <w:t>3 368</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3 368</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3 368</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35"/>
        </w:trPr>
        <w:tc>
          <w:tcPr>
            <w:tcW w:w="3000" w:type="dxa"/>
            <w:tcBorders>
              <w:left w:val="single" w:sz="4" w:space="0" w:color="auto"/>
            </w:tcBorders>
            <w:shd w:val="clear" w:color="auto" w:fill="D9D9D9"/>
            <w:vAlign w:val="center"/>
          </w:tcPr>
          <w:p w:rsidR="003454D1" w:rsidRDefault="008C651D">
            <w:pPr>
              <w:widowControl w:val="0"/>
              <w:spacing w:before="0" w:after="0"/>
              <w:ind w:right="268"/>
              <w:jc w:val="right"/>
              <w:rPr>
                <w:rFonts w:ascii="Arial" w:eastAsia="Arial" w:hAnsi="Arial" w:cs="Arial"/>
                <w:noProof/>
                <w:sz w:val="14"/>
                <w:szCs w:val="14"/>
                <w:highlight w:val="lightGray"/>
              </w:rPr>
            </w:pPr>
            <w:r>
              <w:rPr>
                <w:rFonts w:ascii="Arial" w:hAnsi="Arial"/>
                <w:i/>
                <w:iCs/>
                <w:noProof/>
                <w:sz w:val="14"/>
                <w:szCs w:val="14"/>
                <w:highlight w:val="lightGray"/>
                <w:shd w:val="clear" w:color="auto" w:fill="FFFFFF"/>
              </w:rPr>
              <w:t>Nordmakedonien</w:t>
            </w:r>
          </w:p>
        </w:tc>
        <w:tc>
          <w:tcPr>
            <w:tcW w:w="1320" w:type="dxa"/>
            <w:tcBorders>
              <w:left w:val="single" w:sz="4" w:space="0" w:color="auto"/>
            </w:tcBorders>
            <w:shd w:val="clear" w:color="auto" w:fill="FFFFFF"/>
            <w:vAlign w:val="center"/>
          </w:tcPr>
          <w:p w:rsidR="003454D1" w:rsidRDefault="008C651D">
            <w:pPr>
              <w:widowControl w:val="0"/>
              <w:spacing w:before="0" w:after="0"/>
              <w:ind w:right="129"/>
              <w:jc w:val="right"/>
              <w:rPr>
                <w:rFonts w:ascii="Arial" w:eastAsia="Arial" w:hAnsi="Arial" w:cs="Arial"/>
                <w:noProof/>
                <w:sz w:val="14"/>
                <w:szCs w:val="14"/>
              </w:rPr>
            </w:pPr>
            <w:r>
              <w:rPr>
                <w:rFonts w:ascii="Arial" w:hAnsi="Arial"/>
                <w:bCs/>
                <w:noProof/>
                <w:sz w:val="14"/>
                <w:szCs w:val="14"/>
                <w:shd w:val="clear" w:color="auto" w:fill="FFFFFF"/>
              </w:rPr>
              <w:t>4 812</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4 812</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4 812</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35"/>
        </w:trPr>
        <w:tc>
          <w:tcPr>
            <w:tcW w:w="3000" w:type="dxa"/>
            <w:tcBorders>
              <w:left w:val="single" w:sz="4" w:space="0" w:color="auto"/>
            </w:tcBorders>
            <w:shd w:val="clear" w:color="auto" w:fill="D9D9D9"/>
            <w:vAlign w:val="center"/>
          </w:tcPr>
          <w:p w:rsidR="003454D1" w:rsidRDefault="008C651D">
            <w:pPr>
              <w:widowControl w:val="0"/>
              <w:spacing w:before="0" w:after="0"/>
              <w:ind w:right="268"/>
              <w:jc w:val="right"/>
              <w:rPr>
                <w:rFonts w:ascii="Arial" w:eastAsia="Arial" w:hAnsi="Arial" w:cs="Arial"/>
                <w:noProof/>
                <w:sz w:val="14"/>
                <w:szCs w:val="14"/>
                <w:highlight w:val="lightGray"/>
              </w:rPr>
            </w:pPr>
            <w:r>
              <w:rPr>
                <w:rFonts w:ascii="Arial" w:hAnsi="Arial"/>
                <w:i/>
                <w:iCs/>
                <w:noProof/>
                <w:sz w:val="14"/>
                <w:szCs w:val="14"/>
                <w:highlight w:val="lightGray"/>
                <w:shd w:val="clear" w:color="auto" w:fill="FFFFFF"/>
              </w:rPr>
              <w:t>Moldavien</w:t>
            </w:r>
          </w:p>
        </w:tc>
        <w:tc>
          <w:tcPr>
            <w:tcW w:w="1320" w:type="dxa"/>
            <w:tcBorders>
              <w:left w:val="single" w:sz="4" w:space="0" w:color="auto"/>
            </w:tcBorders>
            <w:shd w:val="clear" w:color="auto" w:fill="FFFFFF"/>
            <w:vAlign w:val="center"/>
          </w:tcPr>
          <w:p w:rsidR="003454D1" w:rsidRDefault="008C651D">
            <w:pPr>
              <w:widowControl w:val="0"/>
              <w:spacing w:before="0" w:after="0"/>
              <w:ind w:right="129"/>
              <w:jc w:val="right"/>
              <w:rPr>
                <w:rFonts w:ascii="Arial" w:eastAsia="Arial" w:hAnsi="Arial" w:cs="Arial"/>
                <w:noProof/>
                <w:sz w:val="14"/>
                <w:szCs w:val="14"/>
              </w:rPr>
            </w:pPr>
            <w:r>
              <w:rPr>
                <w:rFonts w:ascii="Arial" w:hAnsi="Arial"/>
                <w:bCs/>
                <w:noProof/>
                <w:sz w:val="14"/>
                <w:szCs w:val="14"/>
                <w:shd w:val="clear" w:color="auto" w:fill="FFFFFF"/>
              </w:rPr>
              <w:t>4 812</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4 812</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4 812</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45"/>
        </w:trPr>
        <w:tc>
          <w:tcPr>
            <w:tcW w:w="3000" w:type="dxa"/>
            <w:tcBorders>
              <w:left w:val="single" w:sz="4" w:space="0" w:color="auto"/>
            </w:tcBorders>
            <w:shd w:val="clear" w:color="auto" w:fill="D9D9D9"/>
            <w:vAlign w:val="center"/>
          </w:tcPr>
          <w:p w:rsidR="003454D1" w:rsidRDefault="008C651D">
            <w:pPr>
              <w:widowControl w:val="0"/>
              <w:spacing w:before="0" w:after="0"/>
              <w:ind w:right="268"/>
              <w:jc w:val="right"/>
              <w:rPr>
                <w:rFonts w:ascii="Arial" w:eastAsia="Arial" w:hAnsi="Arial" w:cs="Arial"/>
                <w:noProof/>
                <w:sz w:val="14"/>
                <w:szCs w:val="14"/>
                <w:highlight w:val="lightGray"/>
              </w:rPr>
            </w:pPr>
            <w:r>
              <w:rPr>
                <w:rFonts w:ascii="Arial" w:hAnsi="Arial"/>
                <w:i/>
                <w:iCs/>
                <w:noProof/>
                <w:sz w:val="14"/>
                <w:szCs w:val="14"/>
                <w:highlight w:val="lightGray"/>
                <w:shd w:val="clear" w:color="auto" w:fill="FFFFFF"/>
              </w:rPr>
              <w:t>Montenegro</w:t>
            </w:r>
          </w:p>
        </w:tc>
        <w:tc>
          <w:tcPr>
            <w:tcW w:w="1320" w:type="dxa"/>
            <w:tcBorders>
              <w:left w:val="single" w:sz="4" w:space="0" w:color="auto"/>
            </w:tcBorders>
            <w:shd w:val="clear" w:color="auto" w:fill="FFFFFF"/>
            <w:vAlign w:val="center"/>
          </w:tcPr>
          <w:p w:rsidR="003454D1" w:rsidRDefault="008C651D">
            <w:pPr>
              <w:widowControl w:val="0"/>
              <w:spacing w:before="0" w:after="0"/>
              <w:ind w:right="129"/>
              <w:jc w:val="right"/>
              <w:rPr>
                <w:rFonts w:ascii="Arial" w:eastAsia="Arial" w:hAnsi="Arial" w:cs="Arial"/>
                <w:noProof/>
                <w:sz w:val="14"/>
                <w:szCs w:val="14"/>
              </w:rPr>
            </w:pPr>
            <w:r>
              <w:rPr>
                <w:rFonts w:ascii="Arial" w:hAnsi="Arial"/>
                <w:bCs/>
                <w:noProof/>
                <w:sz w:val="14"/>
                <w:szCs w:val="14"/>
                <w:shd w:val="clear" w:color="auto" w:fill="FFFFFF"/>
              </w:rPr>
              <w:t>2 406</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2 406</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2 406</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30"/>
        </w:trPr>
        <w:tc>
          <w:tcPr>
            <w:tcW w:w="3000" w:type="dxa"/>
            <w:tcBorders>
              <w:left w:val="single" w:sz="4" w:space="0" w:color="auto"/>
            </w:tcBorders>
            <w:shd w:val="clear" w:color="auto" w:fill="D9D9D9"/>
            <w:vAlign w:val="center"/>
          </w:tcPr>
          <w:p w:rsidR="003454D1" w:rsidRDefault="008C651D">
            <w:pPr>
              <w:widowControl w:val="0"/>
              <w:spacing w:before="0" w:after="0"/>
              <w:ind w:right="268"/>
              <w:jc w:val="right"/>
              <w:rPr>
                <w:rFonts w:ascii="Arial" w:eastAsia="Arial" w:hAnsi="Arial" w:cs="Arial"/>
                <w:noProof/>
                <w:sz w:val="14"/>
                <w:szCs w:val="14"/>
                <w:highlight w:val="lightGray"/>
              </w:rPr>
            </w:pPr>
            <w:r>
              <w:rPr>
                <w:rFonts w:ascii="Arial" w:hAnsi="Arial"/>
                <w:i/>
                <w:iCs/>
                <w:noProof/>
                <w:sz w:val="14"/>
                <w:szCs w:val="14"/>
                <w:highlight w:val="lightGray"/>
                <w:shd w:val="clear" w:color="auto" w:fill="FFFFFF"/>
              </w:rPr>
              <w:t>Serbien</w:t>
            </w:r>
          </w:p>
        </w:tc>
        <w:tc>
          <w:tcPr>
            <w:tcW w:w="1320" w:type="dxa"/>
            <w:tcBorders>
              <w:left w:val="single" w:sz="4" w:space="0" w:color="auto"/>
            </w:tcBorders>
            <w:shd w:val="clear" w:color="auto" w:fill="FFFFFF"/>
            <w:vAlign w:val="center"/>
          </w:tcPr>
          <w:p w:rsidR="003454D1" w:rsidRDefault="008C651D">
            <w:pPr>
              <w:widowControl w:val="0"/>
              <w:spacing w:before="0" w:after="0"/>
              <w:ind w:right="129"/>
              <w:jc w:val="right"/>
              <w:rPr>
                <w:rFonts w:ascii="Arial" w:eastAsia="Arial" w:hAnsi="Arial" w:cs="Arial"/>
                <w:noProof/>
                <w:sz w:val="14"/>
                <w:szCs w:val="14"/>
              </w:rPr>
            </w:pPr>
            <w:r>
              <w:rPr>
                <w:rFonts w:ascii="Arial" w:hAnsi="Arial"/>
                <w:bCs/>
                <w:noProof/>
                <w:sz w:val="14"/>
                <w:szCs w:val="14"/>
                <w:shd w:val="clear" w:color="auto" w:fill="FFFFFF"/>
              </w:rPr>
              <w:t>26 948</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26 948</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26 948</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40"/>
        </w:trPr>
        <w:tc>
          <w:tcPr>
            <w:tcW w:w="3000" w:type="dxa"/>
            <w:tcBorders>
              <w:left w:val="single" w:sz="4" w:space="0" w:color="auto"/>
            </w:tcBorders>
            <w:shd w:val="clear" w:color="auto" w:fill="D9D9D9"/>
            <w:vAlign w:val="center"/>
          </w:tcPr>
          <w:p w:rsidR="003454D1" w:rsidRDefault="008C651D">
            <w:pPr>
              <w:widowControl w:val="0"/>
              <w:spacing w:before="0" w:after="0"/>
              <w:ind w:right="268"/>
              <w:jc w:val="right"/>
              <w:rPr>
                <w:rFonts w:ascii="Arial" w:eastAsia="Arial" w:hAnsi="Arial" w:cs="Arial"/>
                <w:i/>
                <w:iCs/>
                <w:noProof/>
                <w:color w:val="000000"/>
                <w:sz w:val="14"/>
                <w:szCs w:val="14"/>
                <w:highlight w:val="lightGray"/>
                <w:shd w:val="clear" w:color="auto" w:fill="FFFFFF"/>
              </w:rPr>
            </w:pPr>
            <w:r>
              <w:rPr>
                <w:rFonts w:ascii="Arial" w:hAnsi="Arial"/>
                <w:i/>
                <w:iCs/>
                <w:noProof/>
                <w:sz w:val="14"/>
                <w:szCs w:val="14"/>
                <w:highlight w:val="lightGray"/>
                <w:shd w:val="clear" w:color="auto" w:fill="FFFFFF"/>
              </w:rPr>
              <w:t>Ukraina</w:t>
            </w:r>
          </w:p>
          <w:p w:rsidR="003454D1" w:rsidRDefault="003454D1">
            <w:pPr>
              <w:widowControl w:val="0"/>
              <w:spacing w:before="0" w:after="0"/>
              <w:ind w:right="268"/>
              <w:jc w:val="right"/>
              <w:rPr>
                <w:rFonts w:ascii="Arial" w:eastAsia="Arial" w:hAnsi="Arial" w:cs="Arial"/>
                <w:noProof/>
                <w:sz w:val="14"/>
                <w:szCs w:val="14"/>
                <w:highlight w:val="lightGray"/>
              </w:rPr>
            </w:pPr>
          </w:p>
        </w:tc>
        <w:tc>
          <w:tcPr>
            <w:tcW w:w="1320" w:type="dxa"/>
            <w:tcBorders>
              <w:left w:val="single" w:sz="4" w:space="0" w:color="auto"/>
            </w:tcBorders>
            <w:shd w:val="clear" w:color="auto" w:fill="FFFFFF"/>
            <w:vAlign w:val="center"/>
          </w:tcPr>
          <w:p w:rsidR="003454D1" w:rsidRDefault="008C651D">
            <w:pPr>
              <w:widowControl w:val="0"/>
              <w:spacing w:before="0" w:after="0"/>
              <w:ind w:right="129"/>
              <w:jc w:val="right"/>
              <w:rPr>
                <w:rFonts w:ascii="Arial" w:eastAsia="Arial" w:hAnsi="Arial" w:cs="Arial"/>
                <w:noProof/>
                <w:sz w:val="14"/>
                <w:szCs w:val="14"/>
              </w:rPr>
            </w:pPr>
            <w:r>
              <w:rPr>
                <w:rFonts w:ascii="Arial" w:hAnsi="Arial"/>
                <w:bCs/>
                <w:noProof/>
                <w:sz w:val="14"/>
                <w:szCs w:val="14"/>
                <w:shd w:val="clear" w:color="auto" w:fill="FFFFFF"/>
              </w:rPr>
              <w:t>189 596</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 xml:space="preserve">189 </w:t>
            </w:r>
            <w:r>
              <w:rPr>
                <w:rFonts w:ascii="Arial" w:hAnsi="Arial"/>
                <w:bCs/>
                <w:noProof/>
                <w:sz w:val="14"/>
                <w:szCs w:val="14"/>
                <w:highlight w:val="lightGray"/>
                <w:shd w:val="clear" w:color="auto" w:fill="FFFFFF"/>
              </w:rPr>
              <w:t>596</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right"/>
              <w:rPr>
                <w:rFonts w:ascii="Arial" w:eastAsia="Arial" w:hAnsi="Arial" w:cs="Arial"/>
                <w:noProof/>
                <w:sz w:val="14"/>
                <w:szCs w:val="14"/>
                <w:highlight w:val="lightGray"/>
              </w:rPr>
            </w:pPr>
            <w:r>
              <w:rPr>
                <w:rFonts w:ascii="Arial" w:hAnsi="Arial"/>
                <w:bCs/>
                <w:noProof/>
                <w:sz w:val="14"/>
                <w:szCs w:val="14"/>
                <w:highlight w:val="lightGray"/>
                <w:shd w:val="clear" w:color="auto" w:fill="FFFFFF"/>
              </w:rPr>
              <w:t>189 596</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40"/>
        </w:trPr>
        <w:tc>
          <w:tcPr>
            <w:tcW w:w="3000" w:type="dxa"/>
            <w:tcBorders>
              <w:left w:val="single" w:sz="4" w:space="0" w:color="auto"/>
            </w:tcBorders>
            <w:shd w:val="clear" w:color="auto" w:fill="D9D9D9"/>
            <w:vAlign w:val="center"/>
          </w:tcPr>
          <w:p w:rsidR="003454D1" w:rsidRDefault="003454D1">
            <w:pPr>
              <w:widowControl w:val="0"/>
              <w:spacing w:before="0" w:after="0"/>
              <w:ind w:right="268"/>
              <w:jc w:val="right"/>
              <w:rPr>
                <w:rFonts w:ascii="Arial" w:eastAsia="Arial" w:hAnsi="Arial" w:cs="Arial"/>
                <w:i/>
                <w:iCs/>
                <w:noProof/>
                <w:color w:val="000000"/>
                <w:sz w:val="14"/>
                <w:szCs w:val="14"/>
                <w:highlight w:val="lightGray"/>
                <w:shd w:val="clear" w:color="auto" w:fill="FFFFFF"/>
              </w:rPr>
            </w:pPr>
          </w:p>
        </w:tc>
        <w:tc>
          <w:tcPr>
            <w:tcW w:w="1320" w:type="dxa"/>
            <w:tcBorders>
              <w:left w:val="single" w:sz="4" w:space="0" w:color="auto"/>
            </w:tcBorders>
            <w:shd w:val="clear" w:color="auto" w:fill="FFFFFF"/>
            <w:vAlign w:val="center"/>
          </w:tcPr>
          <w:p w:rsidR="003454D1" w:rsidRDefault="003454D1">
            <w:pPr>
              <w:widowControl w:val="0"/>
              <w:spacing w:before="0" w:after="0"/>
              <w:ind w:right="129"/>
              <w:jc w:val="right"/>
              <w:rPr>
                <w:rFonts w:ascii="Arial" w:eastAsia="Arial" w:hAnsi="Arial" w:cs="Arial"/>
                <w:bCs/>
                <w:noProof/>
                <w:color w:val="000000"/>
                <w:sz w:val="14"/>
                <w:szCs w:val="14"/>
                <w:shd w:val="clear" w:color="auto" w:fill="FFFFFF"/>
              </w:rPr>
            </w:pPr>
          </w:p>
        </w:tc>
        <w:tc>
          <w:tcPr>
            <w:tcW w:w="1200" w:type="dxa"/>
            <w:tcBorders>
              <w:left w:val="single" w:sz="4" w:space="0" w:color="auto"/>
            </w:tcBorders>
            <w:shd w:val="clear" w:color="auto" w:fill="D9D9D9"/>
            <w:vAlign w:val="center"/>
          </w:tcPr>
          <w:p w:rsidR="003454D1" w:rsidRDefault="003454D1">
            <w:pPr>
              <w:widowControl w:val="0"/>
              <w:spacing w:before="0" w:after="0"/>
              <w:ind w:right="131"/>
              <w:jc w:val="right"/>
              <w:rPr>
                <w:rFonts w:ascii="Arial" w:eastAsia="Arial" w:hAnsi="Arial" w:cs="Arial"/>
                <w:bCs/>
                <w:noProof/>
                <w:color w:val="000000"/>
                <w:sz w:val="14"/>
                <w:szCs w:val="14"/>
                <w:highlight w:val="lightGray"/>
                <w:shd w:val="clear" w:color="auto" w:fill="FFFFFF"/>
              </w:rPr>
            </w:pPr>
          </w:p>
        </w:tc>
        <w:tc>
          <w:tcPr>
            <w:tcW w:w="1320" w:type="dxa"/>
            <w:tcBorders>
              <w:left w:val="single" w:sz="4" w:space="0" w:color="auto"/>
            </w:tcBorders>
            <w:shd w:val="clear" w:color="auto" w:fill="D9D9D9"/>
            <w:vAlign w:val="center"/>
          </w:tcPr>
          <w:p w:rsidR="003454D1" w:rsidRDefault="003454D1">
            <w:pPr>
              <w:widowControl w:val="0"/>
              <w:spacing w:before="0" w:after="0"/>
              <w:ind w:right="91"/>
              <w:jc w:val="right"/>
              <w:rPr>
                <w:rFonts w:ascii="Arial" w:eastAsia="Arial" w:hAnsi="Arial" w:cs="Arial"/>
                <w:bCs/>
                <w:noProof/>
                <w:color w:val="000000"/>
                <w:sz w:val="14"/>
                <w:szCs w:val="14"/>
                <w:highlight w:val="lightGray"/>
                <w:shd w:val="clear" w:color="auto" w:fill="FFFFFF"/>
              </w:rPr>
            </w:pP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240"/>
        </w:trPr>
        <w:tc>
          <w:tcPr>
            <w:tcW w:w="3000" w:type="dxa"/>
            <w:tcBorders>
              <w:left w:val="single" w:sz="4" w:space="0" w:color="auto"/>
            </w:tcBorders>
            <w:shd w:val="clear" w:color="auto" w:fill="D9D9D9"/>
            <w:vAlign w:val="center"/>
          </w:tcPr>
          <w:p w:rsidR="003454D1" w:rsidRDefault="008C651D">
            <w:pPr>
              <w:widowControl w:val="0"/>
              <w:spacing w:before="0" w:after="0"/>
              <w:jc w:val="left"/>
              <w:rPr>
                <w:rFonts w:ascii="Arial" w:eastAsia="Arial" w:hAnsi="Arial" w:cs="Arial"/>
                <w:noProof/>
                <w:sz w:val="14"/>
                <w:szCs w:val="14"/>
                <w:highlight w:val="lightGray"/>
              </w:rPr>
            </w:pPr>
            <w:r>
              <w:rPr>
                <w:rFonts w:ascii="Arial" w:hAnsi="Arial"/>
                <w:bCs/>
                <w:noProof/>
                <w:sz w:val="14"/>
                <w:szCs w:val="14"/>
                <w:highlight w:val="lightGray"/>
                <w:shd w:val="clear" w:color="auto" w:fill="FFFFFF"/>
              </w:rPr>
              <w:t>2. Donationer</w:t>
            </w:r>
          </w:p>
        </w:tc>
        <w:tc>
          <w:tcPr>
            <w:tcW w:w="1320" w:type="dxa"/>
            <w:tcBorders>
              <w:left w:val="single" w:sz="4" w:space="0" w:color="auto"/>
            </w:tcBorders>
            <w:shd w:val="clear" w:color="auto" w:fill="FFFFFF"/>
            <w:vAlign w:val="center"/>
          </w:tcPr>
          <w:p w:rsidR="003454D1" w:rsidRDefault="008C651D">
            <w:pPr>
              <w:widowControl w:val="0"/>
              <w:spacing w:before="0" w:after="0"/>
              <w:jc w:val="center"/>
              <w:rPr>
                <w:rFonts w:ascii="Arial" w:eastAsia="Arial" w:hAnsi="Arial" w:cs="Arial"/>
                <w:noProof/>
                <w:sz w:val="14"/>
                <w:szCs w:val="14"/>
              </w:rPr>
            </w:pPr>
            <w:r>
              <w:rPr>
                <w:rFonts w:ascii="Arial" w:hAnsi="Arial"/>
                <w:bCs/>
                <w:noProof/>
                <w:sz w:val="14"/>
                <w:szCs w:val="14"/>
                <w:shd w:val="clear" w:color="auto" w:fill="FFFFFF"/>
              </w:rPr>
              <w:t>p.m.</w:t>
            </w:r>
          </w:p>
        </w:tc>
        <w:tc>
          <w:tcPr>
            <w:tcW w:w="1200" w:type="dxa"/>
            <w:tcBorders>
              <w:left w:val="single" w:sz="4" w:space="0" w:color="auto"/>
            </w:tcBorders>
            <w:shd w:val="clear" w:color="auto" w:fill="D9D9D9"/>
            <w:vAlign w:val="center"/>
          </w:tcPr>
          <w:p w:rsidR="003454D1" w:rsidRDefault="008C651D">
            <w:pPr>
              <w:widowControl w:val="0"/>
              <w:spacing w:before="0" w:after="0"/>
              <w:ind w:right="131"/>
              <w:jc w:val="center"/>
              <w:rPr>
                <w:rFonts w:ascii="Arial" w:eastAsia="Arial" w:hAnsi="Arial" w:cs="Arial"/>
                <w:noProof/>
                <w:sz w:val="14"/>
                <w:szCs w:val="14"/>
                <w:highlight w:val="lightGray"/>
              </w:rPr>
            </w:pPr>
            <w:r>
              <w:rPr>
                <w:rFonts w:ascii="Arial" w:hAnsi="Arial"/>
                <w:bCs/>
                <w:noProof/>
                <w:sz w:val="14"/>
                <w:szCs w:val="14"/>
                <w:highlight w:val="lightGray"/>
                <w:shd w:val="clear" w:color="auto" w:fill="FFFFFF"/>
              </w:rPr>
              <w:t>p.m.</w:t>
            </w:r>
          </w:p>
        </w:tc>
        <w:tc>
          <w:tcPr>
            <w:tcW w:w="1320" w:type="dxa"/>
            <w:tcBorders>
              <w:left w:val="single" w:sz="4" w:space="0" w:color="auto"/>
            </w:tcBorders>
            <w:shd w:val="clear" w:color="auto" w:fill="D9D9D9"/>
            <w:vAlign w:val="center"/>
          </w:tcPr>
          <w:p w:rsidR="003454D1" w:rsidRDefault="008C651D">
            <w:pPr>
              <w:widowControl w:val="0"/>
              <w:spacing w:before="0" w:after="0"/>
              <w:ind w:right="91"/>
              <w:jc w:val="center"/>
              <w:rPr>
                <w:rFonts w:ascii="Arial" w:eastAsia="Arial" w:hAnsi="Arial" w:cs="Arial"/>
                <w:noProof/>
                <w:sz w:val="14"/>
                <w:szCs w:val="14"/>
                <w:highlight w:val="lightGray"/>
              </w:rPr>
            </w:pPr>
            <w:r>
              <w:rPr>
                <w:rFonts w:ascii="Arial" w:hAnsi="Arial"/>
                <w:bCs/>
                <w:noProof/>
                <w:sz w:val="14"/>
                <w:szCs w:val="14"/>
                <w:highlight w:val="lightGray"/>
                <w:shd w:val="clear" w:color="auto" w:fill="FFFFFF"/>
              </w:rPr>
              <w:t>p.m.</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551"/>
        </w:trPr>
        <w:tc>
          <w:tcPr>
            <w:tcW w:w="3000" w:type="dxa"/>
            <w:tcBorders>
              <w:left w:val="single" w:sz="4" w:space="0" w:color="auto"/>
            </w:tcBorders>
            <w:shd w:val="clear" w:color="auto" w:fill="D9D9D9"/>
            <w:vAlign w:val="center"/>
          </w:tcPr>
          <w:p w:rsidR="003454D1" w:rsidRDefault="008C651D">
            <w:pPr>
              <w:widowControl w:val="0"/>
              <w:spacing w:before="0" w:after="0"/>
              <w:jc w:val="left"/>
              <w:rPr>
                <w:rFonts w:ascii="Arial" w:eastAsia="Arial" w:hAnsi="Arial" w:cs="Arial"/>
                <w:noProof/>
                <w:sz w:val="14"/>
                <w:szCs w:val="14"/>
                <w:highlight w:val="lightGray"/>
              </w:rPr>
            </w:pPr>
            <w:r>
              <w:rPr>
                <w:rFonts w:ascii="Arial" w:hAnsi="Arial"/>
                <w:bCs/>
                <w:noProof/>
                <w:sz w:val="14"/>
                <w:szCs w:val="14"/>
                <w:highlight w:val="lightGray"/>
                <w:shd w:val="clear" w:color="auto" w:fill="FFFFFF"/>
              </w:rPr>
              <w:t>3. Andra inkomster</w:t>
            </w:r>
          </w:p>
        </w:tc>
        <w:tc>
          <w:tcPr>
            <w:tcW w:w="1320" w:type="dxa"/>
            <w:tcBorders>
              <w:left w:val="single" w:sz="4" w:space="0" w:color="auto"/>
            </w:tcBorders>
            <w:shd w:val="clear" w:color="auto" w:fill="FFFFFF"/>
            <w:vAlign w:val="center"/>
          </w:tcPr>
          <w:p w:rsidR="003454D1" w:rsidRDefault="008C651D">
            <w:pPr>
              <w:widowControl w:val="0"/>
              <w:spacing w:before="0" w:after="0"/>
              <w:jc w:val="center"/>
              <w:rPr>
                <w:rFonts w:ascii="Arial" w:eastAsia="Arial" w:hAnsi="Arial" w:cs="Arial"/>
                <w:noProof/>
                <w:sz w:val="14"/>
                <w:szCs w:val="14"/>
              </w:rPr>
            </w:pPr>
            <w:r>
              <w:rPr>
                <w:rFonts w:ascii="Arial" w:hAnsi="Arial"/>
                <w:bCs/>
                <w:noProof/>
                <w:sz w:val="14"/>
                <w:szCs w:val="14"/>
                <w:shd w:val="clear" w:color="auto" w:fill="FFFFFF"/>
              </w:rPr>
              <w:t>p.m.</w:t>
            </w:r>
          </w:p>
        </w:tc>
        <w:tc>
          <w:tcPr>
            <w:tcW w:w="1200" w:type="dxa"/>
            <w:tcBorders>
              <w:left w:val="single" w:sz="4" w:space="0" w:color="auto"/>
            </w:tcBorders>
            <w:shd w:val="clear" w:color="auto" w:fill="D9D9D9"/>
            <w:vAlign w:val="center"/>
          </w:tcPr>
          <w:p w:rsidR="003454D1" w:rsidRDefault="008C651D">
            <w:pPr>
              <w:widowControl w:val="0"/>
              <w:spacing w:before="0" w:after="0"/>
              <w:jc w:val="center"/>
              <w:rPr>
                <w:rFonts w:ascii="Arial" w:eastAsia="Arial" w:hAnsi="Arial" w:cs="Arial"/>
                <w:noProof/>
                <w:sz w:val="14"/>
                <w:szCs w:val="14"/>
                <w:highlight w:val="lightGray"/>
              </w:rPr>
            </w:pPr>
            <w:r>
              <w:rPr>
                <w:rFonts w:ascii="Arial" w:hAnsi="Arial"/>
                <w:bCs/>
                <w:noProof/>
                <w:sz w:val="14"/>
                <w:szCs w:val="14"/>
                <w:highlight w:val="lightGray"/>
                <w:shd w:val="clear" w:color="auto" w:fill="FFFFFF"/>
              </w:rPr>
              <w:t>p.m.</w:t>
            </w:r>
          </w:p>
        </w:tc>
        <w:tc>
          <w:tcPr>
            <w:tcW w:w="1320" w:type="dxa"/>
            <w:tcBorders>
              <w:left w:val="single" w:sz="4" w:space="0" w:color="auto"/>
            </w:tcBorders>
            <w:shd w:val="clear" w:color="auto" w:fill="D9D9D9"/>
            <w:vAlign w:val="center"/>
          </w:tcPr>
          <w:p w:rsidR="003454D1" w:rsidRDefault="008C651D">
            <w:pPr>
              <w:widowControl w:val="0"/>
              <w:spacing w:before="0" w:after="0"/>
              <w:jc w:val="center"/>
              <w:rPr>
                <w:rFonts w:ascii="Arial" w:eastAsia="Arial" w:hAnsi="Arial" w:cs="Arial"/>
                <w:noProof/>
                <w:sz w:val="14"/>
                <w:szCs w:val="14"/>
                <w:highlight w:val="lightGray"/>
              </w:rPr>
            </w:pPr>
            <w:r>
              <w:rPr>
                <w:rFonts w:ascii="Arial" w:hAnsi="Arial"/>
                <w:bCs/>
                <w:noProof/>
                <w:sz w:val="14"/>
                <w:szCs w:val="14"/>
                <w:highlight w:val="lightGray"/>
                <w:shd w:val="clear" w:color="auto" w:fill="FFFFFF"/>
              </w:rPr>
              <w:t>p.m.</w:t>
            </w:r>
          </w:p>
        </w:tc>
        <w:tc>
          <w:tcPr>
            <w:tcW w:w="1200" w:type="dxa"/>
            <w:tcBorders>
              <w:lef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c>
          <w:tcPr>
            <w:tcW w:w="1200" w:type="dxa"/>
            <w:tcBorders>
              <w:left w:val="single" w:sz="4" w:space="0" w:color="auto"/>
              <w:right w:val="single" w:sz="4" w:space="0" w:color="auto"/>
            </w:tcBorders>
            <w:shd w:val="clear" w:color="auto" w:fill="FFFFFF"/>
          </w:tcPr>
          <w:p w:rsidR="003454D1" w:rsidRDefault="003454D1">
            <w:pPr>
              <w:widowControl w:val="0"/>
              <w:spacing w:before="0" w:after="0"/>
              <w:jc w:val="left"/>
              <w:rPr>
                <w:rFonts w:ascii="Arial" w:eastAsia="Times New Roman" w:hAnsi="Arial" w:cs="Arial"/>
                <w:noProof/>
                <w:color w:val="000000"/>
                <w:sz w:val="14"/>
                <w:szCs w:val="14"/>
              </w:rPr>
            </w:pPr>
          </w:p>
        </w:tc>
      </w:tr>
      <w:tr w:rsidR="003454D1">
        <w:trPr>
          <w:trHeight w:hRule="exact" w:val="580"/>
        </w:trPr>
        <w:tc>
          <w:tcPr>
            <w:tcW w:w="3000" w:type="dxa"/>
            <w:tcBorders>
              <w:left w:val="single" w:sz="4" w:space="0" w:color="auto"/>
              <w:bottom w:val="single" w:sz="4" w:space="0" w:color="auto"/>
            </w:tcBorders>
            <w:shd w:val="clear" w:color="auto" w:fill="D9D9D9"/>
            <w:vAlign w:val="center"/>
          </w:tcPr>
          <w:p w:rsidR="003454D1" w:rsidRDefault="008C651D">
            <w:pPr>
              <w:widowControl w:val="0"/>
              <w:spacing w:before="0" w:after="0"/>
              <w:jc w:val="right"/>
              <w:rPr>
                <w:rFonts w:ascii="Arial" w:eastAsia="Arial" w:hAnsi="Arial" w:cs="Arial"/>
                <w:noProof/>
                <w:sz w:val="14"/>
                <w:szCs w:val="14"/>
                <w:highlight w:val="lightGray"/>
              </w:rPr>
            </w:pPr>
            <w:r>
              <w:rPr>
                <w:rFonts w:ascii="Arial" w:hAnsi="Arial"/>
                <w:b/>
                <w:bCs/>
                <w:noProof/>
                <w:sz w:val="14"/>
                <w:szCs w:val="14"/>
                <w:highlight w:val="lightGray"/>
                <w:shd w:val="clear" w:color="auto" w:fill="FFFFFF"/>
              </w:rPr>
              <w:t>Inkomster totalt</w:t>
            </w:r>
          </w:p>
        </w:tc>
        <w:tc>
          <w:tcPr>
            <w:tcW w:w="1320" w:type="dxa"/>
            <w:tcBorders>
              <w:top w:val="single" w:sz="4" w:space="0" w:color="auto"/>
              <w:left w:val="single" w:sz="4" w:space="0" w:color="auto"/>
              <w:bottom w:val="single" w:sz="4" w:space="0" w:color="auto"/>
            </w:tcBorders>
            <w:shd w:val="clear" w:color="auto" w:fill="FFFFFF"/>
            <w:vAlign w:val="center"/>
          </w:tcPr>
          <w:p w:rsidR="003454D1" w:rsidRDefault="008C651D">
            <w:pPr>
              <w:widowControl w:val="0"/>
              <w:spacing w:before="0" w:after="0"/>
              <w:jc w:val="right"/>
              <w:rPr>
                <w:rFonts w:ascii="Arial" w:eastAsia="Arial" w:hAnsi="Arial" w:cs="Arial"/>
                <w:noProof/>
                <w:sz w:val="14"/>
                <w:szCs w:val="14"/>
              </w:rPr>
            </w:pPr>
            <w:r>
              <w:rPr>
                <w:rFonts w:ascii="Arial" w:hAnsi="Arial"/>
                <w:b/>
                <w:bCs/>
                <w:noProof/>
                <w:sz w:val="14"/>
                <w:szCs w:val="14"/>
                <w:shd w:val="clear" w:color="auto" w:fill="FFFFFF"/>
              </w:rPr>
              <w:t>4 812 073</w:t>
            </w:r>
          </w:p>
        </w:tc>
        <w:tc>
          <w:tcPr>
            <w:tcW w:w="1200" w:type="dxa"/>
            <w:tcBorders>
              <w:top w:val="single" w:sz="4" w:space="0" w:color="auto"/>
              <w:left w:val="single" w:sz="4" w:space="0" w:color="auto"/>
              <w:bottom w:val="single" w:sz="4" w:space="0" w:color="auto"/>
            </w:tcBorders>
            <w:shd w:val="clear" w:color="auto" w:fill="D9D9D9"/>
            <w:vAlign w:val="center"/>
          </w:tcPr>
          <w:p w:rsidR="003454D1" w:rsidRDefault="008C651D">
            <w:pPr>
              <w:widowControl w:val="0"/>
              <w:spacing w:before="0" w:after="0"/>
              <w:jc w:val="right"/>
              <w:rPr>
                <w:rFonts w:ascii="Arial" w:eastAsia="Arial" w:hAnsi="Arial" w:cs="Arial"/>
                <w:noProof/>
                <w:sz w:val="14"/>
                <w:szCs w:val="14"/>
                <w:highlight w:val="lightGray"/>
              </w:rPr>
            </w:pPr>
            <w:r>
              <w:rPr>
                <w:rFonts w:ascii="Arial" w:hAnsi="Arial"/>
                <w:b/>
                <w:bCs/>
                <w:noProof/>
                <w:sz w:val="14"/>
                <w:szCs w:val="14"/>
                <w:highlight w:val="lightGray"/>
                <w:shd w:val="clear" w:color="auto" w:fill="FFFFFF"/>
              </w:rPr>
              <w:t>4 812 073</w:t>
            </w:r>
          </w:p>
        </w:tc>
        <w:tc>
          <w:tcPr>
            <w:tcW w:w="1320" w:type="dxa"/>
            <w:tcBorders>
              <w:top w:val="single" w:sz="4" w:space="0" w:color="auto"/>
              <w:left w:val="single" w:sz="4" w:space="0" w:color="auto"/>
              <w:bottom w:val="single" w:sz="4" w:space="0" w:color="auto"/>
            </w:tcBorders>
            <w:shd w:val="clear" w:color="auto" w:fill="D9D9D9"/>
            <w:vAlign w:val="center"/>
          </w:tcPr>
          <w:p w:rsidR="003454D1" w:rsidRDefault="008C651D">
            <w:pPr>
              <w:widowControl w:val="0"/>
              <w:spacing w:before="0" w:after="0"/>
              <w:jc w:val="right"/>
              <w:rPr>
                <w:rFonts w:ascii="Arial" w:eastAsia="Arial" w:hAnsi="Arial" w:cs="Arial"/>
                <w:noProof/>
                <w:sz w:val="14"/>
                <w:szCs w:val="14"/>
                <w:highlight w:val="lightGray"/>
              </w:rPr>
            </w:pPr>
            <w:r>
              <w:rPr>
                <w:rFonts w:ascii="Arial" w:hAnsi="Arial"/>
                <w:b/>
                <w:bCs/>
                <w:noProof/>
                <w:sz w:val="14"/>
                <w:szCs w:val="14"/>
                <w:highlight w:val="lightGray"/>
                <w:shd w:val="clear" w:color="auto" w:fill="FFFFFF"/>
              </w:rPr>
              <w:t>4 812 073</w:t>
            </w:r>
          </w:p>
        </w:tc>
        <w:tc>
          <w:tcPr>
            <w:tcW w:w="1200" w:type="dxa"/>
            <w:tcBorders>
              <w:top w:val="single" w:sz="4" w:space="0" w:color="auto"/>
              <w:left w:val="single" w:sz="4" w:space="0" w:color="auto"/>
              <w:bottom w:val="single" w:sz="4" w:space="0" w:color="auto"/>
            </w:tcBorders>
            <w:shd w:val="clear" w:color="auto" w:fill="FFFFFF"/>
            <w:vAlign w:val="center"/>
          </w:tcPr>
          <w:p w:rsidR="003454D1" w:rsidRDefault="008C651D">
            <w:pPr>
              <w:widowControl w:val="0"/>
              <w:spacing w:before="0" w:after="0"/>
              <w:jc w:val="right"/>
              <w:rPr>
                <w:rFonts w:ascii="Arial" w:eastAsia="Arial" w:hAnsi="Arial" w:cs="Arial"/>
                <w:noProof/>
                <w:sz w:val="14"/>
                <w:szCs w:val="14"/>
              </w:rPr>
            </w:pPr>
            <w:r>
              <w:rPr>
                <w:rFonts w:ascii="Arial" w:hAnsi="Arial"/>
                <w:b/>
                <w:bCs/>
                <w:noProof/>
                <w:sz w:val="14"/>
                <w:szCs w:val="14"/>
                <w:shd w:val="clear" w:color="auto" w:fill="FFFFFF"/>
              </w:rPr>
              <w:t>0 %</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3454D1" w:rsidRDefault="008C651D">
            <w:pPr>
              <w:widowControl w:val="0"/>
              <w:spacing w:before="0" w:after="0"/>
              <w:jc w:val="right"/>
              <w:rPr>
                <w:rFonts w:ascii="Arial" w:eastAsia="Arial" w:hAnsi="Arial" w:cs="Arial"/>
                <w:noProof/>
                <w:sz w:val="14"/>
                <w:szCs w:val="14"/>
              </w:rPr>
            </w:pPr>
            <w:r>
              <w:rPr>
                <w:rFonts w:ascii="Arial" w:hAnsi="Arial"/>
                <w:b/>
                <w:bCs/>
                <w:noProof/>
                <w:sz w:val="14"/>
                <w:szCs w:val="14"/>
                <w:shd w:val="clear" w:color="auto" w:fill="FFFFFF"/>
              </w:rPr>
              <w:t>0 %</w:t>
            </w:r>
          </w:p>
        </w:tc>
      </w:tr>
    </w:tbl>
    <w:p w:rsidR="003454D1" w:rsidRDefault="003454D1">
      <w:pPr>
        <w:rPr>
          <w:noProof/>
        </w:rPr>
      </w:pPr>
    </w:p>
    <w:p w:rsidR="003454D1" w:rsidRDefault="003454D1">
      <w:pPr>
        <w:rPr>
          <w:noProof/>
        </w:rPr>
      </w:pPr>
    </w:p>
    <w:p w:rsidR="003454D1" w:rsidRDefault="008C651D">
      <w:pPr>
        <w:spacing w:before="0" w:after="200" w:line="276" w:lineRule="auto"/>
        <w:jc w:val="left"/>
        <w:rPr>
          <w:noProof/>
        </w:rPr>
      </w:pPr>
      <w:r>
        <w:rPr>
          <w:noProof/>
        </w:rPr>
        <w:br w:type="page"/>
      </w:r>
    </w:p>
    <w:p w:rsidR="003454D1" w:rsidRDefault="008C651D">
      <w:pPr>
        <w:pStyle w:val="NumPar1"/>
        <w:spacing w:before="0"/>
        <w:rPr>
          <w:noProof/>
        </w:rPr>
      </w:pPr>
      <w:r>
        <w:rPr>
          <w:noProof/>
        </w:rPr>
        <w:t>Utgiftsberäkning 2020–2021</w:t>
      </w:r>
    </w:p>
    <w:tbl>
      <w:tblPr>
        <w:tblStyle w:val="TableGrid"/>
        <w:tblW w:w="9464" w:type="dxa"/>
        <w:jc w:val="center"/>
        <w:tblLook w:val="04A0" w:firstRow="1" w:lastRow="0" w:firstColumn="1" w:lastColumn="0" w:noHBand="0" w:noVBand="1"/>
      </w:tblPr>
      <w:tblGrid>
        <w:gridCol w:w="2093"/>
        <w:gridCol w:w="1417"/>
        <w:gridCol w:w="1418"/>
        <w:gridCol w:w="1417"/>
        <w:gridCol w:w="1560"/>
        <w:gridCol w:w="1559"/>
      </w:tblGrid>
      <w:tr w:rsidR="003454D1">
        <w:trPr>
          <w:jc w:val="center"/>
        </w:trPr>
        <w:tc>
          <w:tcPr>
            <w:tcW w:w="2093" w:type="dxa"/>
            <w:tcBorders>
              <w:bottom w:val="single" w:sz="4" w:space="0" w:color="auto"/>
            </w:tcBorders>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Beskrivning</w:t>
            </w:r>
          </w:p>
        </w:tc>
        <w:tc>
          <w:tcPr>
            <w:tcW w:w="1417" w:type="dxa"/>
            <w:tcBorders>
              <w:bottom w:val="single" w:sz="4" w:space="0" w:color="auto"/>
            </w:tcBorders>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Budget 2019</w:t>
            </w:r>
          </w:p>
        </w:tc>
        <w:tc>
          <w:tcPr>
            <w:tcW w:w="1418" w:type="dxa"/>
            <w:tcBorders>
              <w:bottom w:val="single" w:sz="4" w:space="0" w:color="auto"/>
            </w:tcBorders>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Budget 2020</w:t>
            </w:r>
          </w:p>
        </w:tc>
        <w:tc>
          <w:tcPr>
            <w:tcW w:w="1417" w:type="dxa"/>
            <w:tcBorders>
              <w:bottom w:val="single" w:sz="4" w:space="0" w:color="auto"/>
            </w:tcBorders>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Budget 2021</w:t>
            </w:r>
          </w:p>
        </w:tc>
        <w:tc>
          <w:tcPr>
            <w:tcW w:w="1560" w:type="dxa"/>
            <w:tcBorders>
              <w:bottom w:val="single" w:sz="4" w:space="0" w:color="auto"/>
            </w:tcBorders>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Förändring,</w:t>
            </w:r>
          </w:p>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 xml:space="preserve">budget 2020 </w:t>
            </w:r>
            <w:r>
              <w:rPr>
                <w:rFonts w:asciiTheme="minorHAnsi" w:hAnsiTheme="minorHAnsi"/>
                <w:b/>
                <w:noProof/>
                <w:sz w:val="16"/>
                <w:szCs w:val="16"/>
              </w:rPr>
              <w:t>jämförd med</w:t>
            </w:r>
          </w:p>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budget 2019</w:t>
            </w:r>
          </w:p>
        </w:tc>
        <w:tc>
          <w:tcPr>
            <w:tcW w:w="1559" w:type="dxa"/>
            <w:tcBorders>
              <w:bottom w:val="single" w:sz="4" w:space="0" w:color="auto"/>
            </w:tcBorders>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Förändring,</w:t>
            </w:r>
          </w:p>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budget 2021 jämförd med</w:t>
            </w:r>
          </w:p>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budget 2020</w:t>
            </w:r>
          </w:p>
        </w:tc>
      </w:tr>
      <w:tr w:rsidR="003454D1">
        <w:trPr>
          <w:trHeight w:val="249"/>
          <w:jc w:val="center"/>
        </w:trPr>
        <w:tc>
          <w:tcPr>
            <w:tcW w:w="2093"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3454D1" w:rsidRDefault="008C651D">
            <w:pPr>
              <w:pStyle w:val="ListParagraph"/>
              <w:numPr>
                <w:ilvl w:val="0"/>
                <w:numId w:val="14"/>
              </w:numPr>
              <w:spacing w:before="0" w:after="0"/>
              <w:ind w:left="142" w:hanging="142"/>
              <w:jc w:val="left"/>
              <w:rPr>
                <w:rFonts w:asciiTheme="minorHAnsi" w:hAnsiTheme="minorHAnsi" w:cstheme="minorHAnsi"/>
                <w:noProof/>
                <w:sz w:val="16"/>
                <w:szCs w:val="16"/>
              </w:rPr>
            </w:pPr>
            <w:r>
              <w:rPr>
                <w:rFonts w:asciiTheme="minorHAnsi" w:hAnsiTheme="minorHAnsi"/>
                <w:noProof/>
                <w:sz w:val="16"/>
                <w:szCs w:val="16"/>
              </w:rPr>
              <w:t>Personalresurser</w:t>
            </w:r>
          </w:p>
        </w:tc>
        <w:tc>
          <w:tcPr>
            <w:tcW w:w="1417" w:type="dxa"/>
            <w:tcBorders>
              <w:top w:val="single" w:sz="4" w:space="0" w:color="auto"/>
              <w:left w:val="single" w:sz="4" w:space="0" w:color="auto"/>
              <w:bottom w:val="nil"/>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2 557 221</w:t>
            </w:r>
          </w:p>
        </w:tc>
        <w:tc>
          <w:tcPr>
            <w:tcW w:w="1418"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2 652 868</w:t>
            </w: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2 804 091</w:t>
            </w:r>
          </w:p>
        </w:tc>
        <w:tc>
          <w:tcPr>
            <w:tcW w:w="1560" w:type="dxa"/>
            <w:tcBorders>
              <w:top w:val="single" w:sz="4" w:space="0" w:color="auto"/>
              <w:left w:val="single" w:sz="4" w:space="0" w:color="auto"/>
              <w:bottom w:val="nil"/>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3,74 %</w:t>
            </w:r>
          </w:p>
        </w:tc>
        <w:tc>
          <w:tcPr>
            <w:tcW w:w="1559" w:type="dxa"/>
            <w:tcBorders>
              <w:top w:val="single" w:sz="4" w:space="0" w:color="auto"/>
              <w:left w:val="single" w:sz="4" w:space="0" w:color="auto"/>
              <w:bottom w:val="nil"/>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5,70 %</w:t>
            </w:r>
          </w:p>
        </w:tc>
      </w:tr>
      <w:tr w:rsidR="003454D1">
        <w:trPr>
          <w:trHeight w:val="277"/>
          <w:jc w:val="center"/>
        </w:trPr>
        <w:tc>
          <w:tcPr>
            <w:tcW w:w="2093" w:type="dxa"/>
            <w:tcBorders>
              <w:top w:val="nil"/>
              <w:left w:val="single" w:sz="4" w:space="0" w:color="auto"/>
              <w:bottom w:val="nil"/>
              <w:right w:val="single" w:sz="4" w:space="0" w:color="auto"/>
            </w:tcBorders>
            <w:shd w:val="clear" w:color="auto" w:fill="D9D9D9" w:themeFill="background1" w:themeFillShade="D9"/>
            <w:vAlign w:val="center"/>
          </w:tcPr>
          <w:p w:rsidR="003454D1" w:rsidRDefault="008C651D">
            <w:pPr>
              <w:pStyle w:val="ListParagraph"/>
              <w:numPr>
                <w:ilvl w:val="0"/>
                <w:numId w:val="14"/>
              </w:numPr>
              <w:spacing w:before="0" w:after="0"/>
              <w:ind w:left="142" w:hanging="142"/>
              <w:jc w:val="left"/>
              <w:rPr>
                <w:rFonts w:asciiTheme="minorHAnsi" w:hAnsiTheme="minorHAnsi" w:cstheme="minorHAnsi"/>
                <w:noProof/>
                <w:sz w:val="16"/>
                <w:szCs w:val="16"/>
              </w:rPr>
            </w:pPr>
            <w:r>
              <w:rPr>
                <w:rFonts w:asciiTheme="minorHAnsi" w:hAnsiTheme="minorHAnsi"/>
                <w:noProof/>
                <w:sz w:val="16"/>
                <w:szCs w:val="16"/>
              </w:rPr>
              <w:t>Resor</w:t>
            </w:r>
          </w:p>
        </w:tc>
        <w:tc>
          <w:tcPr>
            <w:tcW w:w="1417" w:type="dxa"/>
            <w:tcBorders>
              <w:top w:val="nil"/>
              <w:left w:val="single" w:sz="4" w:space="0" w:color="auto"/>
              <w:bottom w:val="nil"/>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367 812</w:t>
            </w:r>
          </w:p>
        </w:tc>
        <w:tc>
          <w:tcPr>
            <w:tcW w:w="1418" w:type="dxa"/>
            <w:tcBorders>
              <w:top w:val="nil"/>
              <w:left w:val="single" w:sz="4" w:space="0" w:color="auto"/>
              <w:bottom w:val="nil"/>
              <w:right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340 000</w:t>
            </w:r>
          </w:p>
        </w:tc>
        <w:tc>
          <w:tcPr>
            <w:tcW w:w="1417" w:type="dxa"/>
            <w:tcBorders>
              <w:top w:val="nil"/>
              <w:left w:val="single" w:sz="4" w:space="0" w:color="auto"/>
              <w:bottom w:val="nil"/>
              <w:right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340 000</w:t>
            </w:r>
          </w:p>
        </w:tc>
        <w:tc>
          <w:tcPr>
            <w:tcW w:w="1560" w:type="dxa"/>
            <w:tcBorders>
              <w:top w:val="nil"/>
              <w:left w:val="single" w:sz="4" w:space="0" w:color="auto"/>
              <w:bottom w:val="nil"/>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-7,56 %</w:t>
            </w:r>
          </w:p>
        </w:tc>
        <w:tc>
          <w:tcPr>
            <w:tcW w:w="1559" w:type="dxa"/>
            <w:tcBorders>
              <w:top w:val="nil"/>
              <w:left w:val="single" w:sz="4" w:space="0" w:color="auto"/>
              <w:bottom w:val="nil"/>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0,00 %</w:t>
            </w:r>
          </w:p>
        </w:tc>
      </w:tr>
      <w:tr w:rsidR="003454D1">
        <w:trPr>
          <w:trHeight w:val="281"/>
          <w:jc w:val="center"/>
        </w:trPr>
        <w:tc>
          <w:tcPr>
            <w:tcW w:w="2093" w:type="dxa"/>
            <w:tcBorders>
              <w:top w:val="nil"/>
              <w:left w:val="single" w:sz="4" w:space="0" w:color="auto"/>
              <w:bottom w:val="nil"/>
              <w:right w:val="single" w:sz="4" w:space="0" w:color="auto"/>
            </w:tcBorders>
            <w:shd w:val="clear" w:color="auto" w:fill="D9D9D9" w:themeFill="background1" w:themeFillShade="D9"/>
            <w:vAlign w:val="center"/>
          </w:tcPr>
          <w:p w:rsidR="003454D1" w:rsidRDefault="008C651D">
            <w:pPr>
              <w:pStyle w:val="ListParagraph"/>
              <w:numPr>
                <w:ilvl w:val="0"/>
                <w:numId w:val="14"/>
              </w:numPr>
              <w:spacing w:before="0" w:after="0"/>
              <w:ind w:left="142" w:hanging="142"/>
              <w:jc w:val="left"/>
              <w:rPr>
                <w:rFonts w:asciiTheme="minorHAnsi" w:hAnsiTheme="minorHAnsi" w:cstheme="minorHAnsi"/>
                <w:noProof/>
                <w:sz w:val="16"/>
                <w:szCs w:val="16"/>
              </w:rPr>
            </w:pPr>
            <w:r>
              <w:rPr>
                <w:rFonts w:asciiTheme="minorHAnsi" w:hAnsiTheme="minorHAnsi"/>
                <w:noProof/>
                <w:sz w:val="16"/>
                <w:szCs w:val="16"/>
              </w:rPr>
              <w:t>Kontor</w:t>
            </w:r>
          </w:p>
        </w:tc>
        <w:tc>
          <w:tcPr>
            <w:tcW w:w="1417" w:type="dxa"/>
            <w:tcBorders>
              <w:top w:val="nil"/>
              <w:left w:val="single" w:sz="4" w:space="0" w:color="auto"/>
              <w:bottom w:val="nil"/>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400 084</w:t>
            </w:r>
          </w:p>
        </w:tc>
        <w:tc>
          <w:tcPr>
            <w:tcW w:w="1418" w:type="dxa"/>
            <w:tcBorders>
              <w:top w:val="nil"/>
              <w:left w:val="single" w:sz="4" w:space="0" w:color="auto"/>
              <w:bottom w:val="nil"/>
              <w:right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424 205</w:t>
            </w:r>
          </w:p>
        </w:tc>
        <w:tc>
          <w:tcPr>
            <w:tcW w:w="1417" w:type="dxa"/>
            <w:tcBorders>
              <w:top w:val="nil"/>
              <w:left w:val="single" w:sz="4" w:space="0" w:color="auto"/>
              <w:bottom w:val="nil"/>
              <w:right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414 205</w:t>
            </w:r>
          </w:p>
        </w:tc>
        <w:tc>
          <w:tcPr>
            <w:tcW w:w="1560" w:type="dxa"/>
            <w:tcBorders>
              <w:top w:val="nil"/>
              <w:left w:val="single" w:sz="4" w:space="0" w:color="auto"/>
              <w:bottom w:val="nil"/>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6,03 %</w:t>
            </w:r>
          </w:p>
        </w:tc>
        <w:tc>
          <w:tcPr>
            <w:tcW w:w="1559" w:type="dxa"/>
            <w:tcBorders>
              <w:top w:val="nil"/>
              <w:left w:val="single" w:sz="4" w:space="0" w:color="auto"/>
              <w:bottom w:val="nil"/>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-2,36 %</w:t>
            </w:r>
          </w:p>
        </w:tc>
      </w:tr>
      <w:tr w:rsidR="003454D1">
        <w:trPr>
          <w:trHeight w:val="284"/>
          <w:jc w:val="center"/>
        </w:trPr>
        <w:tc>
          <w:tcPr>
            <w:tcW w:w="2093" w:type="dxa"/>
            <w:tcBorders>
              <w:top w:val="nil"/>
              <w:left w:val="single" w:sz="4" w:space="0" w:color="auto"/>
              <w:bottom w:val="nil"/>
              <w:right w:val="single" w:sz="4" w:space="0" w:color="auto"/>
            </w:tcBorders>
            <w:shd w:val="clear" w:color="auto" w:fill="D9D9D9" w:themeFill="background1" w:themeFillShade="D9"/>
            <w:vAlign w:val="center"/>
          </w:tcPr>
          <w:p w:rsidR="003454D1" w:rsidRDefault="008C651D">
            <w:pPr>
              <w:pStyle w:val="ListParagraph"/>
              <w:numPr>
                <w:ilvl w:val="0"/>
                <w:numId w:val="14"/>
              </w:numPr>
              <w:spacing w:before="0" w:after="0"/>
              <w:ind w:left="142" w:hanging="142"/>
              <w:jc w:val="left"/>
              <w:rPr>
                <w:rFonts w:asciiTheme="minorHAnsi" w:hAnsiTheme="minorHAnsi" w:cstheme="minorHAnsi"/>
                <w:noProof/>
                <w:sz w:val="16"/>
                <w:szCs w:val="16"/>
              </w:rPr>
            </w:pPr>
            <w:r>
              <w:rPr>
                <w:rFonts w:asciiTheme="minorHAnsi" w:hAnsiTheme="minorHAnsi"/>
                <w:noProof/>
                <w:sz w:val="16"/>
                <w:szCs w:val="16"/>
              </w:rPr>
              <w:t>Övriga tjänster</w:t>
            </w:r>
          </w:p>
        </w:tc>
        <w:tc>
          <w:tcPr>
            <w:tcW w:w="1417" w:type="dxa"/>
            <w:tcBorders>
              <w:top w:val="nil"/>
              <w:left w:val="single" w:sz="4" w:space="0" w:color="auto"/>
              <w:bottom w:val="single" w:sz="4" w:space="0" w:color="auto"/>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1 486 956</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 xml:space="preserve">1 </w:t>
            </w:r>
            <w:r>
              <w:rPr>
                <w:rFonts w:asciiTheme="minorHAnsi" w:hAnsiTheme="minorHAnsi"/>
                <w:noProof/>
                <w:sz w:val="16"/>
                <w:szCs w:val="16"/>
              </w:rPr>
              <w:t>395 000</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1 253 777</w:t>
            </w:r>
          </w:p>
        </w:tc>
        <w:tc>
          <w:tcPr>
            <w:tcW w:w="1560" w:type="dxa"/>
            <w:tcBorders>
              <w:top w:val="nil"/>
              <w:left w:val="single" w:sz="4" w:space="0" w:color="auto"/>
              <w:bottom w:val="single" w:sz="4" w:space="0" w:color="auto"/>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-6,18 %</w:t>
            </w:r>
          </w:p>
        </w:tc>
        <w:tc>
          <w:tcPr>
            <w:tcW w:w="1559" w:type="dxa"/>
            <w:tcBorders>
              <w:top w:val="nil"/>
              <w:left w:val="single" w:sz="4" w:space="0" w:color="auto"/>
              <w:bottom w:val="single" w:sz="4" w:space="0" w:color="auto"/>
              <w:right w:val="single" w:sz="4" w:space="0" w:color="auto"/>
            </w:tcBorders>
            <w:vAlign w:val="center"/>
          </w:tcPr>
          <w:p w:rsidR="003454D1" w:rsidRDefault="008C651D">
            <w:pPr>
              <w:jc w:val="right"/>
              <w:rPr>
                <w:rFonts w:asciiTheme="minorHAnsi" w:hAnsiTheme="minorHAnsi" w:cstheme="minorHAnsi"/>
                <w:noProof/>
                <w:sz w:val="16"/>
                <w:szCs w:val="16"/>
              </w:rPr>
            </w:pPr>
            <w:r>
              <w:rPr>
                <w:rFonts w:asciiTheme="minorHAnsi" w:hAnsiTheme="minorHAnsi"/>
                <w:noProof/>
                <w:sz w:val="16"/>
                <w:szCs w:val="16"/>
              </w:rPr>
              <w:t>-10,12 %</w:t>
            </w:r>
          </w:p>
        </w:tc>
      </w:tr>
      <w:tr w:rsidR="003454D1">
        <w:trPr>
          <w:trHeight w:val="278"/>
          <w:jc w:val="center"/>
        </w:trPr>
        <w:tc>
          <w:tcPr>
            <w:tcW w:w="20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b/>
                <w:noProof/>
                <w:sz w:val="16"/>
                <w:szCs w:val="16"/>
              </w:rPr>
            </w:pPr>
            <w:r>
              <w:rPr>
                <w:rFonts w:asciiTheme="minorHAnsi" w:hAnsiTheme="minorHAnsi"/>
                <w:b/>
                <w:noProof/>
                <w:sz w:val="16"/>
                <w:szCs w:val="16"/>
              </w:rPr>
              <w:t>Utgifter totalt</w:t>
            </w:r>
          </w:p>
        </w:tc>
        <w:tc>
          <w:tcPr>
            <w:tcW w:w="1417" w:type="dxa"/>
            <w:tcBorders>
              <w:top w:val="single" w:sz="4" w:space="0" w:color="auto"/>
              <w:left w:val="single" w:sz="4" w:space="0" w:color="auto"/>
            </w:tcBorders>
            <w:vAlign w:val="center"/>
          </w:tcPr>
          <w:p w:rsidR="003454D1" w:rsidRDefault="008C651D">
            <w:pPr>
              <w:jc w:val="right"/>
              <w:rPr>
                <w:rFonts w:asciiTheme="minorHAnsi" w:hAnsiTheme="minorHAnsi" w:cstheme="minorHAnsi"/>
                <w:b/>
                <w:noProof/>
                <w:sz w:val="16"/>
                <w:szCs w:val="16"/>
              </w:rPr>
            </w:pPr>
            <w:r>
              <w:rPr>
                <w:rFonts w:asciiTheme="minorHAnsi" w:hAnsiTheme="minorHAnsi"/>
                <w:b/>
                <w:noProof/>
                <w:sz w:val="16"/>
                <w:szCs w:val="16"/>
              </w:rPr>
              <w:t>4 812 073</w:t>
            </w:r>
          </w:p>
        </w:tc>
        <w:tc>
          <w:tcPr>
            <w:tcW w:w="1418" w:type="dxa"/>
            <w:tcBorders>
              <w:top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b/>
                <w:noProof/>
                <w:sz w:val="16"/>
                <w:szCs w:val="16"/>
              </w:rPr>
            </w:pPr>
            <w:r>
              <w:rPr>
                <w:rFonts w:asciiTheme="minorHAnsi" w:hAnsiTheme="minorHAnsi"/>
                <w:b/>
                <w:noProof/>
                <w:sz w:val="16"/>
                <w:szCs w:val="16"/>
              </w:rPr>
              <w:t>4 812 073</w:t>
            </w:r>
          </w:p>
        </w:tc>
        <w:tc>
          <w:tcPr>
            <w:tcW w:w="1417" w:type="dxa"/>
            <w:tcBorders>
              <w:top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b/>
                <w:noProof/>
                <w:sz w:val="16"/>
                <w:szCs w:val="16"/>
              </w:rPr>
            </w:pPr>
            <w:r>
              <w:rPr>
                <w:rFonts w:asciiTheme="minorHAnsi" w:hAnsiTheme="minorHAnsi"/>
                <w:b/>
                <w:noProof/>
                <w:sz w:val="16"/>
                <w:szCs w:val="16"/>
              </w:rPr>
              <w:t>4 812 073</w:t>
            </w:r>
          </w:p>
        </w:tc>
        <w:tc>
          <w:tcPr>
            <w:tcW w:w="1560" w:type="dxa"/>
            <w:tcBorders>
              <w:top w:val="single" w:sz="4" w:space="0" w:color="auto"/>
            </w:tcBorders>
            <w:vAlign w:val="center"/>
          </w:tcPr>
          <w:p w:rsidR="003454D1" w:rsidRDefault="008C651D">
            <w:pPr>
              <w:jc w:val="right"/>
              <w:rPr>
                <w:rFonts w:asciiTheme="minorHAnsi" w:hAnsiTheme="minorHAnsi" w:cstheme="minorHAnsi"/>
                <w:b/>
                <w:noProof/>
                <w:sz w:val="16"/>
                <w:szCs w:val="16"/>
              </w:rPr>
            </w:pPr>
            <w:r>
              <w:rPr>
                <w:rFonts w:asciiTheme="minorHAnsi" w:hAnsiTheme="minorHAnsi"/>
                <w:b/>
                <w:noProof/>
                <w:sz w:val="16"/>
                <w:szCs w:val="16"/>
              </w:rPr>
              <w:t>0 %</w:t>
            </w:r>
          </w:p>
        </w:tc>
        <w:tc>
          <w:tcPr>
            <w:tcW w:w="1559" w:type="dxa"/>
            <w:tcBorders>
              <w:top w:val="single" w:sz="4" w:space="0" w:color="auto"/>
            </w:tcBorders>
            <w:vAlign w:val="center"/>
          </w:tcPr>
          <w:p w:rsidR="003454D1" w:rsidRDefault="008C651D">
            <w:pPr>
              <w:jc w:val="right"/>
              <w:rPr>
                <w:rFonts w:asciiTheme="minorHAnsi" w:hAnsiTheme="minorHAnsi" w:cstheme="minorHAnsi"/>
                <w:b/>
                <w:noProof/>
                <w:sz w:val="16"/>
                <w:szCs w:val="16"/>
              </w:rPr>
            </w:pPr>
            <w:r>
              <w:rPr>
                <w:rFonts w:asciiTheme="minorHAnsi" w:hAnsiTheme="minorHAnsi"/>
                <w:b/>
                <w:noProof/>
                <w:sz w:val="16"/>
                <w:szCs w:val="16"/>
              </w:rPr>
              <w:t>0 %</w:t>
            </w:r>
          </w:p>
        </w:tc>
      </w:tr>
    </w:tbl>
    <w:p w:rsidR="003454D1" w:rsidRDefault="003454D1">
      <w:pPr>
        <w:pStyle w:val="Text1"/>
        <w:ind w:left="0"/>
        <w:rPr>
          <w:noProof/>
        </w:rPr>
      </w:pPr>
    </w:p>
    <w:p w:rsidR="003454D1" w:rsidRDefault="008C651D">
      <w:pPr>
        <w:pStyle w:val="NumPar1"/>
        <w:rPr>
          <w:noProof/>
        </w:rPr>
      </w:pPr>
      <w:r>
        <w:rPr>
          <w:noProof/>
        </w:rPr>
        <w:t>Närmare uppgifter om utgiftsberäkningen 2020–2021</w:t>
      </w:r>
    </w:p>
    <w:tbl>
      <w:tblPr>
        <w:tblW w:w="5032" w:type="pct"/>
        <w:tblLayout w:type="fixed"/>
        <w:tblLook w:val="04A0" w:firstRow="1" w:lastRow="0" w:firstColumn="1" w:lastColumn="0" w:noHBand="0" w:noVBand="1"/>
      </w:tblPr>
      <w:tblGrid>
        <w:gridCol w:w="2328"/>
        <w:gridCol w:w="236"/>
        <w:gridCol w:w="1294"/>
        <w:gridCol w:w="1264"/>
        <w:gridCol w:w="237"/>
        <w:gridCol w:w="1210"/>
        <w:gridCol w:w="237"/>
        <w:gridCol w:w="963"/>
        <w:gridCol w:w="714"/>
        <w:gridCol w:w="237"/>
        <w:gridCol w:w="628"/>
      </w:tblGrid>
      <w:tr w:rsidR="003454D1">
        <w:trPr>
          <w:trHeight w:val="255"/>
        </w:trPr>
        <w:tc>
          <w:tcPr>
            <w:tcW w:w="1245" w:type="pct"/>
            <w:tcBorders>
              <w:top w:val="nil"/>
              <w:left w:val="nil"/>
              <w:bottom w:val="nil"/>
              <w:right w:val="nil"/>
            </w:tcBorders>
            <w:shd w:val="clear" w:color="auto" w:fill="auto"/>
            <w:noWrap/>
            <w:vAlign w:val="bottom"/>
            <w:hideMark/>
          </w:tcPr>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 xml:space="preserve">Energigemenskapen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center"/>
              <w:rPr>
                <w:rFonts w:eastAsia="Times New Roman"/>
                <w:noProof/>
                <w:sz w:val="10"/>
                <w:szCs w:val="10"/>
              </w:rPr>
            </w:pPr>
          </w:p>
        </w:tc>
        <w:tc>
          <w:tcPr>
            <w:tcW w:w="338"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r>
      <w:tr w:rsidR="003454D1">
        <w:trPr>
          <w:trHeight w:val="255"/>
        </w:trPr>
        <w:tc>
          <w:tcPr>
            <w:tcW w:w="1245" w:type="pct"/>
            <w:tcBorders>
              <w:top w:val="nil"/>
              <w:left w:val="nil"/>
              <w:bottom w:val="nil"/>
              <w:right w:val="nil"/>
            </w:tcBorders>
            <w:shd w:val="clear" w:color="auto" w:fill="auto"/>
            <w:noWrap/>
            <w:vAlign w:val="bottom"/>
            <w:hideMark/>
          </w:tcPr>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Budgetplanering 2020–2021</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center"/>
              <w:rPr>
                <w:rFonts w:eastAsia="Times New Roman"/>
                <w:noProof/>
                <w:sz w:val="10"/>
                <w:szCs w:val="10"/>
              </w:rPr>
            </w:pPr>
          </w:p>
        </w:tc>
        <w:tc>
          <w:tcPr>
            <w:tcW w:w="338"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r>
      <w:tr w:rsidR="003454D1">
        <w:trPr>
          <w:trHeight w:val="880"/>
        </w:trPr>
        <w:tc>
          <w:tcPr>
            <w:tcW w:w="1245" w:type="pct"/>
            <w:tcBorders>
              <w:top w:val="nil"/>
              <w:left w:val="nil"/>
              <w:bottom w:val="nil"/>
              <w:right w:val="nil"/>
            </w:tcBorders>
            <w:shd w:val="clear" w:color="auto" w:fill="auto"/>
            <w:noWrap/>
            <w:vAlign w:val="center"/>
            <w:hideMark/>
          </w:tcPr>
          <w:p w:rsidR="003454D1" w:rsidRDefault="008C651D">
            <w:pPr>
              <w:spacing w:before="0" w:after="0"/>
              <w:jc w:val="left"/>
              <w:rPr>
                <w:rFonts w:ascii="Arial" w:eastAsia="Times New Roman" w:hAnsi="Arial" w:cs="Arial"/>
                <w:i/>
                <w:iCs/>
                <w:noProof/>
                <w:color w:val="000000"/>
                <w:sz w:val="10"/>
                <w:szCs w:val="10"/>
              </w:rPr>
            </w:pPr>
            <w:r>
              <w:rPr>
                <w:rFonts w:ascii="Arial" w:hAnsi="Arial"/>
                <w:i/>
                <w:iCs/>
                <w:noProof/>
                <w:sz w:val="10"/>
                <w:szCs w:val="10"/>
              </w:rPr>
              <w:t>(i euro)</w:t>
            </w:r>
          </w:p>
        </w:tc>
        <w:tc>
          <w:tcPr>
            <w:tcW w:w="126" w:type="pct"/>
            <w:tcBorders>
              <w:top w:val="nil"/>
              <w:left w:val="nil"/>
              <w:bottom w:val="nil"/>
              <w:right w:val="nil"/>
            </w:tcBorders>
            <w:shd w:val="clear" w:color="auto" w:fill="auto"/>
            <w:noWrap/>
            <w:vAlign w:val="center"/>
            <w:hideMark/>
          </w:tcPr>
          <w:p w:rsidR="003454D1" w:rsidRDefault="003454D1">
            <w:pPr>
              <w:spacing w:before="0" w:after="0"/>
              <w:jc w:val="left"/>
              <w:rPr>
                <w:rFonts w:ascii="Arial" w:eastAsia="Times New Roman" w:hAnsi="Arial" w:cs="Arial"/>
                <w:i/>
                <w:iCs/>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D9D9D9"/>
            <w:vAlign w:val="center"/>
            <w:hideMark/>
          </w:tcPr>
          <w:p w:rsidR="003454D1" w:rsidRDefault="008C651D">
            <w:pPr>
              <w:spacing w:before="0" w:after="0"/>
              <w:jc w:val="center"/>
              <w:rPr>
                <w:rFonts w:ascii="Arial" w:eastAsia="Times New Roman" w:hAnsi="Arial" w:cs="Arial"/>
                <w:b/>
                <w:bCs/>
                <w:noProof/>
                <w:color w:val="000000"/>
                <w:sz w:val="10"/>
                <w:szCs w:val="10"/>
              </w:rPr>
            </w:pPr>
            <w:r>
              <w:rPr>
                <w:rFonts w:ascii="Arial" w:hAnsi="Arial"/>
                <w:b/>
                <w:bCs/>
                <w:noProof/>
                <w:sz w:val="10"/>
                <w:szCs w:val="10"/>
              </w:rPr>
              <w:t xml:space="preserve">Budget </w:t>
            </w:r>
            <w:r>
              <w:rPr>
                <w:rFonts w:ascii="Arial" w:hAnsi="Arial"/>
                <w:b/>
                <w:bCs/>
                <w:noProof/>
                <w:sz w:val="10"/>
                <w:szCs w:val="10"/>
              </w:rPr>
              <w:br/>
              <w:t>2019</w:t>
            </w:r>
          </w:p>
        </w:tc>
        <w:tc>
          <w:tcPr>
            <w:tcW w:w="676" w:type="pct"/>
            <w:tcBorders>
              <w:top w:val="single" w:sz="4" w:space="0" w:color="auto"/>
              <w:left w:val="nil"/>
              <w:bottom w:val="single" w:sz="4" w:space="0" w:color="auto"/>
              <w:right w:val="single" w:sz="4" w:space="0" w:color="auto"/>
            </w:tcBorders>
            <w:shd w:val="clear" w:color="000000" w:fill="D9D9D9"/>
            <w:vAlign w:val="center"/>
            <w:hideMark/>
          </w:tcPr>
          <w:p w:rsidR="003454D1" w:rsidRDefault="008C651D">
            <w:pPr>
              <w:spacing w:before="0" w:after="0"/>
              <w:jc w:val="center"/>
              <w:rPr>
                <w:rFonts w:ascii="Arial" w:eastAsia="Times New Roman" w:hAnsi="Arial" w:cs="Arial"/>
                <w:b/>
                <w:bCs/>
                <w:noProof/>
                <w:color w:val="000000"/>
                <w:sz w:val="10"/>
                <w:szCs w:val="10"/>
              </w:rPr>
            </w:pPr>
            <w:r>
              <w:rPr>
                <w:rFonts w:ascii="Arial" w:hAnsi="Arial"/>
                <w:b/>
                <w:bCs/>
                <w:noProof/>
                <w:sz w:val="10"/>
                <w:szCs w:val="10"/>
              </w:rPr>
              <w:t>Budget</w:t>
            </w:r>
            <w:r>
              <w:rPr>
                <w:rFonts w:ascii="Arial" w:hAnsi="Arial"/>
                <w:b/>
                <w:bCs/>
                <w:noProof/>
                <w:sz w:val="10"/>
                <w:szCs w:val="10"/>
              </w:rPr>
              <w:br/>
              <w:t>2020</w:t>
            </w:r>
          </w:p>
        </w:tc>
        <w:tc>
          <w:tcPr>
            <w:tcW w:w="127" w:type="pct"/>
            <w:tcBorders>
              <w:top w:val="nil"/>
              <w:left w:val="nil"/>
              <w:bottom w:val="nil"/>
              <w:right w:val="nil"/>
            </w:tcBorders>
            <w:shd w:val="clear" w:color="auto" w:fill="auto"/>
            <w:vAlign w:val="center"/>
            <w:hideMark/>
          </w:tcPr>
          <w:p w:rsidR="003454D1" w:rsidRDefault="003454D1">
            <w:pPr>
              <w:spacing w:before="0" w:after="0"/>
              <w:jc w:val="center"/>
              <w:rPr>
                <w:rFonts w:ascii="Arial" w:eastAsia="Times New Roman" w:hAnsi="Arial" w:cs="Arial"/>
                <w:b/>
                <w:bCs/>
                <w:noProof/>
                <w:color w:val="000000"/>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54D1" w:rsidRDefault="008C651D">
            <w:pPr>
              <w:spacing w:before="0" w:after="0"/>
              <w:jc w:val="center"/>
              <w:rPr>
                <w:rFonts w:ascii="Arial" w:eastAsia="Times New Roman" w:hAnsi="Arial" w:cs="Arial"/>
                <w:b/>
                <w:bCs/>
                <w:noProof/>
                <w:color w:val="000000"/>
                <w:sz w:val="10"/>
                <w:szCs w:val="10"/>
              </w:rPr>
            </w:pPr>
            <w:r>
              <w:rPr>
                <w:rFonts w:ascii="Arial" w:hAnsi="Arial"/>
                <w:b/>
                <w:bCs/>
                <w:noProof/>
                <w:sz w:val="10"/>
                <w:szCs w:val="10"/>
              </w:rPr>
              <w:t xml:space="preserve">Budget </w:t>
            </w:r>
            <w:r>
              <w:rPr>
                <w:rFonts w:ascii="Arial" w:hAnsi="Arial"/>
                <w:b/>
                <w:bCs/>
                <w:noProof/>
                <w:sz w:val="10"/>
                <w:szCs w:val="10"/>
              </w:rPr>
              <w:br/>
            </w:r>
            <w:r>
              <w:rPr>
                <w:rFonts w:ascii="Arial" w:hAnsi="Arial"/>
                <w:b/>
                <w:bCs/>
                <w:noProof/>
                <w:sz w:val="10"/>
                <w:szCs w:val="10"/>
              </w:rPr>
              <w:t>2021</w:t>
            </w:r>
          </w:p>
        </w:tc>
        <w:tc>
          <w:tcPr>
            <w:tcW w:w="127" w:type="pct"/>
            <w:tcBorders>
              <w:top w:val="nil"/>
              <w:left w:val="nil"/>
              <w:bottom w:val="nil"/>
              <w:right w:val="nil"/>
            </w:tcBorders>
            <w:shd w:val="clear" w:color="auto" w:fill="auto"/>
            <w:vAlign w:val="center"/>
            <w:hideMark/>
          </w:tcPr>
          <w:p w:rsidR="003454D1" w:rsidRDefault="003454D1">
            <w:pPr>
              <w:spacing w:before="0" w:after="0"/>
              <w:jc w:val="center"/>
              <w:rPr>
                <w:rFonts w:ascii="Arial" w:eastAsia="Times New Roman" w:hAnsi="Arial" w:cs="Arial"/>
                <w:b/>
                <w:bCs/>
                <w:noProof/>
                <w:color w:val="000000"/>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54D1" w:rsidRDefault="008C651D">
            <w:pPr>
              <w:spacing w:before="0" w:after="0"/>
              <w:jc w:val="center"/>
              <w:rPr>
                <w:rFonts w:ascii="Arial" w:eastAsia="Times New Roman" w:hAnsi="Arial" w:cs="Arial"/>
                <w:b/>
                <w:bCs/>
                <w:noProof/>
                <w:color w:val="000000"/>
                <w:sz w:val="10"/>
                <w:szCs w:val="10"/>
              </w:rPr>
            </w:pPr>
            <w:r>
              <w:rPr>
                <w:rFonts w:ascii="Arial" w:hAnsi="Arial"/>
                <w:b/>
                <w:bCs/>
                <w:noProof/>
                <w:sz w:val="10"/>
                <w:szCs w:val="10"/>
              </w:rPr>
              <w:t xml:space="preserve">Förändring, </w:t>
            </w:r>
            <w:r>
              <w:rPr>
                <w:rFonts w:ascii="Arial" w:hAnsi="Arial"/>
                <w:b/>
                <w:bCs/>
                <w:noProof/>
                <w:sz w:val="10"/>
                <w:szCs w:val="10"/>
              </w:rPr>
              <w:br/>
              <w:t xml:space="preserve">budget 2020 </w:t>
            </w:r>
            <w:r>
              <w:rPr>
                <w:rFonts w:ascii="Arial" w:hAnsi="Arial"/>
                <w:b/>
                <w:bCs/>
                <w:noProof/>
                <w:sz w:val="10"/>
                <w:szCs w:val="10"/>
              </w:rPr>
              <w:br/>
              <w:t xml:space="preserve">jämförd med </w:t>
            </w:r>
            <w:r>
              <w:rPr>
                <w:rFonts w:ascii="Arial" w:hAnsi="Arial"/>
                <w:b/>
                <w:bCs/>
                <w:noProof/>
                <w:sz w:val="10"/>
                <w:szCs w:val="10"/>
              </w:rPr>
              <w:br/>
              <w:t xml:space="preserve">budget 2019 </w:t>
            </w:r>
            <w:r>
              <w:rPr>
                <w:rFonts w:ascii="Arial" w:hAnsi="Arial"/>
                <w:b/>
                <w:bCs/>
                <w:noProof/>
                <w:sz w:val="10"/>
                <w:szCs w:val="10"/>
              </w:rPr>
              <w:br/>
            </w:r>
            <w:r>
              <w:rPr>
                <w:rFonts w:ascii="Arial" w:hAnsi="Arial"/>
                <w:noProof/>
                <w:sz w:val="10"/>
                <w:szCs w:val="10"/>
              </w:rPr>
              <w:t xml:space="preserve">(i euro) </w:t>
            </w:r>
          </w:p>
        </w:tc>
        <w:tc>
          <w:tcPr>
            <w:tcW w:w="382" w:type="pct"/>
            <w:tcBorders>
              <w:top w:val="single" w:sz="4" w:space="0" w:color="auto"/>
              <w:left w:val="nil"/>
              <w:bottom w:val="single" w:sz="4" w:space="0" w:color="auto"/>
              <w:right w:val="single" w:sz="4" w:space="0" w:color="auto"/>
            </w:tcBorders>
            <w:shd w:val="clear" w:color="000000" w:fill="D9D9D9"/>
            <w:vAlign w:val="center"/>
            <w:hideMark/>
          </w:tcPr>
          <w:p w:rsidR="003454D1" w:rsidRDefault="008C651D">
            <w:pPr>
              <w:spacing w:before="0" w:after="0"/>
              <w:jc w:val="center"/>
              <w:rPr>
                <w:rFonts w:ascii="Arial" w:eastAsia="Times New Roman" w:hAnsi="Arial" w:cs="Arial"/>
                <w:b/>
                <w:bCs/>
                <w:noProof/>
                <w:color w:val="000000"/>
                <w:sz w:val="10"/>
                <w:szCs w:val="10"/>
              </w:rPr>
            </w:pPr>
            <w:r>
              <w:rPr>
                <w:rFonts w:ascii="Arial" w:hAnsi="Arial"/>
                <w:b/>
                <w:bCs/>
                <w:noProof/>
                <w:sz w:val="10"/>
                <w:szCs w:val="10"/>
              </w:rPr>
              <w:t xml:space="preserve">Förändring, </w:t>
            </w:r>
            <w:r>
              <w:rPr>
                <w:rFonts w:ascii="Arial" w:hAnsi="Arial"/>
                <w:b/>
                <w:bCs/>
                <w:noProof/>
                <w:sz w:val="10"/>
                <w:szCs w:val="10"/>
              </w:rPr>
              <w:br/>
              <w:t xml:space="preserve">budget 2020 </w:t>
            </w:r>
            <w:r>
              <w:rPr>
                <w:rFonts w:ascii="Arial" w:hAnsi="Arial"/>
                <w:b/>
                <w:bCs/>
                <w:noProof/>
                <w:sz w:val="10"/>
                <w:szCs w:val="10"/>
              </w:rPr>
              <w:br/>
              <w:t xml:space="preserve">jämförd med </w:t>
            </w:r>
            <w:r>
              <w:rPr>
                <w:rFonts w:ascii="Arial" w:hAnsi="Arial"/>
                <w:b/>
                <w:bCs/>
                <w:noProof/>
                <w:sz w:val="10"/>
                <w:szCs w:val="10"/>
              </w:rPr>
              <w:br/>
              <w:t>budget 2019</w:t>
            </w:r>
            <w:r>
              <w:rPr>
                <w:rFonts w:ascii="Arial" w:hAnsi="Arial"/>
                <w:b/>
                <w:bCs/>
                <w:noProof/>
                <w:sz w:val="10"/>
                <w:szCs w:val="10"/>
              </w:rPr>
              <w:br/>
            </w:r>
            <w:r>
              <w:rPr>
                <w:rFonts w:ascii="Arial" w:hAnsi="Arial"/>
                <w:noProof/>
                <w:sz w:val="10"/>
                <w:szCs w:val="10"/>
              </w:rPr>
              <w:t>[i %]</w:t>
            </w:r>
          </w:p>
        </w:tc>
        <w:tc>
          <w:tcPr>
            <w:tcW w:w="127" w:type="pct"/>
            <w:tcBorders>
              <w:top w:val="nil"/>
              <w:left w:val="nil"/>
              <w:bottom w:val="nil"/>
              <w:right w:val="nil"/>
            </w:tcBorders>
            <w:shd w:val="clear" w:color="auto" w:fill="auto"/>
            <w:vAlign w:val="center"/>
            <w:hideMark/>
          </w:tcPr>
          <w:p w:rsidR="003454D1" w:rsidRDefault="003454D1">
            <w:pPr>
              <w:spacing w:before="0" w:after="0"/>
              <w:jc w:val="center"/>
              <w:rPr>
                <w:rFonts w:ascii="Arial" w:eastAsia="Times New Roman" w:hAnsi="Arial" w:cs="Arial"/>
                <w:b/>
                <w:bCs/>
                <w:noProof/>
                <w:color w:val="000000"/>
                <w:sz w:val="10"/>
                <w:szCs w:val="10"/>
              </w:rPr>
            </w:pPr>
          </w:p>
        </w:tc>
        <w:tc>
          <w:tcPr>
            <w:tcW w:w="33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54D1" w:rsidRDefault="008C651D">
            <w:pPr>
              <w:spacing w:before="0" w:after="0"/>
              <w:jc w:val="center"/>
              <w:rPr>
                <w:rFonts w:ascii="Arial" w:eastAsia="Times New Roman" w:hAnsi="Arial" w:cs="Arial"/>
                <w:b/>
                <w:bCs/>
                <w:noProof/>
                <w:color w:val="000000"/>
                <w:sz w:val="10"/>
                <w:szCs w:val="10"/>
              </w:rPr>
            </w:pPr>
            <w:r>
              <w:rPr>
                <w:rFonts w:ascii="Arial" w:hAnsi="Arial"/>
                <w:b/>
                <w:bCs/>
                <w:noProof/>
                <w:sz w:val="10"/>
                <w:szCs w:val="10"/>
              </w:rPr>
              <w:t xml:space="preserve">Förändring, </w:t>
            </w:r>
            <w:r>
              <w:rPr>
                <w:rFonts w:ascii="Arial" w:hAnsi="Arial"/>
                <w:b/>
                <w:bCs/>
                <w:noProof/>
                <w:sz w:val="10"/>
                <w:szCs w:val="10"/>
              </w:rPr>
              <w:br/>
              <w:t xml:space="preserve">budget 2021 </w:t>
            </w:r>
            <w:r>
              <w:rPr>
                <w:rFonts w:ascii="Arial" w:hAnsi="Arial"/>
                <w:b/>
                <w:bCs/>
                <w:noProof/>
                <w:sz w:val="10"/>
                <w:szCs w:val="10"/>
              </w:rPr>
              <w:br/>
              <w:t xml:space="preserve">jämförd med </w:t>
            </w:r>
            <w:r>
              <w:rPr>
                <w:rFonts w:ascii="Arial" w:hAnsi="Arial"/>
                <w:b/>
                <w:bCs/>
                <w:noProof/>
                <w:sz w:val="10"/>
                <w:szCs w:val="10"/>
              </w:rPr>
              <w:br/>
              <w:t xml:space="preserve">budget 2020 </w:t>
            </w:r>
            <w:r>
              <w:rPr>
                <w:rFonts w:ascii="Arial" w:hAnsi="Arial"/>
                <w:b/>
                <w:bCs/>
                <w:noProof/>
                <w:sz w:val="10"/>
                <w:szCs w:val="10"/>
              </w:rPr>
              <w:br/>
            </w:r>
            <w:r>
              <w:rPr>
                <w:rFonts w:ascii="Arial" w:hAnsi="Arial"/>
                <w:noProof/>
                <w:sz w:val="10"/>
                <w:szCs w:val="10"/>
              </w:rPr>
              <w:t>[i %]</w:t>
            </w:r>
          </w:p>
        </w:tc>
      </w:tr>
      <w:tr w:rsidR="003454D1">
        <w:trPr>
          <w:trHeight w:val="255"/>
        </w:trPr>
        <w:tc>
          <w:tcPr>
            <w:tcW w:w="1245" w:type="pct"/>
            <w:tcBorders>
              <w:top w:val="nil"/>
              <w:left w:val="nil"/>
              <w:bottom w:val="nil"/>
              <w:right w:val="nil"/>
            </w:tcBorders>
            <w:shd w:val="clear" w:color="auto" w:fill="auto"/>
            <w:noWrap/>
            <w:vAlign w:val="bottom"/>
            <w:hideMark/>
          </w:tcPr>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 xml:space="preserve">1. Personalresurser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1,02</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rsidR="003454D1" w:rsidRDefault="003454D1">
            <w:pPr>
              <w:spacing w:before="0" w:after="0"/>
              <w:jc w:val="righ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center"/>
              <w:rPr>
                <w:rFonts w:eastAsia="Times New Roman"/>
                <w:noProof/>
                <w:sz w:val="10"/>
                <w:szCs w:val="10"/>
              </w:rPr>
            </w:pPr>
          </w:p>
        </w:tc>
        <w:tc>
          <w:tcPr>
            <w:tcW w:w="338"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r>
      <w:tr w:rsidR="003454D1">
        <w:trPr>
          <w:trHeight w:val="300"/>
        </w:trPr>
        <w:tc>
          <w:tcPr>
            <w:tcW w:w="1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 xml:space="preserve">Delsumma personalresurser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2 557 221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2 652 868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2 804 091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95 647 </w:t>
            </w:r>
          </w:p>
        </w:tc>
        <w:tc>
          <w:tcPr>
            <w:tcW w:w="382" w:type="pct"/>
            <w:tcBorders>
              <w:top w:val="single" w:sz="4" w:space="0" w:color="auto"/>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4 %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6 %</w:t>
            </w:r>
          </w:p>
        </w:tc>
      </w:tr>
      <w:tr w:rsidR="003454D1">
        <w:trPr>
          <w:trHeight w:val="300"/>
        </w:trPr>
        <w:tc>
          <w:tcPr>
            <w:tcW w:w="1245"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92" w:type="pct"/>
            <w:tcBorders>
              <w:top w:val="nil"/>
              <w:left w:val="nil"/>
              <w:bottom w:val="nil"/>
              <w:right w:val="nil"/>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 xml:space="preserve">                                  -   </w:t>
            </w:r>
          </w:p>
        </w:tc>
        <w:tc>
          <w:tcPr>
            <w:tcW w:w="67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nil"/>
              <w:left w:val="nil"/>
              <w:bottom w:val="nil"/>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r>
      <w:tr w:rsidR="003454D1">
        <w:trPr>
          <w:trHeight w:val="300"/>
        </w:trPr>
        <w:tc>
          <w:tcPr>
            <w:tcW w:w="1245" w:type="pct"/>
            <w:tcBorders>
              <w:top w:val="nil"/>
              <w:left w:val="nil"/>
              <w:bottom w:val="nil"/>
              <w:right w:val="nil"/>
            </w:tcBorders>
            <w:shd w:val="clear" w:color="auto" w:fill="auto"/>
            <w:noWrap/>
            <w:vAlign w:val="bottom"/>
            <w:hideMark/>
          </w:tcPr>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2. RESEKOSTNADER</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382" w:type="pct"/>
            <w:tcBorders>
              <w:top w:val="nil"/>
              <w:left w:val="nil"/>
              <w:bottom w:val="single" w:sz="4" w:space="0" w:color="auto"/>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nil"/>
              <w:left w:val="nil"/>
              <w:bottom w:val="single" w:sz="4" w:space="0" w:color="auto"/>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r>
      <w:tr w:rsidR="003454D1">
        <w:trPr>
          <w:trHeight w:val="300"/>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Dagtraktamente</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122 400 </w:t>
            </w:r>
          </w:p>
        </w:tc>
        <w:tc>
          <w:tcPr>
            <w:tcW w:w="676" w:type="pct"/>
            <w:tcBorders>
              <w:top w:val="single" w:sz="4" w:space="0" w:color="auto"/>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112 000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112 000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-10 400</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-8 %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r>
      <w:tr w:rsidR="003454D1">
        <w:trPr>
          <w:trHeight w:val="300"/>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Resekostnader (flygresor och biutgifter)</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245 412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228 000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228 000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-17 412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-7 %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r>
      <w:tr w:rsidR="003454D1">
        <w:trPr>
          <w:trHeight w:val="300"/>
        </w:trPr>
        <w:tc>
          <w:tcPr>
            <w:tcW w:w="1245" w:type="pct"/>
            <w:tcBorders>
              <w:top w:val="nil"/>
              <w:left w:val="single" w:sz="4" w:space="0" w:color="auto"/>
              <w:bottom w:val="single" w:sz="4" w:space="0" w:color="auto"/>
              <w:right w:val="single" w:sz="4" w:space="0" w:color="auto"/>
            </w:tcBorders>
            <w:shd w:val="clear" w:color="000000" w:fill="F2F2F2"/>
            <w:noWrap/>
            <w:vAlign w:val="bottom"/>
            <w:hideMark/>
          </w:tcPr>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Delsumma resekostnader</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color w:val="000000"/>
                <w:sz w:val="10"/>
                <w:szCs w:val="10"/>
              </w:rPr>
            </w:pPr>
            <w:r>
              <w:rPr>
                <w:rFonts w:ascii="Arial" w:hAnsi="Arial"/>
                <w:b/>
                <w:bCs/>
                <w:noProof/>
                <w:sz w:val="10"/>
                <w:szCs w:val="10"/>
              </w:rPr>
              <w:t xml:space="preserve">                         367 812 </w:t>
            </w:r>
          </w:p>
        </w:tc>
        <w:tc>
          <w:tcPr>
            <w:tcW w:w="676" w:type="pct"/>
            <w:tcBorders>
              <w:top w:val="single" w:sz="4" w:space="0" w:color="auto"/>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340 000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340 000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-27 812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-8 %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0 %</w:t>
            </w:r>
          </w:p>
        </w:tc>
      </w:tr>
      <w:tr w:rsidR="003454D1">
        <w:trPr>
          <w:trHeight w:val="300"/>
        </w:trPr>
        <w:tc>
          <w:tcPr>
            <w:tcW w:w="1245" w:type="pct"/>
            <w:tcBorders>
              <w:top w:val="nil"/>
              <w:left w:val="nil"/>
              <w:bottom w:val="nil"/>
              <w:right w:val="nil"/>
            </w:tcBorders>
            <w:shd w:val="clear" w:color="auto" w:fill="auto"/>
            <w:noWrap/>
            <w:vAlign w:val="bottom"/>
            <w:hideMark/>
          </w:tcPr>
          <w:p w:rsidR="003454D1" w:rsidRDefault="003454D1">
            <w:pPr>
              <w:spacing w:before="0" w:after="0"/>
              <w:rPr>
                <w:rFonts w:ascii="Arial" w:eastAsia="Times New Roman" w:hAnsi="Arial" w:cs="Arial"/>
                <w:b/>
                <w:bCs/>
                <w:noProof/>
                <w:sz w:val="10"/>
                <w:szCs w:val="10"/>
              </w:rPr>
            </w:pP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92"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nil"/>
              <w:left w:val="nil"/>
              <w:bottom w:val="nil"/>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r>
      <w:tr w:rsidR="003454D1">
        <w:trPr>
          <w:trHeight w:val="300"/>
        </w:trPr>
        <w:tc>
          <w:tcPr>
            <w:tcW w:w="1245" w:type="pct"/>
            <w:tcBorders>
              <w:top w:val="nil"/>
              <w:left w:val="nil"/>
              <w:bottom w:val="nil"/>
              <w:right w:val="nil"/>
            </w:tcBorders>
            <w:shd w:val="clear" w:color="auto" w:fill="auto"/>
            <w:noWrap/>
            <w:vAlign w:val="bottom"/>
            <w:hideMark/>
          </w:tcPr>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3. KONTORSKOSTNADER</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rsidR="003454D1" w:rsidRDefault="003454D1">
            <w:pPr>
              <w:spacing w:before="0" w:after="0"/>
              <w:jc w:val="center"/>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center"/>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rsidR="003454D1" w:rsidRDefault="003454D1">
            <w:pPr>
              <w:spacing w:before="0" w:after="0"/>
              <w:jc w:val="center"/>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center"/>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rsidR="003454D1" w:rsidRDefault="003454D1">
            <w:pPr>
              <w:spacing w:before="0" w:after="0"/>
              <w:jc w:val="center"/>
              <w:rPr>
                <w:rFonts w:eastAsia="Times New Roman"/>
                <w:noProof/>
                <w:sz w:val="10"/>
                <w:szCs w:val="10"/>
              </w:rPr>
            </w:pPr>
          </w:p>
        </w:tc>
        <w:tc>
          <w:tcPr>
            <w:tcW w:w="382" w:type="pct"/>
            <w:tcBorders>
              <w:top w:val="nil"/>
              <w:left w:val="nil"/>
              <w:bottom w:val="single" w:sz="4" w:space="0" w:color="auto"/>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nil"/>
              <w:left w:val="nil"/>
              <w:bottom w:val="single" w:sz="4" w:space="0" w:color="auto"/>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r>
      <w:tr w:rsidR="003454D1">
        <w:trPr>
          <w:trHeight w:val="300"/>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 xml:space="preserve">Kontorshyra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150 000 </w:t>
            </w:r>
          </w:p>
        </w:tc>
        <w:tc>
          <w:tcPr>
            <w:tcW w:w="676" w:type="pct"/>
            <w:tcBorders>
              <w:top w:val="single" w:sz="4" w:space="0" w:color="auto"/>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170 000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170 000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20 000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13 %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r>
      <w:tr w:rsidR="003454D1">
        <w:trPr>
          <w:trHeight w:val="300"/>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 xml:space="preserve">Kontorsutrustning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50 000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50 000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50 000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r>
      <w:tr w:rsidR="003454D1">
        <w:trPr>
          <w:trHeight w:val="300"/>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 xml:space="preserve">Förbrukningsvaror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147 084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141 000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131 000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-6 084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-4 %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-7 %</w:t>
            </w:r>
          </w:p>
        </w:tc>
      </w:tr>
      <w:tr w:rsidR="003454D1">
        <w:trPr>
          <w:trHeight w:val="255"/>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 xml:space="preserve">Andra tjänster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53 000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63 205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63 205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10 205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19 %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r>
      <w:tr w:rsidR="003454D1">
        <w:trPr>
          <w:trHeight w:val="255"/>
        </w:trPr>
        <w:tc>
          <w:tcPr>
            <w:tcW w:w="1245" w:type="pct"/>
            <w:tcBorders>
              <w:top w:val="nil"/>
              <w:left w:val="single" w:sz="4" w:space="0" w:color="auto"/>
              <w:bottom w:val="single" w:sz="4" w:space="0" w:color="auto"/>
              <w:right w:val="single" w:sz="4" w:space="0" w:color="auto"/>
            </w:tcBorders>
            <w:shd w:val="clear" w:color="000000" w:fill="F2F2F2"/>
            <w:noWrap/>
            <w:vAlign w:val="bottom"/>
            <w:hideMark/>
          </w:tcPr>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Delsumma kontorskostnader</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color w:val="000000"/>
                <w:sz w:val="10"/>
                <w:szCs w:val="10"/>
              </w:rPr>
            </w:pPr>
            <w:r>
              <w:rPr>
                <w:rFonts w:ascii="Arial" w:hAnsi="Arial"/>
                <w:b/>
                <w:bCs/>
                <w:noProof/>
                <w:sz w:val="10"/>
                <w:szCs w:val="10"/>
              </w:rPr>
              <w:t xml:space="preserve">                         400 084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424 205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414 205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24 121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6 %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-2 %</w:t>
            </w:r>
          </w:p>
        </w:tc>
      </w:tr>
      <w:tr w:rsidR="003454D1">
        <w:trPr>
          <w:trHeight w:val="255"/>
        </w:trPr>
        <w:tc>
          <w:tcPr>
            <w:tcW w:w="1245"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92" w:type="pct"/>
            <w:tcBorders>
              <w:top w:val="nil"/>
              <w:left w:val="nil"/>
              <w:bottom w:val="nil"/>
              <w:right w:val="nil"/>
            </w:tcBorders>
            <w:shd w:val="clear" w:color="auto" w:fill="auto"/>
            <w:noWrap/>
            <w:vAlign w:val="bottom"/>
            <w:hideMark/>
          </w:tcPr>
          <w:p w:rsidR="003454D1" w:rsidRDefault="003454D1">
            <w:pPr>
              <w:spacing w:before="0" w:after="0"/>
              <w:jc w:val="righ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rsidR="003454D1" w:rsidRDefault="003454D1">
            <w:pPr>
              <w:spacing w:before="0" w:after="0"/>
              <w:jc w:val="righ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rsidR="003454D1" w:rsidRDefault="003454D1">
            <w:pPr>
              <w:spacing w:before="0" w:after="0"/>
              <w:jc w:val="righ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rsidR="003454D1" w:rsidRDefault="003454D1">
            <w:pPr>
              <w:spacing w:before="0" w:after="0"/>
              <w:jc w:val="righ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nil"/>
              <w:left w:val="nil"/>
              <w:bottom w:val="nil"/>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r>
      <w:tr w:rsidR="003454D1">
        <w:trPr>
          <w:trHeight w:val="255"/>
        </w:trPr>
        <w:tc>
          <w:tcPr>
            <w:tcW w:w="1245"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4. Andra kostnader och tjänster</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tc>
        <w:tc>
          <w:tcPr>
            <w:tcW w:w="692"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382" w:type="pct"/>
            <w:tcBorders>
              <w:top w:val="nil"/>
              <w:left w:val="nil"/>
              <w:bottom w:val="single" w:sz="4" w:space="0" w:color="auto"/>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nil"/>
              <w:left w:val="nil"/>
              <w:bottom w:val="single" w:sz="4" w:space="0" w:color="auto"/>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r>
      <w:tr w:rsidR="003454D1">
        <w:trPr>
          <w:trHeight w:val="255"/>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Marknadsföring, kommunikation och representation</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56 304 </w:t>
            </w:r>
          </w:p>
        </w:tc>
        <w:tc>
          <w:tcPr>
            <w:tcW w:w="676" w:type="pct"/>
            <w:tcBorders>
              <w:top w:val="single" w:sz="4" w:space="0" w:color="auto"/>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56 500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51 500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196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-9 %</w:t>
            </w:r>
          </w:p>
        </w:tc>
      </w:tr>
      <w:tr w:rsidR="003454D1">
        <w:trPr>
          <w:trHeight w:val="255"/>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 xml:space="preserve">Undersökningar, forskning och rådgivning, inkl. tillfälligt anställda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459 000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459 000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332 777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-27 %</w:t>
            </w:r>
          </w:p>
        </w:tc>
      </w:tr>
      <w:tr w:rsidR="003454D1">
        <w:trPr>
          <w:trHeight w:val="255"/>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 xml:space="preserve">Kostnader för tjänster som lagts ut på entreprenad (it, löneadministration osv.)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132 600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145 000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145 000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12 400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9 %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r>
      <w:tr w:rsidR="003454D1">
        <w:trPr>
          <w:trHeight w:val="255"/>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Kostnader för revision, juridisk och ekonomisk rådgivning</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106 080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96 000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86 000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-10 080</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-10 %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-10 %</w:t>
            </w:r>
          </w:p>
        </w:tc>
      </w:tr>
      <w:tr w:rsidR="003454D1">
        <w:trPr>
          <w:trHeight w:val="255"/>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 xml:space="preserve">Finansiella </w:t>
            </w:r>
            <w:r>
              <w:rPr>
                <w:rFonts w:ascii="Arial" w:hAnsi="Arial"/>
                <w:noProof/>
                <w:sz w:val="10"/>
                <w:szCs w:val="10"/>
              </w:rPr>
              <w:t>tjänster</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15 300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22 500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22 500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7 200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47 %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r>
      <w:tr w:rsidR="003454D1">
        <w:trPr>
          <w:trHeight w:val="255"/>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Konferenskostnader</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214 200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133 200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133 200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-81 000</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-38 %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r>
      <w:tr w:rsidR="003454D1">
        <w:trPr>
          <w:trHeight w:val="255"/>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 xml:space="preserve">Återbetalning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330 480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372 800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372 800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42 320 </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13 %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r>
      <w:tr w:rsidR="003454D1">
        <w:trPr>
          <w:trHeight w:val="255"/>
        </w:trPr>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4D1" w:rsidRDefault="008C651D">
            <w:pPr>
              <w:spacing w:before="0" w:after="0"/>
              <w:jc w:val="left"/>
              <w:rPr>
                <w:rFonts w:ascii="Arial" w:eastAsia="Times New Roman" w:hAnsi="Arial" w:cs="Arial"/>
                <w:noProof/>
                <w:color w:val="000000"/>
                <w:sz w:val="10"/>
                <w:szCs w:val="10"/>
              </w:rPr>
            </w:pPr>
            <w:r>
              <w:rPr>
                <w:rFonts w:ascii="Arial" w:hAnsi="Arial"/>
                <w:noProof/>
                <w:sz w:val="10"/>
                <w:szCs w:val="10"/>
              </w:rPr>
              <w:t xml:space="preserve">Utbildning </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color w:val="000000"/>
                <w:sz w:val="10"/>
                <w:szCs w:val="10"/>
              </w:rPr>
            </w:pPr>
            <w:r>
              <w:rPr>
                <w:rFonts w:ascii="Arial" w:hAnsi="Arial"/>
                <w:noProof/>
                <w:sz w:val="10"/>
                <w:szCs w:val="10"/>
              </w:rPr>
              <w:t xml:space="preserve">                         172 992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110 000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 xml:space="preserve">                       110 000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-62 992</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-36 %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noProof/>
                <w:sz w:val="10"/>
                <w:szCs w:val="10"/>
              </w:rPr>
            </w:pPr>
            <w:r>
              <w:rPr>
                <w:rFonts w:ascii="Arial" w:hAnsi="Arial"/>
                <w:noProof/>
                <w:sz w:val="10"/>
                <w:szCs w:val="10"/>
              </w:rPr>
              <w:t>0 %</w:t>
            </w:r>
          </w:p>
        </w:tc>
      </w:tr>
      <w:tr w:rsidR="003454D1">
        <w:trPr>
          <w:trHeight w:val="255"/>
        </w:trPr>
        <w:tc>
          <w:tcPr>
            <w:tcW w:w="1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Delsumma andra kostnader och tjänster</w:t>
            </w: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ascii="Arial" w:eastAsia="Times New Roman" w:hAnsi="Arial" w:cs="Arial"/>
                <w:b/>
                <w:bCs/>
                <w:noProof/>
                <w:color w:val="000000"/>
                <w:sz w:val="10"/>
                <w:szCs w:val="10"/>
              </w:rPr>
            </w:pPr>
          </w:p>
        </w:tc>
        <w:tc>
          <w:tcPr>
            <w:tcW w:w="69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color w:val="000000"/>
                <w:sz w:val="10"/>
                <w:szCs w:val="10"/>
              </w:rPr>
            </w:pPr>
            <w:r>
              <w:rPr>
                <w:rFonts w:ascii="Arial" w:hAnsi="Arial"/>
                <w:b/>
                <w:bCs/>
                <w:noProof/>
                <w:sz w:val="10"/>
                <w:szCs w:val="10"/>
              </w:rPr>
              <w:t xml:space="preserve">                       1 486 956 </w:t>
            </w:r>
          </w:p>
        </w:tc>
        <w:tc>
          <w:tcPr>
            <w:tcW w:w="676"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1 395 000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647"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1 253 777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515"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-91 956</w:t>
            </w:r>
          </w:p>
        </w:tc>
        <w:tc>
          <w:tcPr>
            <w:tcW w:w="382" w:type="pct"/>
            <w:tcBorders>
              <w:top w:val="nil"/>
              <w:left w:val="nil"/>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-6 %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-10 %</w:t>
            </w:r>
          </w:p>
        </w:tc>
      </w:tr>
      <w:tr w:rsidR="003454D1">
        <w:trPr>
          <w:trHeight w:val="255"/>
        </w:trPr>
        <w:tc>
          <w:tcPr>
            <w:tcW w:w="1245"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12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92"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76"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64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127"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515" w:type="pct"/>
            <w:tcBorders>
              <w:top w:val="nil"/>
              <w:left w:val="nil"/>
              <w:bottom w:val="nil"/>
              <w:right w:val="nil"/>
            </w:tcBorders>
            <w:shd w:val="clear" w:color="auto" w:fill="auto"/>
            <w:noWrap/>
            <w:vAlign w:val="bottom"/>
            <w:hideMark/>
          </w:tcPr>
          <w:p w:rsidR="003454D1" w:rsidRDefault="003454D1">
            <w:pPr>
              <w:spacing w:before="0" w:after="0"/>
              <w:jc w:val="left"/>
              <w:rPr>
                <w:rFonts w:eastAsia="Times New Roman"/>
                <w:noProof/>
                <w:sz w:val="10"/>
                <w:szCs w:val="10"/>
              </w:rPr>
            </w:pPr>
          </w:p>
        </w:tc>
        <w:tc>
          <w:tcPr>
            <w:tcW w:w="382" w:type="pct"/>
            <w:tcBorders>
              <w:top w:val="nil"/>
              <w:left w:val="nil"/>
              <w:bottom w:val="nil"/>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c>
          <w:tcPr>
            <w:tcW w:w="127" w:type="pct"/>
            <w:tcBorders>
              <w:top w:val="nil"/>
              <w:left w:val="nil"/>
              <w:bottom w:val="nil"/>
              <w:right w:val="nil"/>
            </w:tcBorders>
            <w:shd w:val="clear" w:color="auto" w:fill="auto"/>
            <w:noWrap/>
            <w:vAlign w:val="bottom"/>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nil"/>
              <w:left w:val="nil"/>
              <w:bottom w:val="nil"/>
              <w:right w:val="nil"/>
            </w:tcBorders>
            <w:shd w:val="clear" w:color="auto" w:fill="auto"/>
            <w:noWrap/>
            <w:vAlign w:val="bottom"/>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w:t>
            </w:r>
          </w:p>
        </w:tc>
      </w:tr>
      <w:tr w:rsidR="003454D1">
        <w:trPr>
          <w:trHeight w:val="375"/>
        </w:trPr>
        <w:tc>
          <w:tcPr>
            <w:tcW w:w="124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54D1" w:rsidRDefault="008C651D">
            <w:pPr>
              <w:spacing w:before="0" w:after="0"/>
              <w:jc w:val="left"/>
              <w:rPr>
                <w:rFonts w:ascii="Arial" w:eastAsia="Times New Roman" w:hAnsi="Arial" w:cs="Arial"/>
                <w:b/>
                <w:bCs/>
                <w:noProof/>
                <w:color w:val="000000"/>
                <w:sz w:val="10"/>
                <w:szCs w:val="10"/>
              </w:rPr>
            </w:pPr>
            <w:r>
              <w:rPr>
                <w:rFonts w:ascii="Arial" w:hAnsi="Arial"/>
                <w:b/>
                <w:bCs/>
                <w:noProof/>
                <w:sz w:val="10"/>
                <w:szCs w:val="10"/>
              </w:rPr>
              <w:t xml:space="preserve">TOTALT </w:t>
            </w:r>
          </w:p>
        </w:tc>
        <w:tc>
          <w:tcPr>
            <w:tcW w:w="126" w:type="pct"/>
            <w:tcBorders>
              <w:top w:val="nil"/>
              <w:left w:val="nil"/>
              <w:bottom w:val="nil"/>
              <w:right w:val="nil"/>
            </w:tcBorders>
            <w:shd w:val="clear" w:color="auto" w:fill="auto"/>
            <w:noWrap/>
            <w:vAlign w:val="center"/>
            <w:hideMark/>
          </w:tcPr>
          <w:p w:rsidR="003454D1" w:rsidRDefault="003454D1">
            <w:pPr>
              <w:spacing w:before="0" w:after="0"/>
              <w:jc w:val="right"/>
              <w:rPr>
                <w:rFonts w:ascii="Arial" w:eastAsia="Times New Roman" w:hAnsi="Arial" w:cs="Arial"/>
                <w:b/>
                <w:bCs/>
                <w:noProof/>
                <w:color w:val="000000"/>
                <w:sz w:val="10"/>
                <w:szCs w:val="10"/>
              </w:rPr>
            </w:pPr>
          </w:p>
        </w:tc>
        <w:tc>
          <w:tcPr>
            <w:tcW w:w="692" w:type="pct"/>
            <w:tcBorders>
              <w:top w:val="single" w:sz="4" w:space="0" w:color="auto"/>
              <w:left w:val="nil"/>
              <w:bottom w:val="single" w:sz="4" w:space="0" w:color="auto"/>
              <w:right w:val="single" w:sz="4" w:space="0" w:color="auto"/>
            </w:tcBorders>
            <w:shd w:val="clear" w:color="000000" w:fill="BFBFBF"/>
            <w:noWrap/>
            <w:vAlign w:val="center"/>
            <w:hideMark/>
          </w:tcPr>
          <w:p w:rsidR="003454D1" w:rsidRDefault="008C651D">
            <w:pPr>
              <w:spacing w:before="0" w:after="0"/>
              <w:jc w:val="right"/>
              <w:rPr>
                <w:rFonts w:ascii="Arial" w:eastAsia="Times New Roman" w:hAnsi="Arial" w:cs="Arial"/>
                <w:b/>
                <w:bCs/>
                <w:noProof/>
                <w:color w:val="000000"/>
                <w:sz w:val="10"/>
                <w:szCs w:val="10"/>
              </w:rPr>
            </w:pPr>
            <w:r>
              <w:rPr>
                <w:rFonts w:ascii="Arial" w:hAnsi="Arial"/>
                <w:b/>
                <w:bCs/>
                <w:noProof/>
                <w:sz w:val="10"/>
                <w:szCs w:val="10"/>
              </w:rPr>
              <w:t xml:space="preserve">                       4 812 073 </w:t>
            </w:r>
          </w:p>
        </w:tc>
        <w:tc>
          <w:tcPr>
            <w:tcW w:w="676" w:type="pct"/>
            <w:tcBorders>
              <w:top w:val="single" w:sz="4" w:space="0" w:color="auto"/>
              <w:left w:val="nil"/>
              <w:bottom w:val="single" w:sz="4" w:space="0" w:color="auto"/>
              <w:right w:val="single" w:sz="4" w:space="0" w:color="auto"/>
            </w:tcBorders>
            <w:shd w:val="clear" w:color="000000" w:fill="BFBFBF"/>
            <w:noWrap/>
            <w:vAlign w:val="center"/>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4 812 073 </w:t>
            </w:r>
          </w:p>
        </w:tc>
        <w:tc>
          <w:tcPr>
            <w:tcW w:w="127" w:type="pct"/>
            <w:tcBorders>
              <w:top w:val="nil"/>
              <w:left w:val="nil"/>
              <w:bottom w:val="nil"/>
              <w:right w:val="nil"/>
            </w:tcBorders>
            <w:shd w:val="clear" w:color="auto" w:fill="auto"/>
            <w:noWrap/>
            <w:vAlign w:val="center"/>
            <w:hideMark/>
          </w:tcPr>
          <w:p w:rsidR="003454D1" w:rsidRDefault="003454D1">
            <w:pPr>
              <w:spacing w:before="0" w:after="0"/>
              <w:jc w:val="right"/>
              <w:rPr>
                <w:rFonts w:ascii="Arial" w:eastAsia="Times New Roman" w:hAnsi="Arial" w:cs="Arial"/>
                <w:b/>
                <w:bCs/>
                <w:noProof/>
                <w:sz w:val="10"/>
                <w:szCs w:val="10"/>
              </w:rPr>
            </w:pPr>
          </w:p>
        </w:tc>
        <w:tc>
          <w:tcPr>
            <w:tcW w:w="64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 xml:space="preserve">                    4 812 073 </w:t>
            </w:r>
          </w:p>
        </w:tc>
        <w:tc>
          <w:tcPr>
            <w:tcW w:w="127" w:type="pct"/>
            <w:tcBorders>
              <w:top w:val="nil"/>
              <w:left w:val="nil"/>
              <w:bottom w:val="nil"/>
              <w:right w:val="nil"/>
            </w:tcBorders>
            <w:shd w:val="clear" w:color="auto" w:fill="auto"/>
            <w:noWrap/>
            <w:vAlign w:val="center"/>
            <w:hideMark/>
          </w:tcPr>
          <w:p w:rsidR="003454D1" w:rsidRDefault="003454D1">
            <w:pPr>
              <w:spacing w:before="0" w:after="0"/>
              <w:jc w:val="left"/>
              <w:rPr>
                <w:rFonts w:ascii="Arial" w:eastAsia="Times New Roman" w:hAnsi="Arial" w:cs="Arial"/>
                <w:b/>
                <w:bCs/>
                <w:noProof/>
                <w:sz w:val="10"/>
                <w:szCs w:val="10"/>
              </w:rPr>
            </w:pPr>
          </w:p>
        </w:tc>
        <w:tc>
          <w:tcPr>
            <w:tcW w:w="51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454D1" w:rsidRDefault="008C651D">
            <w:pPr>
              <w:spacing w:before="0" w:after="0"/>
              <w:jc w:val="left"/>
              <w:rPr>
                <w:rFonts w:ascii="Arial" w:eastAsia="Times New Roman" w:hAnsi="Arial" w:cs="Arial"/>
                <w:b/>
                <w:bCs/>
                <w:noProof/>
                <w:sz w:val="10"/>
                <w:szCs w:val="10"/>
              </w:rPr>
            </w:pPr>
            <w:r>
              <w:rPr>
                <w:rFonts w:ascii="Arial" w:hAnsi="Arial"/>
                <w:b/>
                <w:bCs/>
                <w:noProof/>
                <w:sz w:val="10"/>
                <w:szCs w:val="10"/>
              </w:rPr>
              <w:t xml:space="preserve">                           -   </w:t>
            </w:r>
          </w:p>
        </w:tc>
        <w:tc>
          <w:tcPr>
            <w:tcW w:w="382" w:type="pct"/>
            <w:tcBorders>
              <w:top w:val="single" w:sz="4" w:space="0" w:color="auto"/>
              <w:left w:val="nil"/>
              <w:bottom w:val="single" w:sz="4" w:space="0" w:color="auto"/>
              <w:right w:val="single" w:sz="4" w:space="0" w:color="auto"/>
            </w:tcBorders>
            <w:shd w:val="clear" w:color="000000" w:fill="D9D9D9"/>
            <w:noWrap/>
            <w:vAlign w:val="center"/>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0 %</w:t>
            </w:r>
          </w:p>
        </w:tc>
        <w:tc>
          <w:tcPr>
            <w:tcW w:w="127" w:type="pct"/>
            <w:tcBorders>
              <w:top w:val="nil"/>
              <w:left w:val="nil"/>
              <w:bottom w:val="nil"/>
              <w:right w:val="nil"/>
            </w:tcBorders>
            <w:shd w:val="clear" w:color="auto" w:fill="auto"/>
            <w:noWrap/>
            <w:vAlign w:val="center"/>
            <w:hideMark/>
          </w:tcPr>
          <w:p w:rsidR="003454D1" w:rsidRDefault="003454D1">
            <w:pPr>
              <w:spacing w:before="0" w:after="0"/>
              <w:jc w:val="right"/>
              <w:rPr>
                <w:rFonts w:ascii="Arial" w:eastAsia="Times New Roman" w:hAnsi="Arial" w:cs="Arial"/>
                <w:b/>
                <w:bCs/>
                <w:noProof/>
                <w:sz w:val="10"/>
                <w:szCs w:val="10"/>
              </w:rPr>
            </w:pPr>
          </w:p>
        </w:tc>
        <w:tc>
          <w:tcPr>
            <w:tcW w:w="33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54D1" w:rsidRDefault="008C651D">
            <w:pPr>
              <w:spacing w:before="0" w:after="0"/>
              <w:jc w:val="right"/>
              <w:rPr>
                <w:rFonts w:ascii="Arial" w:eastAsia="Times New Roman" w:hAnsi="Arial" w:cs="Arial"/>
                <w:b/>
                <w:bCs/>
                <w:noProof/>
                <w:sz w:val="10"/>
                <w:szCs w:val="10"/>
              </w:rPr>
            </w:pPr>
            <w:r>
              <w:rPr>
                <w:rFonts w:ascii="Arial" w:hAnsi="Arial"/>
                <w:b/>
                <w:bCs/>
                <w:noProof/>
                <w:sz w:val="10"/>
                <w:szCs w:val="10"/>
              </w:rPr>
              <w:t>0 %</w:t>
            </w:r>
          </w:p>
        </w:tc>
      </w:tr>
    </w:tbl>
    <w:p w:rsidR="003454D1" w:rsidRDefault="003454D1">
      <w:pPr>
        <w:rPr>
          <w:noProof/>
        </w:rPr>
      </w:pPr>
    </w:p>
    <w:p w:rsidR="003454D1" w:rsidRDefault="008C651D">
      <w:pPr>
        <w:pStyle w:val="NumPar1"/>
        <w:rPr>
          <w:noProof/>
        </w:rPr>
      </w:pPr>
      <w:r>
        <w:rPr>
          <w:noProof/>
        </w:rPr>
        <w:t>Inst</w:t>
      </w:r>
      <w:r>
        <w:rPr>
          <w:noProof/>
        </w:rPr>
        <w:t xml:space="preserve">itutionell budget (återbetalning och organisation av evenemang) </w:t>
      </w:r>
    </w:p>
    <w:p w:rsidR="003454D1" w:rsidRDefault="003454D1">
      <w:pPr>
        <w:pStyle w:val="Text1"/>
        <w:rPr>
          <w:noProof/>
        </w:rPr>
      </w:pPr>
    </w:p>
    <w:tbl>
      <w:tblPr>
        <w:tblStyle w:val="TableGrid"/>
        <w:tblW w:w="0" w:type="auto"/>
        <w:jc w:val="right"/>
        <w:tblLook w:val="04A0" w:firstRow="1" w:lastRow="0" w:firstColumn="1" w:lastColumn="0" w:noHBand="0" w:noVBand="1"/>
      </w:tblPr>
      <w:tblGrid>
        <w:gridCol w:w="4219"/>
        <w:gridCol w:w="387"/>
        <w:gridCol w:w="2303"/>
        <w:gridCol w:w="2303"/>
      </w:tblGrid>
      <w:tr w:rsidR="003454D1">
        <w:trPr>
          <w:trHeight w:val="699"/>
          <w:jc w:val="right"/>
        </w:trPr>
        <w:tc>
          <w:tcPr>
            <w:tcW w:w="4219" w:type="dxa"/>
            <w:tcBorders>
              <w:top w:val="nil"/>
              <w:left w:val="nil"/>
              <w:bottom w:val="nil"/>
              <w:right w:val="nil"/>
            </w:tcBorders>
            <w:vAlign w:val="bottom"/>
          </w:tcPr>
          <w:p w:rsidR="003454D1" w:rsidRDefault="008C651D">
            <w:pPr>
              <w:rPr>
                <w:rFonts w:asciiTheme="minorHAnsi" w:hAnsiTheme="minorHAnsi" w:cstheme="minorHAnsi"/>
                <w:i/>
                <w:noProof/>
              </w:rPr>
            </w:pPr>
            <w:r>
              <w:rPr>
                <w:rFonts w:asciiTheme="minorHAnsi" w:hAnsiTheme="minorHAnsi"/>
                <w:i/>
                <w:noProof/>
              </w:rPr>
              <w:t>(i euro)</w:t>
            </w:r>
          </w:p>
        </w:tc>
        <w:tc>
          <w:tcPr>
            <w:tcW w:w="387" w:type="dxa"/>
            <w:tcBorders>
              <w:top w:val="nil"/>
              <w:left w:val="nil"/>
              <w:bottom w:val="nil"/>
              <w:right w:val="single" w:sz="4" w:space="0" w:color="auto"/>
            </w:tcBorders>
          </w:tcPr>
          <w:p w:rsidR="003454D1" w:rsidRDefault="003454D1">
            <w:pPr>
              <w:rPr>
                <w:rFonts w:asciiTheme="minorHAnsi" w:hAnsiTheme="minorHAnsi" w:cstheme="minorHAnsi"/>
                <w:noProof/>
              </w:rPr>
            </w:pPr>
          </w:p>
        </w:tc>
        <w:tc>
          <w:tcPr>
            <w:tcW w:w="2303" w:type="dxa"/>
            <w:tcBorders>
              <w:left w:val="single" w:sz="4" w:space="0" w:color="auto"/>
              <w:bottom w:val="single" w:sz="4" w:space="0" w:color="auto"/>
            </w:tcBorders>
            <w:shd w:val="clear" w:color="auto" w:fill="D9D9D9" w:themeFill="background1" w:themeFillShade="D9"/>
            <w:vAlign w:val="center"/>
          </w:tcPr>
          <w:p w:rsidR="003454D1" w:rsidRDefault="008C651D">
            <w:pPr>
              <w:jc w:val="center"/>
              <w:rPr>
                <w:rFonts w:asciiTheme="minorHAnsi" w:hAnsiTheme="minorHAnsi" w:cstheme="minorHAnsi"/>
                <w:b/>
                <w:noProof/>
              </w:rPr>
            </w:pPr>
            <w:r>
              <w:rPr>
                <w:rFonts w:asciiTheme="minorHAnsi" w:hAnsiTheme="minorHAnsi"/>
                <w:b/>
                <w:noProof/>
              </w:rPr>
              <w:t>Budget</w:t>
            </w:r>
          </w:p>
          <w:p w:rsidR="003454D1" w:rsidRDefault="008C651D">
            <w:pPr>
              <w:jc w:val="center"/>
              <w:rPr>
                <w:rFonts w:asciiTheme="minorHAnsi" w:hAnsiTheme="minorHAnsi" w:cstheme="minorHAnsi"/>
                <w:b/>
                <w:noProof/>
              </w:rPr>
            </w:pPr>
            <w:r>
              <w:rPr>
                <w:rFonts w:asciiTheme="minorHAnsi" w:hAnsiTheme="minorHAnsi"/>
                <w:b/>
                <w:noProof/>
              </w:rPr>
              <w:t>2020</w:t>
            </w:r>
          </w:p>
        </w:tc>
        <w:tc>
          <w:tcPr>
            <w:tcW w:w="2303" w:type="dxa"/>
            <w:tcBorders>
              <w:bottom w:val="single" w:sz="4" w:space="0" w:color="auto"/>
            </w:tcBorders>
            <w:shd w:val="clear" w:color="auto" w:fill="D9D9D9" w:themeFill="background1" w:themeFillShade="D9"/>
            <w:vAlign w:val="center"/>
          </w:tcPr>
          <w:p w:rsidR="003454D1" w:rsidRDefault="008C651D">
            <w:pPr>
              <w:jc w:val="center"/>
              <w:rPr>
                <w:rFonts w:asciiTheme="minorHAnsi" w:hAnsiTheme="minorHAnsi" w:cstheme="minorHAnsi"/>
                <w:b/>
                <w:noProof/>
              </w:rPr>
            </w:pPr>
            <w:r>
              <w:rPr>
                <w:rFonts w:asciiTheme="minorHAnsi" w:hAnsiTheme="minorHAnsi"/>
                <w:b/>
                <w:noProof/>
              </w:rPr>
              <w:t>Budget</w:t>
            </w:r>
          </w:p>
          <w:p w:rsidR="003454D1" w:rsidRDefault="008C651D">
            <w:pPr>
              <w:jc w:val="center"/>
              <w:rPr>
                <w:rFonts w:asciiTheme="minorHAnsi" w:hAnsiTheme="minorHAnsi" w:cstheme="minorHAnsi"/>
                <w:b/>
                <w:noProof/>
              </w:rPr>
            </w:pPr>
            <w:r>
              <w:rPr>
                <w:rFonts w:asciiTheme="minorHAnsi" w:hAnsiTheme="minorHAnsi"/>
                <w:b/>
                <w:noProof/>
              </w:rPr>
              <w:t>2021</w:t>
            </w:r>
          </w:p>
        </w:tc>
      </w:tr>
      <w:tr w:rsidR="003454D1">
        <w:trPr>
          <w:jc w:val="right"/>
        </w:trPr>
        <w:tc>
          <w:tcPr>
            <w:tcW w:w="4219" w:type="dxa"/>
            <w:tcBorders>
              <w:top w:val="nil"/>
              <w:left w:val="nil"/>
              <w:bottom w:val="single" w:sz="4" w:space="0" w:color="auto"/>
              <w:right w:val="nil"/>
            </w:tcBorders>
          </w:tcPr>
          <w:p w:rsidR="003454D1" w:rsidRDefault="003454D1">
            <w:pPr>
              <w:rPr>
                <w:rFonts w:asciiTheme="minorHAnsi" w:hAnsiTheme="minorHAnsi" w:cstheme="minorHAnsi"/>
                <w:i/>
                <w:noProof/>
                <w:sz w:val="6"/>
                <w:szCs w:val="6"/>
              </w:rPr>
            </w:pPr>
          </w:p>
        </w:tc>
        <w:tc>
          <w:tcPr>
            <w:tcW w:w="387" w:type="dxa"/>
            <w:tcBorders>
              <w:top w:val="nil"/>
              <w:left w:val="nil"/>
              <w:bottom w:val="nil"/>
              <w:right w:val="nil"/>
            </w:tcBorders>
          </w:tcPr>
          <w:p w:rsidR="003454D1" w:rsidRDefault="003454D1">
            <w:pPr>
              <w:rPr>
                <w:rFonts w:asciiTheme="minorHAnsi" w:hAnsiTheme="minorHAnsi" w:cstheme="minorHAnsi"/>
                <w:noProof/>
                <w:sz w:val="6"/>
                <w:szCs w:val="6"/>
              </w:rPr>
            </w:pPr>
          </w:p>
        </w:tc>
        <w:tc>
          <w:tcPr>
            <w:tcW w:w="2303" w:type="dxa"/>
            <w:tcBorders>
              <w:top w:val="single" w:sz="4" w:space="0" w:color="auto"/>
              <w:left w:val="nil"/>
              <w:bottom w:val="single" w:sz="4" w:space="0" w:color="auto"/>
              <w:right w:val="nil"/>
            </w:tcBorders>
          </w:tcPr>
          <w:p w:rsidR="003454D1" w:rsidRDefault="003454D1">
            <w:pPr>
              <w:jc w:val="center"/>
              <w:rPr>
                <w:rFonts w:asciiTheme="minorHAnsi" w:hAnsiTheme="minorHAnsi" w:cstheme="minorHAnsi"/>
                <w:b/>
                <w:noProof/>
                <w:sz w:val="6"/>
                <w:szCs w:val="6"/>
              </w:rPr>
            </w:pPr>
          </w:p>
        </w:tc>
        <w:tc>
          <w:tcPr>
            <w:tcW w:w="2303" w:type="dxa"/>
            <w:tcBorders>
              <w:top w:val="single" w:sz="4" w:space="0" w:color="auto"/>
              <w:left w:val="nil"/>
              <w:bottom w:val="single" w:sz="4" w:space="0" w:color="auto"/>
              <w:right w:val="nil"/>
            </w:tcBorders>
          </w:tcPr>
          <w:p w:rsidR="003454D1" w:rsidRDefault="003454D1">
            <w:pPr>
              <w:jc w:val="center"/>
              <w:rPr>
                <w:rFonts w:asciiTheme="minorHAnsi" w:hAnsiTheme="minorHAnsi" w:cstheme="minorHAnsi"/>
                <w:b/>
                <w:noProof/>
                <w:sz w:val="6"/>
                <w:szCs w:val="6"/>
              </w:rPr>
            </w:pPr>
          </w:p>
        </w:tc>
      </w:tr>
      <w:tr w:rsidR="003454D1">
        <w:trPr>
          <w:jc w:val="right"/>
        </w:trPr>
        <w:tc>
          <w:tcPr>
            <w:tcW w:w="4219" w:type="dxa"/>
            <w:tcBorders>
              <w:top w:val="single" w:sz="4" w:space="0" w:color="auto"/>
              <w:right w:val="single" w:sz="4" w:space="0" w:color="auto"/>
            </w:tcBorders>
            <w:shd w:val="clear" w:color="auto" w:fill="D9D9D9" w:themeFill="background1" w:themeFillShade="D9"/>
          </w:tcPr>
          <w:p w:rsidR="003454D1" w:rsidRDefault="008C651D">
            <w:pPr>
              <w:rPr>
                <w:rFonts w:asciiTheme="minorHAnsi" w:hAnsiTheme="minorHAnsi" w:cstheme="minorHAnsi"/>
                <w:noProof/>
              </w:rPr>
            </w:pPr>
            <w:r>
              <w:rPr>
                <w:rFonts w:asciiTheme="minorHAnsi" w:hAnsiTheme="minorHAnsi"/>
                <w:noProof/>
              </w:rPr>
              <w:t xml:space="preserve">Ministerrådet </w:t>
            </w:r>
          </w:p>
          <w:p w:rsidR="003454D1" w:rsidRDefault="008C651D">
            <w:pPr>
              <w:rPr>
                <w:rFonts w:asciiTheme="minorHAnsi" w:hAnsiTheme="minorHAnsi" w:cstheme="minorHAnsi"/>
                <w:noProof/>
                <w:sz w:val="18"/>
                <w:szCs w:val="18"/>
              </w:rPr>
            </w:pPr>
            <w:r>
              <w:rPr>
                <w:rFonts w:asciiTheme="minorHAnsi" w:hAnsiTheme="minorHAnsi"/>
                <w:noProof/>
                <w:sz w:val="18"/>
                <w:szCs w:val="18"/>
              </w:rPr>
              <w:t>(inkl. organ som inrättats genom beslut av ministerrådet)</w:t>
            </w:r>
          </w:p>
        </w:tc>
        <w:tc>
          <w:tcPr>
            <w:tcW w:w="387" w:type="dxa"/>
            <w:tcBorders>
              <w:top w:val="nil"/>
              <w:left w:val="single" w:sz="4" w:space="0" w:color="auto"/>
              <w:bottom w:val="nil"/>
              <w:right w:val="single" w:sz="4" w:space="0" w:color="auto"/>
            </w:tcBorders>
          </w:tcPr>
          <w:p w:rsidR="003454D1" w:rsidRDefault="003454D1">
            <w:pPr>
              <w:rPr>
                <w:rFonts w:asciiTheme="minorHAnsi" w:hAnsiTheme="minorHAnsi" w:cstheme="minorHAnsi"/>
                <w:noProof/>
              </w:rPr>
            </w:pPr>
          </w:p>
        </w:tc>
        <w:tc>
          <w:tcPr>
            <w:tcW w:w="2303" w:type="dxa"/>
            <w:tcBorders>
              <w:top w:val="single" w:sz="4" w:space="0" w:color="auto"/>
              <w:left w:val="single" w:sz="4" w:space="0" w:color="auto"/>
            </w:tcBorders>
            <w:vAlign w:val="center"/>
          </w:tcPr>
          <w:p w:rsidR="003454D1" w:rsidRDefault="008C651D">
            <w:pPr>
              <w:jc w:val="right"/>
              <w:rPr>
                <w:rFonts w:asciiTheme="minorHAnsi" w:hAnsiTheme="minorHAnsi" w:cstheme="minorHAnsi"/>
                <w:noProof/>
              </w:rPr>
            </w:pPr>
            <w:r>
              <w:rPr>
                <w:rFonts w:asciiTheme="minorHAnsi" w:hAnsiTheme="minorHAnsi"/>
                <w:noProof/>
              </w:rPr>
              <w:t>147 700</w:t>
            </w:r>
          </w:p>
        </w:tc>
        <w:tc>
          <w:tcPr>
            <w:tcW w:w="2303" w:type="dxa"/>
            <w:tcBorders>
              <w:top w:val="single" w:sz="4" w:space="0" w:color="auto"/>
            </w:tcBorders>
            <w:vAlign w:val="center"/>
          </w:tcPr>
          <w:p w:rsidR="003454D1" w:rsidRDefault="008C651D">
            <w:pPr>
              <w:jc w:val="right"/>
              <w:rPr>
                <w:rFonts w:asciiTheme="minorHAnsi" w:hAnsiTheme="minorHAnsi" w:cstheme="minorHAnsi"/>
                <w:noProof/>
              </w:rPr>
            </w:pPr>
            <w:r>
              <w:rPr>
                <w:rFonts w:asciiTheme="minorHAnsi" w:hAnsiTheme="minorHAnsi"/>
                <w:noProof/>
              </w:rPr>
              <w:t>147 700</w:t>
            </w:r>
          </w:p>
        </w:tc>
      </w:tr>
      <w:tr w:rsidR="003454D1">
        <w:trPr>
          <w:jc w:val="right"/>
        </w:trPr>
        <w:tc>
          <w:tcPr>
            <w:tcW w:w="4219" w:type="dxa"/>
            <w:tcBorders>
              <w:right w:val="single" w:sz="4" w:space="0" w:color="auto"/>
            </w:tcBorders>
            <w:shd w:val="clear" w:color="auto" w:fill="D9D9D9" w:themeFill="background1" w:themeFillShade="D9"/>
          </w:tcPr>
          <w:p w:rsidR="003454D1" w:rsidRDefault="008C651D">
            <w:pPr>
              <w:rPr>
                <w:rFonts w:asciiTheme="minorHAnsi" w:hAnsiTheme="minorHAnsi" w:cstheme="minorHAnsi"/>
                <w:noProof/>
              </w:rPr>
            </w:pPr>
            <w:r>
              <w:rPr>
                <w:rFonts w:asciiTheme="minorHAnsi" w:hAnsiTheme="minorHAnsi"/>
                <w:noProof/>
              </w:rPr>
              <w:t>Permanenta högnivågruppen</w:t>
            </w:r>
          </w:p>
        </w:tc>
        <w:tc>
          <w:tcPr>
            <w:tcW w:w="387" w:type="dxa"/>
            <w:tcBorders>
              <w:top w:val="nil"/>
              <w:left w:val="single" w:sz="4" w:space="0" w:color="auto"/>
              <w:bottom w:val="nil"/>
              <w:right w:val="single" w:sz="4" w:space="0" w:color="auto"/>
            </w:tcBorders>
          </w:tcPr>
          <w:p w:rsidR="003454D1" w:rsidRDefault="003454D1">
            <w:pPr>
              <w:rPr>
                <w:rFonts w:asciiTheme="minorHAnsi" w:hAnsiTheme="minorHAnsi" w:cstheme="minorHAnsi"/>
                <w:noProof/>
              </w:rPr>
            </w:pPr>
          </w:p>
        </w:tc>
        <w:tc>
          <w:tcPr>
            <w:tcW w:w="2303" w:type="dxa"/>
            <w:tcBorders>
              <w:left w:val="single" w:sz="4" w:space="0" w:color="auto"/>
            </w:tcBorders>
            <w:vAlign w:val="center"/>
          </w:tcPr>
          <w:p w:rsidR="003454D1" w:rsidRDefault="008C651D">
            <w:pPr>
              <w:jc w:val="right"/>
              <w:rPr>
                <w:rFonts w:asciiTheme="minorHAnsi" w:hAnsiTheme="minorHAnsi" w:cstheme="minorHAnsi"/>
                <w:noProof/>
              </w:rPr>
            </w:pPr>
            <w:r>
              <w:rPr>
                <w:rFonts w:asciiTheme="minorHAnsi" w:hAnsiTheme="minorHAnsi"/>
                <w:noProof/>
              </w:rPr>
              <w:t>25 600</w:t>
            </w:r>
          </w:p>
        </w:tc>
        <w:tc>
          <w:tcPr>
            <w:tcW w:w="2303" w:type="dxa"/>
            <w:vAlign w:val="center"/>
          </w:tcPr>
          <w:p w:rsidR="003454D1" w:rsidRDefault="008C651D">
            <w:pPr>
              <w:jc w:val="right"/>
              <w:rPr>
                <w:rFonts w:asciiTheme="minorHAnsi" w:hAnsiTheme="minorHAnsi" w:cstheme="minorHAnsi"/>
                <w:noProof/>
              </w:rPr>
            </w:pPr>
            <w:r>
              <w:rPr>
                <w:rFonts w:asciiTheme="minorHAnsi" w:hAnsiTheme="minorHAnsi"/>
                <w:noProof/>
              </w:rPr>
              <w:t>25 600</w:t>
            </w:r>
          </w:p>
        </w:tc>
      </w:tr>
      <w:tr w:rsidR="003454D1">
        <w:trPr>
          <w:jc w:val="right"/>
        </w:trPr>
        <w:tc>
          <w:tcPr>
            <w:tcW w:w="4219" w:type="dxa"/>
            <w:tcBorders>
              <w:right w:val="single" w:sz="4" w:space="0" w:color="auto"/>
            </w:tcBorders>
            <w:shd w:val="clear" w:color="auto" w:fill="D9D9D9" w:themeFill="background1" w:themeFillShade="D9"/>
          </w:tcPr>
          <w:p w:rsidR="003454D1" w:rsidRDefault="008C651D">
            <w:pPr>
              <w:rPr>
                <w:rFonts w:asciiTheme="minorHAnsi" w:hAnsiTheme="minorHAnsi" w:cstheme="minorHAnsi"/>
                <w:noProof/>
              </w:rPr>
            </w:pPr>
            <w:r>
              <w:rPr>
                <w:rFonts w:asciiTheme="minorHAnsi" w:hAnsiTheme="minorHAnsi"/>
                <w:noProof/>
              </w:rPr>
              <w:t>Energigemenskapens tillsynsnämnd</w:t>
            </w:r>
          </w:p>
        </w:tc>
        <w:tc>
          <w:tcPr>
            <w:tcW w:w="387" w:type="dxa"/>
            <w:tcBorders>
              <w:top w:val="nil"/>
              <w:left w:val="single" w:sz="4" w:space="0" w:color="auto"/>
              <w:bottom w:val="nil"/>
              <w:right w:val="single" w:sz="4" w:space="0" w:color="auto"/>
            </w:tcBorders>
          </w:tcPr>
          <w:p w:rsidR="003454D1" w:rsidRDefault="003454D1">
            <w:pPr>
              <w:rPr>
                <w:rFonts w:asciiTheme="minorHAnsi" w:hAnsiTheme="minorHAnsi" w:cstheme="minorHAnsi"/>
                <w:noProof/>
              </w:rPr>
            </w:pPr>
          </w:p>
        </w:tc>
        <w:tc>
          <w:tcPr>
            <w:tcW w:w="2303" w:type="dxa"/>
            <w:tcBorders>
              <w:left w:val="single" w:sz="4" w:space="0" w:color="auto"/>
            </w:tcBorders>
            <w:vAlign w:val="center"/>
          </w:tcPr>
          <w:p w:rsidR="003454D1" w:rsidRDefault="008C651D">
            <w:pPr>
              <w:jc w:val="right"/>
              <w:rPr>
                <w:rFonts w:asciiTheme="minorHAnsi" w:hAnsiTheme="minorHAnsi" w:cstheme="minorHAnsi"/>
                <w:noProof/>
              </w:rPr>
            </w:pPr>
            <w:r>
              <w:rPr>
                <w:rFonts w:asciiTheme="minorHAnsi" w:hAnsiTheme="minorHAnsi"/>
                <w:noProof/>
              </w:rPr>
              <w:t>68 700</w:t>
            </w:r>
          </w:p>
        </w:tc>
        <w:tc>
          <w:tcPr>
            <w:tcW w:w="2303" w:type="dxa"/>
            <w:vAlign w:val="center"/>
          </w:tcPr>
          <w:p w:rsidR="003454D1" w:rsidRDefault="008C651D">
            <w:pPr>
              <w:jc w:val="right"/>
              <w:rPr>
                <w:rFonts w:asciiTheme="minorHAnsi" w:hAnsiTheme="minorHAnsi" w:cstheme="minorHAnsi"/>
                <w:noProof/>
              </w:rPr>
            </w:pPr>
            <w:r>
              <w:rPr>
                <w:rFonts w:asciiTheme="minorHAnsi" w:hAnsiTheme="minorHAnsi"/>
                <w:noProof/>
              </w:rPr>
              <w:t>68 700</w:t>
            </w:r>
          </w:p>
        </w:tc>
      </w:tr>
      <w:tr w:rsidR="003454D1">
        <w:trPr>
          <w:jc w:val="right"/>
        </w:trPr>
        <w:tc>
          <w:tcPr>
            <w:tcW w:w="4219" w:type="dxa"/>
            <w:tcBorders>
              <w:right w:val="single" w:sz="4" w:space="0" w:color="auto"/>
            </w:tcBorders>
            <w:shd w:val="clear" w:color="auto" w:fill="D9D9D9" w:themeFill="background1" w:themeFillShade="D9"/>
          </w:tcPr>
          <w:p w:rsidR="003454D1" w:rsidRDefault="008C651D">
            <w:pPr>
              <w:rPr>
                <w:rFonts w:asciiTheme="minorHAnsi" w:hAnsiTheme="minorHAnsi" w:cstheme="minorHAnsi"/>
                <w:noProof/>
              </w:rPr>
            </w:pPr>
            <w:r>
              <w:rPr>
                <w:rFonts w:asciiTheme="minorHAnsi" w:hAnsiTheme="minorHAnsi"/>
                <w:noProof/>
              </w:rPr>
              <w:t>Sekretariat</w:t>
            </w:r>
          </w:p>
          <w:p w:rsidR="003454D1" w:rsidRDefault="008C651D">
            <w:pPr>
              <w:rPr>
                <w:rFonts w:asciiTheme="minorHAnsi" w:hAnsiTheme="minorHAnsi" w:cstheme="minorHAnsi"/>
                <w:noProof/>
              </w:rPr>
            </w:pPr>
            <w:r>
              <w:rPr>
                <w:rFonts w:asciiTheme="minorHAnsi" w:hAnsiTheme="minorHAnsi"/>
                <w:noProof/>
                <w:sz w:val="18"/>
                <w:szCs w:val="18"/>
              </w:rPr>
              <w:t>(inkl. olika workshoppar/evenemang)</w:t>
            </w:r>
          </w:p>
        </w:tc>
        <w:tc>
          <w:tcPr>
            <w:tcW w:w="387" w:type="dxa"/>
            <w:tcBorders>
              <w:top w:val="nil"/>
              <w:left w:val="single" w:sz="4" w:space="0" w:color="auto"/>
              <w:bottom w:val="nil"/>
              <w:right w:val="single" w:sz="4" w:space="0" w:color="auto"/>
            </w:tcBorders>
          </w:tcPr>
          <w:p w:rsidR="003454D1" w:rsidRDefault="003454D1">
            <w:pPr>
              <w:rPr>
                <w:rFonts w:asciiTheme="minorHAnsi" w:hAnsiTheme="minorHAnsi" w:cstheme="minorHAnsi"/>
                <w:noProof/>
              </w:rPr>
            </w:pPr>
          </w:p>
        </w:tc>
        <w:tc>
          <w:tcPr>
            <w:tcW w:w="2303" w:type="dxa"/>
            <w:tcBorders>
              <w:left w:val="single" w:sz="4" w:space="0" w:color="auto"/>
            </w:tcBorders>
            <w:vAlign w:val="center"/>
          </w:tcPr>
          <w:p w:rsidR="003454D1" w:rsidRDefault="008C651D">
            <w:pPr>
              <w:jc w:val="right"/>
              <w:rPr>
                <w:rFonts w:asciiTheme="minorHAnsi" w:hAnsiTheme="minorHAnsi" w:cstheme="minorHAnsi"/>
                <w:noProof/>
              </w:rPr>
            </w:pPr>
            <w:r>
              <w:rPr>
                <w:rFonts w:asciiTheme="minorHAnsi" w:hAnsiTheme="minorHAnsi"/>
                <w:noProof/>
              </w:rPr>
              <w:t>201 100</w:t>
            </w:r>
          </w:p>
        </w:tc>
        <w:tc>
          <w:tcPr>
            <w:tcW w:w="2303" w:type="dxa"/>
            <w:vAlign w:val="center"/>
          </w:tcPr>
          <w:p w:rsidR="003454D1" w:rsidRDefault="008C651D">
            <w:pPr>
              <w:jc w:val="right"/>
              <w:rPr>
                <w:rFonts w:asciiTheme="minorHAnsi" w:hAnsiTheme="minorHAnsi" w:cstheme="minorHAnsi"/>
                <w:noProof/>
              </w:rPr>
            </w:pPr>
            <w:r>
              <w:rPr>
                <w:rFonts w:asciiTheme="minorHAnsi" w:hAnsiTheme="minorHAnsi"/>
                <w:noProof/>
              </w:rPr>
              <w:t>201 100</w:t>
            </w:r>
          </w:p>
        </w:tc>
      </w:tr>
      <w:tr w:rsidR="003454D1">
        <w:trPr>
          <w:jc w:val="right"/>
        </w:trPr>
        <w:tc>
          <w:tcPr>
            <w:tcW w:w="4219" w:type="dxa"/>
            <w:tcBorders>
              <w:right w:val="single" w:sz="4" w:space="0" w:color="auto"/>
            </w:tcBorders>
            <w:shd w:val="clear" w:color="auto" w:fill="D9D9D9" w:themeFill="background1" w:themeFillShade="D9"/>
          </w:tcPr>
          <w:p w:rsidR="003454D1" w:rsidRDefault="008C651D">
            <w:pPr>
              <w:rPr>
                <w:rFonts w:asciiTheme="minorHAnsi" w:hAnsiTheme="minorHAnsi" w:cstheme="minorHAnsi"/>
                <w:noProof/>
              </w:rPr>
            </w:pPr>
            <w:r>
              <w:rPr>
                <w:rFonts w:asciiTheme="minorHAnsi" w:hAnsiTheme="minorHAnsi"/>
                <w:noProof/>
              </w:rPr>
              <w:t>Forumet för el</w:t>
            </w:r>
          </w:p>
        </w:tc>
        <w:tc>
          <w:tcPr>
            <w:tcW w:w="387" w:type="dxa"/>
            <w:tcBorders>
              <w:top w:val="nil"/>
              <w:left w:val="single" w:sz="4" w:space="0" w:color="auto"/>
              <w:bottom w:val="nil"/>
              <w:right w:val="single" w:sz="4" w:space="0" w:color="auto"/>
            </w:tcBorders>
          </w:tcPr>
          <w:p w:rsidR="003454D1" w:rsidRDefault="003454D1">
            <w:pPr>
              <w:rPr>
                <w:rFonts w:asciiTheme="minorHAnsi" w:hAnsiTheme="minorHAnsi" w:cstheme="minorHAnsi"/>
                <w:noProof/>
              </w:rPr>
            </w:pPr>
          </w:p>
        </w:tc>
        <w:tc>
          <w:tcPr>
            <w:tcW w:w="2303" w:type="dxa"/>
            <w:tcBorders>
              <w:left w:val="single" w:sz="4" w:space="0" w:color="auto"/>
            </w:tcBorders>
            <w:vAlign w:val="center"/>
          </w:tcPr>
          <w:p w:rsidR="003454D1" w:rsidRDefault="008C651D">
            <w:pPr>
              <w:jc w:val="right"/>
              <w:rPr>
                <w:rFonts w:asciiTheme="minorHAnsi" w:hAnsiTheme="minorHAnsi" w:cstheme="minorHAnsi"/>
                <w:noProof/>
              </w:rPr>
            </w:pPr>
            <w:r>
              <w:rPr>
                <w:rFonts w:asciiTheme="minorHAnsi" w:hAnsiTheme="minorHAnsi"/>
                <w:noProof/>
              </w:rPr>
              <w:t>21 300</w:t>
            </w:r>
          </w:p>
        </w:tc>
        <w:tc>
          <w:tcPr>
            <w:tcW w:w="2303" w:type="dxa"/>
            <w:vAlign w:val="center"/>
          </w:tcPr>
          <w:p w:rsidR="003454D1" w:rsidRDefault="008C651D">
            <w:pPr>
              <w:jc w:val="right"/>
              <w:rPr>
                <w:rFonts w:asciiTheme="minorHAnsi" w:hAnsiTheme="minorHAnsi" w:cstheme="minorHAnsi"/>
                <w:noProof/>
              </w:rPr>
            </w:pPr>
            <w:r>
              <w:rPr>
                <w:rFonts w:asciiTheme="minorHAnsi" w:hAnsiTheme="minorHAnsi"/>
                <w:noProof/>
              </w:rPr>
              <w:t>21 300</w:t>
            </w:r>
          </w:p>
        </w:tc>
      </w:tr>
      <w:tr w:rsidR="003454D1">
        <w:trPr>
          <w:jc w:val="right"/>
        </w:trPr>
        <w:tc>
          <w:tcPr>
            <w:tcW w:w="4219" w:type="dxa"/>
            <w:tcBorders>
              <w:bottom w:val="single" w:sz="4" w:space="0" w:color="auto"/>
              <w:right w:val="single" w:sz="4" w:space="0" w:color="auto"/>
            </w:tcBorders>
            <w:shd w:val="clear" w:color="auto" w:fill="D9D9D9" w:themeFill="background1" w:themeFillShade="D9"/>
          </w:tcPr>
          <w:p w:rsidR="003454D1" w:rsidRDefault="008C651D">
            <w:pPr>
              <w:rPr>
                <w:rFonts w:asciiTheme="minorHAnsi" w:hAnsiTheme="minorHAnsi" w:cstheme="minorHAnsi"/>
                <w:noProof/>
              </w:rPr>
            </w:pPr>
            <w:r>
              <w:rPr>
                <w:rFonts w:asciiTheme="minorHAnsi" w:hAnsiTheme="minorHAnsi"/>
                <w:noProof/>
              </w:rPr>
              <w:t>Forumet för gas</w:t>
            </w:r>
          </w:p>
        </w:tc>
        <w:tc>
          <w:tcPr>
            <w:tcW w:w="387" w:type="dxa"/>
            <w:tcBorders>
              <w:top w:val="nil"/>
              <w:left w:val="single" w:sz="4" w:space="0" w:color="auto"/>
              <w:bottom w:val="nil"/>
              <w:right w:val="single" w:sz="4" w:space="0" w:color="auto"/>
            </w:tcBorders>
          </w:tcPr>
          <w:p w:rsidR="003454D1" w:rsidRDefault="003454D1">
            <w:pPr>
              <w:rPr>
                <w:rFonts w:asciiTheme="minorHAnsi" w:hAnsiTheme="minorHAnsi" w:cstheme="minorHAnsi"/>
                <w:noProof/>
              </w:rPr>
            </w:pPr>
          </w:p>
        </w:tc>
        <w:tc>
          <w:tcPr>
            <w:tcW w:w="2303" w:type="dxa"/>
            <w:tcBorders>
              <w:left w:val="single" w:sz="4" w:space="0" w:color="auto"/>
            </w:tcBorders>
            <w:vAlign w:val="center"/>
          </w:tcPr>
          <w:p w:rsidR="003454D1" w:rsidRDefault="008C651D">
            <w:pPr>
              <w:jc w:val="right"/>
              <w:rPr>
                <w:rFonts w:asciiTheme="minorHAnsi" w:hAnsiTheme="minorHAnsi" w:cstheme="minorHAnsi"/>
                <w:noProof/>
              </w:rPr>
            </w:pPr>
            <w:r>
              <w:rPr>
                <w:rFonts w:asciiTheme="minorHAnsi" w:hAnsiTheme="minorHAnsi"/>
                <w:noProof/>
              </w:rPr>
              <w:t>20 800</w:t>
            </w:r>
          </w:p>
        </w:tc>
        <w:tc>
          <w:tcPr>
            <w:tcW w:w="2303" w:type="dxa"/>
            <w:vAlign w:val="center"/>
          </w:tcPr>
          <w:p w:rsidR="003454D1" w:rsidRDefault="008C651D">
            <w:pPr>
              <w:jc w:val="right"/>
              <w:rPr>
                <w:rFonts w:asciiTheme="minorHAnsi" w:hAnsiTheme="minorHAnsi" w:cstheme="minorHAnsi"/>
                <w:noProof/>
              </w:rPr>
            </w:pPr>
            <w:r>
              <w:rPr>
                <w:rFonts w:asciiTheme="minorHAnsi" w:hAnsiTheme="minorHAnsi"/>
                <w:noProof/>
              </w:rPr>
              <w:t>20 800</w:t>
            </w:r>
          </w:p>
        </w:tc>
      </w:tr>
      <w:tr w:rsidR="003454D1">
        <w:trPr>
          <w:jc w:val="right"/>
        </w:trPr>
        <w:tc>
          <w:tcPr>
            <w:tcW w:w="4219" w:type="dxa"/>
            <w:tcBorders>
              <w:bottom w:val="single" w:sz="4" w:space="0" w:color="auto"/>
              <w:right w:val="single" w:sz="4" w:space="0" w:color="auto"/>
            </w:tcBorders>
            <w:shd w:val="clear" w:color="auto" w:fill="D9D9D9" w:themeFill="background1" w:themeFillShade="D9"/>
          </w:tcPr>
          <w:p w:rsidR="003454D1" w:rsidRDefault="008C651D">
            <w:pPr>
              <w:rPr>
                <w:rFonts w:asciiTheme="minorHAnsi" w:hAnsiTheme="minorHAnsi" w:cstheme="minorHAnsi"/>
                <w:noProof/>
              </w:rPr>
            </w:pPr>
            <w:r>
              <w:rPr>
                <w:rFonts w:asciiTheme="minorHAnsi" w:hAnsiTheme="minorHAnsi"/>
                <w:noProof/>
              </w:rPr>
              <w:t>Forumet för olja</w:t>
            </w:r>
          </w:p>
        </w:tc>
        <w:tc>
          <w:tcPr>
            <w:tcW w:w="387" w:type="dxa"/>
            <w:tcBorders>
              <w:top w:val="nil"/>
              <w:left w:val="single" w:sz="4" w:space="0" w:color="auto"/>
              <w:bottom w:val="nil"/>
              <w:right w:val="single" w:sz="4" w:space="0" w:color="auto"/>
            </w:tcBorders>
          </w:tcPr>
          <w:p w:rsidR="003454D1" w:rsidRDefault="003454D1">
            <w:pPr>
              <w:rPr>
                <w:rFonts w:asciiTheme="minorHAnsi" w:hAnsiTheme="minorHAnsi" w:cstheme="minorHAnsi"/>
                <w:noProof/>
              </w:rPr>
            </w:pPr>
          </w:p>
        </w:tc>
        <w:tc>
          <w:tcPr>
            <w:tcW w:w="2303" w:type="dxa"/>
            <w:tcBorders>
              <w:left w:val="single" w:sz="4" w:space="0" w:color="auto"/>
            </w:tcBorders>
            <w:vAlign w:val="center"/>
          </w:tcPr>
          <w:p w:rsidR="003454D1" w:rsidRDefault="008C651D">
            <w:pPr>
              <w:jc w:val="right"/>
              <w:rPr>
                <w:rFonts w:asciiTheme="minorHAnsi" w:hAnsiTheme="minorHAnsi" w:cstheme="minorHAnsi"/>
                <w:noProof/>
              </w:rPr>
            </w:pPr>
            <w:r>
              <w:rPr>
                <w:rFonts w:asciiTheme="minorHAnsi" w:hAnsiTheme="minorHAnsi"/>
                <w:noProof/>
              </w:rPr>
              <w:t>20 800</w:t>
            </w:r>
          </w:p>
        </w:tc>
        <w:tc>
          <w:tcPr>
            <w:tcW w:w="2303" w:type="dxa"/>
            <w:vAlign w:val="center"/>
          </w:tcPr>
          <w:p w:rsidR="003454D1" w:rsidRDefault="008C651D">
            <w:pPr>
              <w:jc w:val="right"/>
              <w:rPr>
                <w:rFonts w:asciiTheme="minorHAnsi" w:hAnsiTheme="minorHAnsi" w:cstheme="minorHAnsi"/>
                <w:noProof/>
              </w:rPr>
            </w:pPr>
            <w:r>
              <w:rPr>
                <w:rFonts w:asciiTheme="minorHAnsi" w:hAnsiTheme="minorHAnsi"/>
                <w:noProof/>
              </w:rPr>
              <w:t>20 800</w:t>
            </w:r>
          </w:p>
        </w:tc>
      </w:tr>
      <w:tr w:rsidR="003454D1">
        <w:trPr>
          <w:trHeight w:val="356"/>
          <w:jc w:val="right"/>
        </w:trPr>
        <w:tc>
          <w:tcPr>
            <w:tcW w:w="4219" w:type="dxa"/>
            <w:tcBorders>
              <w:top w:val="single" w:sz="4" w:space="0" w:color="auto"/>
              <w:left w:val="nil"/>
              <w:bottom w:val="nil"/>
              <w:right w:val="nil"/>
            </w:tcBorders>
          </w:tcPr>
          <w:p w:rsidR="003454D1" w:rsidRDefault="008C651D">
            <w:pPr>
              <w:rPr>
                <w:rFonts w:asciiTheme="minorHAnsi" w:hAnsiTheme="minorHAnsi" w:cstheme="minorHAnsi"/>
                <w:b/>
                <w:noProof/>
              </w:rPr>
            </w:pPr>
            <w:r>
              <w:rPr>
                <w:rFonts w:asciiTheme="minorHAnsi" w:hAnsiTheme="minorHAnsi"/>
                <w:b/>
                <w:noProof/>
              </w:rPr>
              <w:t>TOTALT</w:t>
            </w:r>
          </w:p>
        </w:tc>
        <w:tc>
          <w:tcPr>
            <w:tcW w:w="387" w:type="dxa"/>
            <w:tcBorders>
              <w:top w:val="nil"/>
              <w:left w:val="nil"/>
              <w:bottom w:val="nil"/>
              <w:right w:val="single" w:sz="4" w:space="0" w:color="auto"/>
            </w:tcBorders>
          </w:tcPr>
          <w:p w:rsidR="003454D1" w:rsidRDefault="003454D1">
            <w:pPr>
              <w:rPr>
                <w:rFonts w:asciiTheme="minorHAnsi" w:hAnsiTheme="minorHAnsi" w:cstheme="minorHAnsi"/>
                <w:noProof/>
              </w:rPr>
            </w:pPr>
          </w:p>
        </w:tc>
        <w:tc>
          <w:tcPr>
            <w:tcW w:w="2303" w:type="dxa"/>
            <w:tcBorders>
              <w:left w:val="single" w:sz="4" w:space="0" w:color="auto"/>
            </w:tcBorders>
            <w:shd w:val="clear" w:color="auto" w:fill="D9D9D9" w:themeFill="background1" w:themeFillShade="D9"/>
            <w:vAlign w:val="center"/>
          </w:tcPr>
          <w:p w:rsidR="003454D1" w:rsidRDefault="008C651D">
            <w:pPr>
              <w:jc w:val="right"/>
              <w:rPr>
                <w:rFonts w:asciiTheme="minorHAnsi" w:hAnsiTheme="minorHAnsi" w:cstheme="minorHAnsi"/>
                <w:b/>
                <w:noProof/>
              </w:rPr>
            </w:pPr>
            <w:r>
              <w:rPr>
                <w:rFonts w:asciiTheme="minorHAnsi" w:hAnsiTheme="minorHAnsi"/>
                <w:b/>
                <w:noProof/>
              </w:rPr>
              <w:t>506 000</w:t>
            </w:r>
          </w:p>
        </w:tc>
        <w:tc>
          <w:tcPr>
            <w:tcW w:w="2303" w:type="dxa"/>
            <w:shd w:val="clear" w:color="auto" w:fill="D9D9D9" w:themeFill="background1" w:themeFillShade="D9"/>
            <w:vAlign w:val="center"/>
          </w:tcPr>
          <w:p w:rsidR="003454D1" w:rsidRDefault="008C651D">
            <w:pPr>
              <w:jc w:val="right"/>
              <w:rPr>
                <w:rFonts w:asciiTheme="minorHAnsi" w:hAnsiTheme="minorHAnsi" w:cstheme="minorHAnsi"/>
                <w:b/>
                <w:noProof/>
              </w:rPr>
            </w:pPr>
            <w:r>
              <w:rPr>
                <w:rFonts w:asciiTheme="minorHAnsi" w:hAnsiTheme="minorHAnsi"/>
                <w:b/>
                <w:noProof/>
              </w:rPr>
              <w:t>506 000</w:t>
            </w:r>
          </w:p>
        </w:tc>
      </w:tr>
    </w:tbl>
    <w:p w:rsidR="003454D1" w:rsidRDefault="008C651D">
      <w:pPr>
        <w:spacing w:before="0" w:after="200" w:line="276" w:lineRule="auto"/>
        <w:jc w:val="left"/>
        <w:rPr>
          <w:b/>
          <w:noProof/>
        </w:rPr>
      </w:pPr>
      <w:r>
        <w:rPr>
          <w:noProof/>
        </w:rPr>
        <w:br w:type="page"/>
      </w:r>
    </w:p>
    <w:p w:rsidR="003454D1" w:rsidRDefault="003454D1">
      <w:pPr>
        <w:rPr>
          <w:b/>
          <w:noProof/>
        </w:rPr>
      </w:pPr>
    </w:p>
    <w:p w:rsidR="003454D1" w:rsidRDefault="003454D1">
      <w:pPr>
        <w:rPr>
          <w:noProof/>
        </w:rPr>
      </w:pPr>
    </w:p>
    <w:p w:rsidR="003454D1" w:rsidRDefault="008C651D">
      <w:pPr>
        <w:pStyle w:val="NumPar1"/>
        <w:rPr>
          <w:noProof/>
        </w:rPr>
      </w:pPr>
      <w:r>
        <w:rPr>
          <w:noProof/>
        </w:rPr>
        <w:t xml:space="preserve">Bilaga IV till fördraget: Tabell över parternas bidrag 2020–2021   </w:t>
      </w:r>
    </w:p>
    <w:p w:rsidR="003454D1" w:rsidRDefault="003454D1">
      <w:pPr>
        <w:pStyle w:val="Text1"/>
        <w:rPr>
          <w:noProof/>
        </w:rPr>
      </w:pPr>
    </w:p>
    <w:p w:rsidR="003454D1" w:rsidRDefault="008C651D">
      <w:pPr>
        <w:rPr>
          <w:b/>
          <w:noProof/>
          <w:color w:val="000000"/>
        </w:rPr>
      </w:pPr>
      <w:r>
        <w:rPr>
          <w:b/>
          <w:noProof/>
        </w:rPr>
        <w:t xml:space="preserve">BILAGA IV till fördraget om upprättande av energigemenskapen </w:t>
      </w:r>
    </w:p>
    <w:p w:rsidR="003454D1" w:rsidRDefault="008C651D">
      <w:pPr>
        <w:rPr>
          <w:b/>
          <w:noProof/>
        </w:rPr>
      </w:pPr>
      <w:r>
        <w:rPr>
          <w:b/>
          <w:noProof/>
        </w:rPr>
        <w:t>Budgetperiod 2020–2021</w:t>
      </w:r>
    </w:p>
    <w:tbl>
      <w:tblPr>
        <w:tblW w:w="9250" w:type="dxa"/>
        <w:tblLayout w:type="fixed"/>
        <w:tblCellMar>
          <w:left w:w="10" w:type="dxa"/>
          <w:right w:w="10" w:type="dxa"/>
        </w:tblCellMar>
        <w:tblLook w:val="0000" w:firstRow="0" w:lastRow="0" w:firstColumn="0" w:lastColumn="0" w:noHBand="0" w:noVBand="0"/>
      </w:tblPr>
      <w:tblGrid>
        <w:gridCol w:w="3010"/>
        <w:gridCol w:w="1560"/>
        <w:gridCol w:w="2160"/>
        <w:gridCol w:w="2520"/>
      </w:tblGrid>
      <w:tr w:rsidR="003454D1">
        <w:trPr>
          <w:trHeight w:hRule="exact" w:val="874"/>
        </w:trPr>
        <w:tc>
          <w:tcPr>
            <w:tcW w:w="3010" w:type="dxa"/>
            <w:tcBorders>
              <w:top w:val="single" w:sz="4" w:space="0" w:color="auto"/>
              <w:left w:val="single" w:sz="4" w:space="0" w:color="auto"/>
            </w:tcBorders>
            <w:shd w:val="clear" w:color="auto" w:fill="D9D9D9"/>
            <w:vAlign w:val="center"/>
          </w:tcPr>
          <w:p w:rsidR="003454D1" w:rsidRDefault="008C651D">
            <w:pPr>
              <w:pStyle w:val="Bodytext20"/>
              <w:shd w:val="clear" w:color="auto" w:fill="auto"/>
              <w:spacing w:before="0" w:after="0" w:line="240" w:lineRule="auto"/>
              <w:ind w:firstLine="0"/>
              <w:jc w:val="center"/>
              <w:rPr>
                <w:noProof/>
                <w:sz w:val="18"/>
                <w:szCs w:val="18"/>
                <w:highlight w:val="lightGray"/>
              </w:rPr>
            </w:pPr>
            <w:r>
              <w:rPr>
                <w:rStyle w:val="Bodytext265ptBold"/>
                <w:noProof/>
                <w:sz w:val="18"/>
                <w:szCs w:val="18"/>
                <w:highlight w:val="lightGray"/>
              </w:rPr>
              <w:t>Parter</w:t>
            </w:r>
          </w:p>
        </w:tc>
        <w:tc>
          <w:tcPr>
            <w:tcW w:w="1560" w:type="dxa"/>
            <w:tcBorders>
              <w:top w:val="single" w:sz="4" w:space="0" w:color="auto"/>
              <w:left w:val="single" w:sz="4" w:space="0" w:color="auto"/>
            </w:tcBorders>
            <w:shd w:val="clear" w:color="auto" w:fill="D9D9D9"/>
            <w:vAlign w:val="center"/>
          </w:tcPr>
          <w:p w:rsidR="003454D1" w:rsidRDefault="008C651D">
            <w:pPr>
              <w:pStyle w:val="Bodytext20"/>
              <w:shd w:val="clear" w:color="auto" w:fill="auto"/>
              <w:spacing w:before="0" w:after="0" w:line="240" w:lineRule="auto"/>
              <w:ind w:firstLine="0"/>
              <w:jc w:val="left"/>
              <w:rPr>
                <w:noProof/>
                <w:sz w:val="18"/>
                <w:szCs w:val="18"/>
                <w:highlight w:val="lightGray"/>
              </w:rPr>
            </w:pPr>
            <w:r>
              <w:rPr>
                <w:rStyle w:val="Bodytext265ptBold"/>
                <w:noProof/>
                <w:sz w:val="18"/>
                <w:szCs w:val="18"/>
                <w:highlight w:val="lightGray"/>
              </w:rPr>
              <w:t>Bidrag</w:t>
            </w:r>
          </w:p>
          <w:p w:rsidR="003454D1" w:rsidRDefault="008C651D">
            <w:pPr>
              <w:pStyle w:val="Bodytext20"/>
              <w:shd w:val="clear" w:color="auto" w:fill="auto"/>
              <w:spacing w:before="0" w:after="0" w:line="240" w:lineRule="auto"/>
              <w:ind w:firstLine="0"/>
              <w:jc w:val="center"/>
              <w:rPr>
                <w:noProof/>
                <w:sz w:val="18"/>
                <w:szCs w:val="18"/>
                <w:highlight w:val="lightGray"/>
              </w:rPr>
            </w:pPr>
            <w:r>
              <w:rPr>
                <w:rStyle w:val="Bodytext265ptBold"/>
                <w:noProof/>
                <w:sz w:val="18"/>
                <w:szCs w:val="18"/>
                <w:highlight w:val="lightGray"/>
              </w:rPr>
              <w:t>i %</w:t>
            </w:r>
          </w:p>
        </w:tc>
        <w:tc>
          <w:tcPr>
            <w:tcW w:w="2160" w:type="dxa"/>
            <w:tcBorders>
              <w:top w:val="single" w:sz="4" w:space="0" w:color="auto"/>
              <w:left w:val="single" w:sz="4" w:space="0" w:color="auto"/>
            </w:tcBorders>
            <w:shd w:val="clear" w:color="auto" w:fill="D9D9D9"/>
            <w:vAlign w:val="bottom"/>
          </w:tcPr>
          <w:p w:rsidR="003454D1" w:rsidRDefault="008C651D">
            <w:pPr>
              <w:pStyle w:val="Bodytext20"/>
              <w:shd w:val="clear" w:color="auto" w:fill="auto"/>
              <w:spacing w:before="0" w:after="0" w:line="240" w:lineRule="auto"/>
              <w:ind w:left="45" w:firstLine="0"/>
              <w:jc w:val="center"/>
              <w:rPr>
                <w:rStyle w:val="Bodytext265ptBold"/>
                <w:noProof/>
                <w:sz w:val="18"/>
                <w:szCs w:val="18"/>
                <w:highlight w:val="lightGray"/>
              </w:rPr>
            </w:pPr>
            <w:r>
              <w:rPr>
                <w:rStyle w:val="Bodytext265ptBold"/>
                <w:noProof/>
                <w:sz w:val="18"/>
                <w:szCs w:val="18"/>
                <w:highlight w:val="lightGray"/>
              </w:rPr>
              <w:t xml:space="preserve">Bidrag i budget 2020 </w:t>
            </w:r>
          </w:p>
          <w:p w:rsidR="003454D1" w:rsidRDefault="008C651D">
            <w:pPr>
              <w:pStyle w:val="Bodytext20"/>
              <w:shd w:val="clear" w:color="auto" w:fill="auto"/>
              <w:spacing w:before="0" w:after="0" w:line="240" w:lineRule="auto"/>
              <w:ind w:left="45" w:firstLine="0"/>
              <w:jc w:val="center"/>
              <w:rPr>
                <w:b/>
                <w:noProof/>
                <w:sz w:val="18"/>
                <w:szCs w:val="18"/>
                <w:highlight w:val="lightGray"/>
              </w:rPr>
            </w:pPr>
            <w:r>
              <w:rPr>
                <w:rStyle w:val="Bodytext265ptBold"/>
                <w:b w:val="0"/>
                <w:noProof/>
                <w:sz w:val="18"/>
                <w:szCs w:val="18"/>
                <w:highlight w:val="lightGray"/>
              </w:rPr>
              <w:t>(i euro)</w:t>
            </w:r>
          </w:p>
        </w:tc>
        <w:tc>
          <w:tcPr>
            <w:tcW w:w="2520" w:type="dxa"/>
            <w:tcBorders>
              <w:top w:val="single" w:sz="4" w:space="0" w:color="auto"/>
              <w:left w:val="single" w:sz="4" w:space="0" w:color="auto"/>
              <w:right w:val="single" w:sz="4" w:space="0" w:color="auto"/>
            </w:tcBorders>
            <w:shd w:val="clear" w:color="auto" w:fill="D9D9D9"/>
            <w:vAlign w:val="center"/>
          </w:tcPr>
          <w:p w:rsidR="003454D1" w:rsidRDefault="008C651D">
            <w:pPr>
              <w:pStyle w:val="Bodytext20"/>
              <w:shd w:val="clear" w:color="auto" w:fill="auto"/>
              <w:spacing w:before="0" w:after="0" w:line="240" w:lineRule="auto"/>
              <w:ind w:left="440" w:firstLine="0"/>
              <w:jc w:val="left"/>
              <w:rPr>
                <w:noProof/>
                <w:sz w:val="18"/>
                <w:szCs w:val="18"/>
                <w:highlight w:val="lightGray"/>
              </w:rPr>
            </w:pPr>
            <w:r>
              <w:rPr>
                <w:rStyle w:val="Bodytext265ptBold"/>
                <w:noProof/>
                <w:sz w:val="18"/>
                <w:szCs w:val="18"/>
                <w:highlight w:val="lightGray"/>
              </w:rPr>
              <w:t>Bidrag i budget 2021</w:t>
            </w:r>
          </w:p>
          <w:p w:rsidR="003454D1" w:rsidRDefault="008C651D">
            <w:pPr>
              <w:pStyle w:val="Bodytext20"/>
              <w:shd w:val="clear" w:color="auto" w:fill="auto"/>
              <w:spacing w:before="0" w:after="0" w:line="240" w:lineRule="auto"/>
              <w:ind w:firstLine="0"/>
              <w:jc w:val="center"/>
              <w:rPr>
                <w:b/>
                <w:noProof/>
                <w:sz w:val="18"/>
                <w:szCs w:val="18"/>
                <w:highlight w:val="lightGray"/>
              </w:rPr>
            </w:pPr>
            <w:r>
              <w:rPr>
                <w:rStyle w:val="Bodytext265ptBold"/>
                <w:b w:val="0"/>
                <w:noProof/>
                <w:sz w:val="18"/>
                <w:szCs w:val="18"/>
                <w:highlight w:val="lightGray"/>
              </w:rPr>
              <w:t>(i euro)</w:t>
            </w:r>
          </w:p>
        </w:tc>
      </w:tr>
      <w:tr w:rsidR="003454D1">
        <w:trPr>
          <w:trHeight w:hRule="exact" w:val="549"/>
        </w:trPr>
        <w:tc>
          <w:tcPr>
            <w:tcW w:w="3010" w:type="dxa"/>
            <w:tcBorders>
              <w:top w:val="single" w:sz="4" w:space="0" w:color="auto"/>
              <w:left w:val="single" w:sz="4" w:space="0" w:color="auto"/>
            </w:tcBorders>
            <w:shd w:val="clear" w:color="auto" w:fill="D9D9D9"/>
            <w:vAlign w:val="center"/>
          </w:tcPr>
          <w:p w:rsidR="003454D1" w:rsidRDefault="008C651D">
            <w:pPr>
              <w:pStyle w:val="Bodytext20"/>
              <w:shd w:val="clear" w:color="auto" w:fill="auto"/>
              <w:spacing w:before="0" w:after="0" w:line="240" w:lineRule="auto"/>
              <w:ind w:right="239" w:firstLine="0"/>
              <w:jc w:val="right"/>
              <w:rPr>
                <w:noProof/>
                <w:sz w:val="18"/>
                <w:szCs w:val="18"/>
                <w:highlight w:val="lightGray"/>
              </w:rPr>
            </w:pPr>
            <w:r>
              <w:rPr>
                <w:rStyle w:val="Bodytext265ptItalic"/>
                <w:noProof/>
                <w:sz w:val="18"/>
                <w:szCs w:val="18"/>
                <w:highlight w:val="lightGray"/>
              </w:rPr>
              <w:t>Europeiska unionen</w:t>
            </w:r>
          </w:p>
        </w:tc>
        <w:tc>
          <w:tcPr>
            <w:tcW w:w="156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center"/>
              <w:rPr>
                <w:noProof/>
                <w:sz w:val="18"/>
                <w:szCs w:val="18"/>
              </w:rPr>
            </w:pPr>
            <w:r>
              <w:rPr>
                <w:rStyle w:val="Bodytext265ptItalic"/>
                <w:noProof/>
                <w:sz w:val="18"/>
                <w:szCs w:val="18"/>
              </w:rPr>
              <w:t>94,78 %</w:t>
            </w:r>
          </w:p>
        </w:tc>
        <w:tc>
          <w:tcPr>
            <w:tcW w:w="216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4 560 883</w:t>
            </w:r>
          </w:p>
        </w:tc>
        <w:tc>
          <w:tcPr>
            <w:tcW w:w="2520" w:type="dxa"/>
            <w:tcBorders>
              <w:top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4 560 883</w:t>
            </w:r>
          </w:p>
        </w:tc>
      </w:tr>
      <w:tr w:rsidR="003454D1">
        <w:trPr>
          <w:trHeight w:hRule="exact" w:val="529"/>
        </w:trPr>
        <w:tc>
          <w:tcPr>
            <w:tcW w:w="3010" w:type="dxa"/>
            <w:tcBorders>
              <w:left w:val="single" w:sz="4" w:space="0" w:color="auto"/>
            </w:tcBorders>
            <w:shd w:val="clear" w:color="auto" w:fill="D9D9D9"/>
            <w:vAlign w:val="center"/>
          </w:tcPr>
          <w:p w:rsidR="003454D1" w:rsidRDefault="008C651D">
            <w:pPr>
              <w:pStyle w:val="Bodytext20"/>
              <w:shd w:val="clear" w:color="auto" w:fill="auto"/>
              <w:spacing w:before="0" w:after="0" w:line="240" w:lineRule="auto"/>
              <w:ind w:right="239" w:firstLine="0"/>
              <w:jc w:val="right"/>
              <w:rPr>
                <w:noProof/>
                <w:sz w:val="18"/>
                <w:szCs w:val="18"/>
                <w:highlight w:val="lightGray"/>
              </w:rPr>
            </w:pPr>
            <w:r>
              <w:rPr>
                <w:rStyle w:val="Bodytext265ptItalic"/>
                <w:noProof/>
                <w:sz w:val="18"/>
                <w:szCs w:val="18"/>
                <w:highlight w:val="lightGray"/>
              </w:rPr>
              <w:t>Republiken Albanien</w:t>
            </w:r>
          </w:p>
        </w:tc>
        <w:tc>
          <w:tcPr>
            <w:tcW w:w="15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center"/>
              <w:rPr>
                <w:noProof/>
                <w:sz w:val="18"/>
                <w:szCs w:val="18"/>
              </w:rPr>
            </w:pPr>
            <w:r>
              <w:rPr>
                <w:rStyle w:val="Bodytext265ptItalic"/>
                <w:noProof/>
                <w:sz w:val="18"/>
                <w:szCs w:val="18"/>
              </w:rPr>
              <w:t>0,09 %</w:t>
            </w:r>
          </w:p>
        </w:tc>
        <w:tc>
          <w:tcPr>
            <w:tcW w:w="21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4 331</w:t>
            </w:r>
          </w:p>
        </w:tc>
        <w:tc>
          <w:tcPr>
            <w:tcW w:w="2520" w:type="dxa"/>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4 331</w:t>
            </w:r>
          </w:p>
        </w:tc>
      </w:tr>
      <w:tr w:rsidR="003454D1">
        <w:trPr>
          <w:trHeight w:hRule="exact" w:val="542"/>
        </w:trPr>
        <w:tc>
          <w:tcPr>
            <w:tcW w:w="3010" w:type="dxa"/>
            <w:tcBorders>
              <w:left w:val="single" w:sz="4" w:space="0" w:color="auto"/>
            </w:tcBorders>
            <w:shd w:val="clear" w:color="auto" w:fill="D9D9D9"/>
            <w:vAlign w:val="center"/>
          </w:tcPr>
          <w:p w:rsidR="003454D1" w:rsidRDefault="008C651D">
            <w:pPr>
              <w:pStyle w:val="Bodytext20"/>
              <w:shd w:val="clear" w:color="auto" w:fill="auto"/>
              <w:spacing w:before="0" w:after="0" w:line="240" w:lineRule="auto"/>
              <w:ind w:right="239" w:firstLine="0"/>
              <w:jc w:val="right"/>
              <w:rPr>
                <w:noProof/>
                <w:sz w:val="18"/>
                <w:szCs w:val="18"/>
                <w:highlight w:val="lightGray"/>
              </w:rPr>
            </w:pPr>
            <w:r>
              <w:rPr>
                <w:rStyle w:val="Bodytext265ptItalic"/>
                <w:noProof/>
                <w:sz w:val="18"/>
                <w:szCs w:val="18"/>
                <w:highlight w:val="lightGray"/>
              </w:rPr>
              <w:t>Bosnien och Hercegovina</w:t>
            </w:r>
          </w:p>
        </w:tc>
        <w:tc>
          <w:tcPr>
            <w:tcW w:w="15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center"/>
              <w:rPr>
                <w:noProof/>
                <w:sz w:val="18"/>
                <w:szCs w:val="18"/>
              </w:rPr>
            </w:pPr>
            <w:r>
              <w:rPr>
                <w:rStyle w:val="Bodytext265ptItalic"/>
                <w:noProof/>
                <w:sz w:val="18"/>
                <w:szCs w:val="18"/>
              </w:rPr>
              <w:t>0,20 %</w:t>
            </w:r>
          </w:p>
        </w:tc>
        <w:tc>
          <w:tcPr>
            <w:tcW w:w="21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9 624</w:t>
            </w:r>
          </w:p>
        </w:tc>
        <w:tc>
          <w:tcPr>
            <w:tcW w:w="2520" w:type="dxa"/>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9 624</w:t>
            </w:r>
          </w:p>
        </w:tc>
      </w:tr>
      <w:tr w:rsidR="003454D1">
        <w:trPr>
          <w:trHeight w:hRule="exact" w:val="535"/>
        </w:trPr>
        <w:tc>
          <w:tcPr>
            <w:tcW w:w="3010" w:type="dxa"/>
            <w:tcBorders>
              <w:left w:val="single" w:sz="4" w:space="0" w:color="auto"/>
            </w:tcBorders>
            <w:shd w:val="clear" w:color="auto" w:fill="D9D9D9"/>
            <w:vAlign w:val="center"/>
          </w:tcPr>
          <w:p w:rsidR="003454D1" w:rsidRDefault="008C651D">
            <w:pPr>
              <w:pStyle w:val="Bodytext20"/>
              <w:shd w:val="clear" w:color="auto" w:fill="auto"/>
              <w:spacing w:before="0" w:after="0" w:line="240" w:lineRule="auto"/>
              <w:ind w:right="239" w:firstLine="0"/>
              <w:jc w:val="right"/>
              <w:rPr>
                <w:noProof/>
                <w:sz w:val="18"/>
                <w:szCs w:val="18"/>
                <w:highlight w:val="lightGray"/>
              </w:rPr>
            </w:pPr>
            <w:r>
              <w:rPr>
                <w:rStyle w:val="Bodytext265ptItalic"/>
                <w:noProof/>
                <w:sz w:val="18"/>
                <w:szCs w:val="18"/>
                <w:highlight w:val="lightGray"/>
              </w:rPr>
              <w:t>Georgien</w:t>
            </w:r>
          </w:p>
        </w:tc>
        <w:tc>
          <w:tcPr>
            <w:tcW w:w="15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center"/>
              <w:rPr>
                <w:noProof/>
                <w:sz w:val="18"/>
                <w:szCs w:val="18"/>
              </w:rPr>
            </w:pPr>
            <w:r>
              <w:rPr>
                <w:rStyle w:val="Bodytext265ptItalic"/>
                <w:noProof/>
                <w:sz w:val="18"/>
                <w:szCs w:val="18"/>
              </w:rPr>
              <w:t>0,11 %</w:t>
            </w:r>
          </w:p>
        </w:tc>
        <w:tc>
          <w:tcPr>
            <w:tcW w:w="21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5 293</w:t>
            </w:r>
          </w:p>
        </w:tc>
        <w:tc>
          <w:tcPr>
            <w:tcW w:w="2520" w:type="dxa"/>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5 293</w:t>
            </w:r>
          </w:p>
        </w:tc>
      </w:tr>
      <w:tr w:rsidR="003454D1">
        <w:trPr>
          <w:trHeight w:hRule="exact" w:val="517"/>
        </w:trPr>
        <w:tc>
          <w:tcPr>
            <w:tcW w:w="3010" w:type="dxa"/>
            <w:tcBorders>
              <w:left w:val="single" w:sz="4" w:space="0" w:color="auto"/>
            </w:tcBorders>
            <w:shd w:val="clear" w:color="auto" w:fill="D9D9D9"/>
            <w:vAlign w:val="center"/>
          </w:tcPr>
          <w:p w:rsidR="003454D1" w:rsidRDefault="008C651D">
            <w:pPr>
              <w:pStyle w:val="Bodytext20"/>
              <w:shd w:val="clear" w:color="auto" w:fill="auto"/>
              <w:spacing w:before="0" w:after="0" w:line="240" w:lineRule="auto"/>
              <w:ind w:right="239" w:firstLine="0"/>
              <w:jc w:val="right"/>
              <w:rPr>
                <w:noProof/>
                <w:sz w:val="18"/>
                <w:szCs w:val="18"/>
                <w:highlight w:val="lightGray"/>
              </w:rPr>
            </w:pPr>
            <w:r>
              <w:rPr>
                <w:rStyle w:val="Bodytext265ptItalic"/>
                <w:noProof/>
                <w:sz w:val="18"/>
                <w:szCs w:val="18"/>
                <w:highlight w:val="lightGray"/>
              </w:rPr>
              <w:t>Kosovo*</w:t>
            </w:r>
          </w:p>
        </w:tc>
        <w:tc>
          <w:tcPr>
            <w:tcW w:w="15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center"/>
              <w:rPr>
                <w:noProof/>
                <w:sz w:val="18"/>
                <w:szCs w:val="18"/>
              </w:rPr>
            </w:pPr>
            <w:r>
              <w:rPr>
                <w:rStyle w:val="Bodytext265ptItalic"/>
                <w:noProof/>
                <w:sz w:val="18"/>
                <w:szCs w:val="18"/>
              </w:rPr>
              <w:t>0,07 %</w:t>
            </w:r>
          </w:p>
        </w:tc>
        <w:tc>
          <w:tcPr>
            <w:tcW w:w="21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3 368</w:t>
            </w:r>
          </w:p>
        </w:tc>
        <w:tc>
          <w:tcPr>
            <w:tcW w:w="2520" w:type="dxa"/>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3 368</w:t>
            </w:r>
          </w:p>
        </w:tc>
      </w:tr>
      <w:tr w:rsidR="003454D1">
        <w:trPr>
          <w:trHeight w:hRule="exact" w:val="535"/>
        </w:trPr>
        <w:tc>
          <w:tcPr>
            <w:tcW w:w="3010" w:type="dxa"/>
            <w:tcBorders>
              <w:left w:val="single" w:sz="4" w:space="0" w:color="auto"/>
            </w:tcBorders>
            <w:shd w:val="clear" w:color="auto" w:fill="D9D9D9"/>
            <w:vAlign w:val="center"/>
          </w:tcPr>
          <w:p w:rsidR="003454D1" w:rsidRDefault="008C651D">
            <w:pPr>
              <w:pStyle w:val="Bodytext20"/>
              <w:shd w:val="clear" w:color="auto" w:fill="auto"/>
              <w:spacing w:before="0" w:after="0" w:line="240" w:lineRule="auto"/>
              <w:ind w:right="239" w:firstLine="0"/>
              <w:jc w:val="right"/>
              <w:rPr>
                <w:noProof/>
                <w:sz w:val="18"/>
                <w:szCs w:val="18"/>
                <w:highlight w:val="lightGray"/>
              </w:rPr>
            </w:pPr>
            <w:r>
              <w:rPr>
                <w:rStyle w:val="Bodytext265ptItalic"/>
                <w:noProof/>
                <w:sz w:val="18"/>
                <w:szCs w:val="18"/>
                <w:highlight w:val="lightGray"/>
              </w:rPr>
              <w:t>Nordmakedonien</w:t>
            </w:r>
          </w:p>
        </w:tc>
        <w:tc>
          <w:tcPr>
            <w:tcW w:w="15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center"/>
              <w:rPr>
                <w:noProof/>
                <w:sz w:val="18"/>
                <w:szCs w:val="18"/>
              </w:rPr>
            </w:pPr>
            <w:r>
              <w:rPr>
                <w:rStyle w:val="Bodytext265ptItalic"/>
                <w:noProof/>
                <w:sz w:val="18"/>
                <w:szCs w:val="18"/>
              </w:rPr>
              <w:t>0,10 %</w:t>
            </w:r>
          </w:p>
        </w:tc>
        <w:tc>
          <w:tcPr>
            <w:tcW w:w="21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4 812</w:t>
            </w:r>
          </w:p>
        </w:tc>
        <w:tc>
          <w:tcPr>
            <w:tcW w:w="2520" w:type="dxa"/>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4 812</w:t>
            </w:r>
          </w:p>
        </w:tc>
      </w:tr>
      <w:tr w:rsidR="003454D1">
        <w:trPr>
          <w:trHeight w:hRule="exact" w:val="529"/>
        </w:trPr>
        <w:tc>
          <w:tcPr>
            <w:tcW w:w="3010" w:type="dxa"/>
            <w:tcBorders>
              <w:left w:val="single" w:sz="4" w:space="0" w:color="auto"/>
            </w:tcBorders>
            <w:shd w:val="clear" w:color="auto" w:fill="D9D9D9"/>
            <w:vAlign w:val="center"/>
          </w:tcPr>
          <w:p w:rsidR="003454D1" w:rsidRDefault="008C651D">
            <w:pPr>
              <w:pStyle w:val="Bodytext20"/>
              <w:shd w:val="clear" w:color="auto" w:fill="auto"/>
              <w:spacing w:before="0" w:after="0" w:line="240" w:lineRule="auto"/>
              <w:ind w:right="239" w:firstLine="0"/>
              <w:jc w:val="right"/>
              <w:rPr>
                <w:noProof/>
                <w:sz w:val="18"/>
                <w:szCs w:val="18"/>
                <w:highlight w:val="lightGray"/>
              </w:rPr>
            </w:pPr>
            <w:r>
              <w:rPr>
                <w:rStyle w:val="Bodytext265ptItalic"/>
                <w:noProof/>
                <w:sz w:val="18"/>
                <w:szCs w:val="18"/>
                <w:highlight w:val="lightGray"/>
              </w:rPr>
              <w:t>Moldavien</w:t>
            </w:r>
          </w:p>
        </w:tc>
        <w:tc>
          <w:tcPr>
            <w:tcW w:w="15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center"/>
              <w:rPr>
                <w:noProof/>
                <w:sz w:val="18"/>
                <w:szCs w:val="18"/>
              </w:rPr>
            </w:pPr>
            <w:r>
              <w:rPr>
                <w:rStyle w:val="Bodytext265ptItalic"/>
                <w:noProof/>
                <w:sz w:val="18"/>
                <w:szCs w:val="18"/>
              </w:rPr>
              <w:t>0,10 %</w:t>
            </w:r>
          </w:p>
        </w:tc>
        <w:tc>
          <w:tcPr>
            <w:tcW w:w="21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4 812</w:t>
            </w:r>
          </w:p>
        </w:tc>
        <w:tc>
          <w:tcPr>
            <w:tcW w:w="2520" w:type="dxa"/>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4 812</w:t>
            </w:r>
          </w:p>
        </w:tc>
      </w:tr>
      <w:tr w:rsidR="003454D1">
        <w:trPr>
          <w:trHeight w:hRule="exact" w:val="549"/>
        </w:trPr>
        <w:tc>
          <w:tcPr>
            <w:tcW w:w="3010" w:type="dxa"/>
            <w:tcBorders>
              <w:left w:val="single" w:sz="4" w:space="0" w:color="auto"/>
            </w:tcBorders>
            <w:shd w:val="clear" w:color="auto" w:fill="D9D9D9"/>
            <w:vAlign w:val="center"/>
          </w:tcPr>
          <w:p w:rsidR="003454D1" w:rsidRDefault="008C651D">
            <w:pPr>
              <w:pStyle w:val="Bodytext20"/>
              <w:shd w:val="clear" w:color="auto" w:fill="auto"/>
              <w:spacing w:before="0" w:after="0" w:line="240" w:lineRule="auto"/>
              <w:ind w:right="239" w:firstLine="0"/>
              <w:jc w:val="right"/>
              <w:rPr>
                <w:noProof/>
                <w:sz w:val="18"/>
                <w:szCs w:val="18"/>
                <w:highlight w:val="lightGray"/>
              </w:rPr>
            </w:pPr>
            <w:r>
              <w:rPr>
                <w:rStyle w:val="Bodytext265ptItalic"/>
                <w:noProof/>
                <w:sz w:val="18"/>
                <w:szCs w:val="18"/>
                <w:highlight w:val="lightGray"/>
              </w:rPr>
              <w:t>Montenegro</w:t>
            </w:r>
          </w:p>
        </w:tc>
        <w:tc>
          <w:tcPr>
            <w:tcW w:w="15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center"/>
              <w:rPr>
                <w:noProof/>
                <w:sz w:val="18"/>
                <w:szCs w:val="18"/>
              </w:rPr>
            </w:pPr>
            <w:r>
              <w:rPr>
                <w:rStyle w:val="Bodytext265ptItalic"/>
                <w:noProof/>
                <w:sz w:val="18"/>
                <w:szCs w:val="18"/>
              </w:rPr>
              <w:t>0,05 %</w:t>
            </w:r>
          </w:p>
        </w:tc>
        <w:tc>
          <w:tcPr>
            <w:tcW w:w="21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 xml:space="preserve">2 </w:t>
            </w:r>
            <w:r>
              <w:rPr>
                <w:rStyle w:val="Bodytext265ptBold"/>
                <w:b w:val="0"/>
                <w:noProof/>
                <w:sz w:val="18"/>
                <w:szCs w:val="18"/>
              </w:rPr>
              <w:t>406</w:t>
            </w:r>
          </w:p>
        </w:tc>
        <w:tc>
          <w:tcPr>
            <w:tcW w:w="2520" w:type="dxa"/>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2 406</w:t>
            </w:r>
          </w:p>
        </w:tc>
      </w:tr>
      <w:tr w:rsidR="003454D1">
        <w:trPr>
          <w:trHeight w:hRule="exact" w:val="523"/>
        </w:trPr>
        <w:tc>
          <w:tcPr>
            <w:tcW w:w="3010" w:type="dxa"/>
            <w:tcBorders>
              <w:left w:val="single" w:sz="4" w:space="0" w:color="auto"/>
            </w:tcBorders>
            <w:shd w:val="clear" w:color="auto" w:fill="D9D9D9"/>
            <w:vAlign w:val="center"/>
          </w:tcPr>
          <w:p w:rsidR="003454D1" w:rsidRDefault="008C651D">
            <w:pPr>
              <w:pStyle w:val="Bodytext20"/>
              <w:shd w:val="clear" w:color="auto" w:fill="auto"/>
              <w:spacing w:before="0" w:after="0" w:line="240" w:lineRule="auto"/>
              <w:ind w:right="239" w:firstLine="0"/>
              <w:jc w:val="right"/>
              <w:rPr>
                <w:noProof/>
                <w:sz w:val="18"/>
                <w:szCs w:val="18"/>
                <w:highlight w:val="lightGray"/>
              </w:rPr>
            </w:pPr>
            <w:r>
              <w:rPr>
                <w:rStyle w:val="Bodytext265ptItalic"/>
                <w:noProof/>
                <w:sz w:val="18"/>
                <w:szCs w:val="18"/>
                <w:highlight w:val="lightGray"/>
              </w:rPr>
              <w:t>Serbien</w:t>
            </w:r>
          </w:p>
        </w:tc>
        <w:tc>
          <w:tcPr>
            <w:tcW w:w="15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center"/>
              <w:rPr>
                <w:noProof/>
                <w:sz w:val="18"/>
                <w:szCs w:val="18"/>
              </w:rPr>
            </w:pPr>
            <w:r>
              <w:rPr>
                <w:rStyle w:val="Bodytext265ptItalic"/>
                <w:noProof/>
                <w:sz w:val="18"/>
                <w:szCs w:val="18"/>
              </w:rPr>
              <w:t>0,56 %</w:t>
            </w:r>
          </w:p>
        </w:tc>
        <w:tc>
          <w:tcPr>
            <w:tcW w:w="21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26 948</w:t>
            </w:r>
          </w:p>
        </w:tc>
        <w:tc>
          <w:tcPr>
            <w:tcW w:w="2520" w:type="dxa"/>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26 948</w:t>
            </w:r>
          </w:p>
        </w:tc>
      </w:tr>
      <w:tr w:rsidR="003454D1">
        <w:trPr>
          <w:trHeight w:hRule="exact" w:val="190"/>
        </w:trPr>
        <w:tc>
          <w:tcPr>
            <w:tcW w:w="3010" w:type="dxa"/>
            <w:tcBorders>
              <w:left w:val="single" w:sz="4" w:space="0" w:color="auto"/>
            </w:tcBorders>
            <w:shd w:val="clear" w:color="auto" w:fill="D9D9D9"/>
            <w:vAlign w:val="center"/>
          </w:tcPr>
          <w:p w:rsidR="003454D1" w:rsidRDefault="008C651D">
            <w:pPr>
              <w:pStyle w:val="Bodytext20"/>
              <w:shd w:val="clear" w:color="auto" w:fill="auto"/>
              <w:spacing w:before="0" w:after="0" w:line="240" w:lineRule="auto"/>
              <w:ind w:right="239" w:firstLine="0"/>
              <w:jc w:val="right"/>
              <w:rPr>
                <w:noProof/>
                <w:sz w:val="18"/>
                <w:szCs w:val="18"/>
                <w:highlight w:val="lightGray"/>
              </w:rPr>
            </w:pPr>
            <w:r>
              <w:rPr>
                <w:rStyle w:val="Bodytext265ptItalic"/>
                <w:noProof/>
                <w:sz w:val="18"/>
                <w:szCs w:val="18"/>
                <w:highlight w:val="lightGray"/>
              </w:rPr>
              <w:t>Ukraina</w:t>
            </w:r>
          </w:p>
        </w:tc>
        <w:tc>
          <w:tcPr>
            <w:tcW w:w="15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center"/>
              <w:rPr>
                <w:noProof/>
                <w:sz w:val="18"/>
                <w:szCs w:val="18"/>
              </w:rPr>
            </w:pPr>
            <w:r>
              <w:rPr>
                <w:rStyle w:val="Bodytext265ptItalic"/>
                <w:noProof/>
                <w:sz w:val="18"/>
                <w:szCs w:val="18"/>
              </w:rPr>
              <w:t>3,94 %</w:t>
            </w:r>
          </w:p>
        </w:tc>
        <w:tc>
          <w:tcPr>
            <w:tcW w:w="2160" w:type="dxa"/>
            <w:tcBorders>
              <w:left w:val="single" w:sz="4" w:space="0" w:color="auto"/>
            </w:tcBorders>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189 596</w:t>
            </w:r>
          </w:p>
        </w:tc>
        <w:tc>
          <w:tcPr>
            <w:tcW w:w="2520" w:type="dxa"/>
            <w:shd w:val="clear" w:color="auto" w:fill="FFFFFF"/>
            <w:vAlign w:val="center"/>
          </w:tcPr>
          <w:p w:rsidR="003454D1" w:rsidRDefault="008C651D">
            <w:pPr>
              <w:pStyle w:val="Bodytext20"/>
              <w:shd w:val="clear" w:color="auto" w:fill="auto"/>
              <w:spacing w:before="0" w:after="0" w:line="240" w:lineRule="auto"/>
              <w:ind w:left="-238" w:firstLine="0"/>
              <w:jc w:val="right"/>
              <w:rPr>
                <w:b/>
                <w:noProof/>
                <w:sz w:val="18"/>
                <w:szCs w:val="18"/>
              </w:rPr>
            </w:pPr>
            <w:r>
              <w:rPr>
                <w:rStyle w:val="Bodytext265ptBold"/>
                <w:b w:val="0"/>
                <w:noProof/>
                <w:sz w:val="18"/>
                <w:szCs w:val="18"/>
              </w:rPr>
              <w:t>189 596</w:t>
            </w:r>
          </w:p>
        </w:tc>
      </w:tr>
      <w:tr w:rsidR="003454D1">
        <w:trPr>
          <w:trHeight w:hRule="exact" w:val="656"/>
        </w:trPr>
        <w:tc>
          <w:tcPr>
            <w:tcW w:w="4570" w:type="dxa"/>
            <w:gridSpan w:val="2"/>
            <w:tcBorders>
              <w:top w:val="single" w:sz="4" w:space="0" w:color="auto"/>
            </w:tcBorders>
            <w:shd w:val="clear" w:color="auto" w:fill="FFFFFF"/>
          </w:tcPr>
          <w:p w:rsidR="003454D1" w:rsidRDefault="003454D1">
            <w:pPr>
              <w:rPr>
                <w:rFonts w:ascii="Arial" w:hAnsi="Arial" w:cs="Arial"/>
                <w:noProof/>
                <w:sz w:val="18"/>
                <w:szCs w:val="18"/>
              </w:rPr>
            </w:pPr>
          </w:p>
        </w:tc>
        <w:tc>
          <w:tcPr>
            <w:tcW w:w="2160" w:type="dxa"/>
            <w:tcBorders>
              <w:left w:val="single" w:sz="4" w:space="0" w:color="auto"/>
              <w:bottom w:val="single" w:sz="4" w:space="0" w:color="auto"/>
            </w:tcBorders>
            <w:shd w:val="clear" w:color="auto" w:fill="A6A6A6" w:themeFill="background1" w:themeFillShade="A6"/>
            <w:vAlign w:val="center"/>
          </w:tcPr>
          <w:p w:rsidR="003454D1" w:rsidRDefault="008C651D">
            <w:pPr>
              <w:pStyle w:val="Bodytext20"/>
              <w:shd w:val="clear" w:color="auto" w:fill="auto"/>
              <w:spacing w:before="0" w:after="0" w:line="240" w:lineRule="auto"/>
              <w:ind w:left="-238" w:firstLine="0"/>
              <w:jc w:val="right"/>
              <w:rPr>
                <w:noProof/>
                <w:sz w:val="18"/>
                <w:szCs w:val="18"/>
                <w:highlight w:val="darkGray"/>
              </w:rPr>
            </w:pPr>
            <w:r>
              <w:rPr>
                <w:rStyle w:val="Bodytext265ptBold"/>
                <w:noProof/>
                <w:sz w:val="18"/>
                <w:szCs w:val="18"/>
                <w:highlight w:val="darkGray"/>
              </w:rPr>
              <w:t>4 812 073</w:t>
            </w:r>
          </w:p>
        </w:tc>
        <w:tc>
          <w:tcPr>
            <w:tcW w:w="2520" w:type="dxa"/>
            <w:tcBorders>
              <w:left w:val="single" w:sz="4" w:space="0" w:color="auto"/>
              <w:bottom w:val="single" w:sz="4" w:space="0" w:color="auto"/>
              <w:right w:val="single" w:sz="4" w:space="0" w:color="auto"/>
            </w:tcBorders>
            <w:shd w:val="clear" w:color="auto" w:fill="A6A6A6" w:themeFill="background1" w:themeFillShade="A6"/>
            <w:vAlign w:val="center"/>
          </w:tcPr>
          <w:p w:rsidR="003454D1" w:rsidRDefault="008C651D">
            <w:pPr>
              <w:pStyle w:val="Bodytext20"/>
              <w:shd w:val="clear" w:color="auto" w:fill="auto"/>
              <w:spacing w:before="0" w:after="0" w:line="240" w:lineRule="auto"/>
              <w:ind w:left="-238" w:firstLine="0"/>
              <w:jc w:val="right"/>
              <w:rPr>
                <w:noProof/>
                <w:sz w:val="18"/>
                <w:szCs w:val="18"/>
                <w:highlight w:val="darkGray"/>
              </w:rPr>
            </w:pPr>
            <w:r>
              <w:rPr>
                <w:rStyle w:val="Bodytext265ptBold"/>
                <w:noProof/>
                <w:sz w:val="18"/>
                <w:szCs w:val="18"/>
                <w:highlight w:val="darkGray"/>
              </w:rPr>
              <w:t>4 812 073</w:t>
            </w:r>
          </w:p>
        </w:tc>
      </w:tr>
    </w:tbl>
    <w:p w:rsidR="003454D1" w:rsidRDefault="008C651D">
      <w:pPr>
        <w:pStyle w:val="NumPar1"/>
        <w:rPr>
          <w:noProof/>
        </w:rPr>
      </w:pPr>
      <w:r>
        <w:rPr>
          <w:noProof/>
        </w:rPr>
        <w:t xml:space="preserve">Tjänsteförteckning 2020–2021 </w:t>
      </w:r>
    </w:p>
    <w:p w:rsidR="003454D1" w:rsidRDefault="003454D1">
      <w:pPr>
        <w:rPr>
          <w:noProof/>
        </w:rPr>
      </w:pPr>
    </w:p>
    <w:p w:rsidR="003454D1" w:rsidRDefault="008C651D">
      <w:pPr>
        <w:rPr>
          <w:rFonts w:ascii="Arial" w:hAnsi="Arial" w:cs="Arial"/>
          <w:i/>
          <w:noProof/>
          <w:sz w:val="22"/>
        </w:rPr>
      </w:pPr>
      <w:r>
        <w:rPr>
          <w:rFonts w:ascii="Arial" w:hAnsi="Arial"/>
          <w:i/>
          <w:noProof/>
          <w:sz w:val="22"/>
        </w:rPr>
        <w:t>Anmärkning:</w:t>
      </w:r>
    </w:p>
    <w:p w:rsidR="003454D1" w:rsidRDefault="008C651D">
      <w:pPr>
        <w:rPr>
          <w:rFonts w:ascii="Arial" w:hAnsi="Arial" w:cs="Arial"/>
          <w:i/>
          <w:noProof/>
          <w:sz w:val="22"/>
        </w:rPr>
      </w:pPr>
      <w:r>
        <w:rPr>
          <w:rFonts w:ascii="Arial" w:hAnsi="Arial"/>
          <w:i/>
          <w:noProof/>
          <w:sz w:val="22"/>
        </w:rPr>
        <w:t xml:space="preserve">I denna tjänsteförteckning anges det antal fasta och tillfälliga tjänster som föreslås för genomförandet av </w:t>
      </w:r>
      <w:r>
        <w:rPr>
          <w:rFonts w:ascii="Arial" w:hAnsi="Arial"/>
          <w:i/>
          <w:noProof/>
          <w:sz w:val="22"/>
        </w:rPr>
        <w:t>arbetsuppgifter inom ramen för motsvarande arbetsprogram.</w:t>
      </w:r>
    </w:p>
    <w:p w:rsidR="003454D1" w:rsidRDefault="008C651D">
      <w:pPr>
        <w:rPr>
          <w:rFonts w:ascii="Arial" w:hAnsi="Arial" w:cs="Arial"/>
          <w:i/>
          <w:noProof/>
          <w:sz w:val="22"/>
        </w:rPr>
      </w:pPr>
      <w:r>
        <w:rPr>
          <w:rFonts w:ascii="Arial" w:hAnsi="Arial"/>
          <w:i/>
          <w:noProof/>
          <w:sz w:val="22"/>
        </w:rPr>
        <w:t>Antalet tillfälliga tjänster beräknas på grundval av tolvmånadersuppdrag och kan variera beroende på den enskilda varaktigheten för uppdragen.</w:t>
      </w:r>
    </w:p>
    <w:p w:rsidR="003454D1" w:rsidRDefault="003454D1">
      <w:pPr>
        <w:rPr>
          <w:rFonts w:ascii="Arial" w:hAnsi="Arial" w:cs="Arial"/>
          <w:i/>
          <w:noProof/>
          <w:sz w:val="22"/>
        </w:rPr>
      </w:pPr>
    </w:p>
    <w:p w:rsidR="003454D1" w:rsidRDefault="003454D1">
      <w:pPr>
        <w:rPr>
          <w:rFonts w:ascii="Arial" w:hAnsi="Arial" w:cs="Arial"/>
          <w:i/>
          <w:noProof/>
          <w:sz w:val="22"/>
        </w:rPr>
      </w:pPr>
    </w:p>
    <w:p w:rsidR="003454D1" w:rsidRDefault="003454D1">
      <w:pPr>
        <w:rPr>
          <w:rFonts w:ascii="Arial" w:hAnsi="Arial" w:cs="Arial"/>
          <w:i/>
          <w:noProof/>
          <w:sz w:val="22"/>
        </w:rPr>
      </w:pPr>
    </w:p>
    <w:p w:rsidR="003454D1" w:rsidRDefault="003454D1">
      <w:pPr>
        <w:rPr>
          <w:rFonts w:ascii="Arial" w:hAnsi="Arial" w:cs="Arial"/>
          <w:i/>
          <w:noProof/>
          <w:sz w:val="22"/>
        </w:rPr>
      </w:pPr>
    </w:p>
    <w:p w:rsidR="003454D1" w:rsidRDefault="003454D1">
      <w:pPr>
        <w:rPr>
          <w:rFonts w:ascii="Arial" w:hAnsi="Arial" w:cs="Arial"/>
          <w:i/>
          <w:noProof/>
          <w:sz w:val="22"/>
        </w:rPr>
      </w:pPr>
    </w:p>
    <w:p w:rsidR="003454D1" w:rsidRDefault="003454D1">
      <w:pPr>
        <w:rPr>
          <w:rFonts w:ascii="Arial" w:hAnsi="Arial" w:cs="Arial"/>
          <w:noProof/>
          <w:sz w:val="22"/>
        </w:rPr>
      </w:pPr>
    </w:p>
    <w:p w:rsidR="003454D1" w:rsidRDefault="003454D1">
      <w:pPr>
        <w:rPr>
          <w:rFonts w:ascii="Arial" w:hAnsi="Arial" w:cs="Arial"/>
          <w:noProof/>
          <w:sz w:val="22"/>
        </w:rPr>
      </w:pPr>
    </w:p>
    <w:tbl>
      <w:tblPr>
        <w:tblStyle w:val="TableGrid"/>
        <w:tblW w:w="10374" w:type="dxa"/>
        <w:tblInd w:w="-201" w:type="dxa"/>
        <w:tblLayout w:type="fixed"/>
        <w:tblLook w:val="04A0" w:firstRow="1" w:lastRow="0" w:firstColumn="1" w:lastColumn="0" w:noHBand="0" w:noVBand="1"/>
      </w:tblPr>
      <w:tblGrid>
        <w:gridCol w:w="1738"/>
        <w:gridCol w:w="1353"/>
        <w:gridCol w:w="1329"/>
        <w:gridCol w:w="1539"/>
        <w:gridCol w:w="1438"/>
        <w:gridCol w:w="1559"/>
        <w:gridCol w:w="1418"/>
      </w:tblGrid>
      <w:tr w:rsidR="003454D1">
        <w:trPr>
          <w:trHeight w:val="269"/>
        </w:trPr>
        <w:tc>
          <w:tcPr>
            <w:tcW w:w="1738" w:type="dxa"/>
            <w:vMerge w:val="restart"/>
            <w:tcBorders>
              <w:top w:val="nil"/>
              <w:left w:val="nil"/>
              <w:bottom w:val="nil"/>
              <w:right w:val="single" w:sz="4" w:space="0" w:color="auto"/>
            </w:tcBorders>
            <w:vAlign w:val="center"/>
          </w:tcPr>
          <w:p w:rsidR="003454D1" w:rsidRDefault="003454D1">
            <w:pPr>
              <w:rPr>
                <w:noProof/>
              </w:rPr>
            </w:pPr>
          </w:p>
        </w:tc>
        <w:tc>
          <w:tcPr>
            <w:tcW w:w="2682" w:type="dxa"/>
            <w:gridSpan w:val="2"/>
            <w:tcBorders>
              <w:left w:val="single" w:sz="4" w:space="0" w:color="auto"/>
            </w:tcBorders>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2020</w:t>
            </w:r>
          </w:p>
        </w:tc>
        <w:tc>
          <w:tcPr>
            <w:tcW w:w="2977" w:type="dxa"/>
            <w:gridSpan w:val="2"/>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2021</w:t>
            </w:r>
          </w:p>
        </w:tc>
        <w:tc>
          <w:tcPr>
            <w:tcW w:w="2977" w:type="dxa"/>
            <w:gridSpan w:val="2"/>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2019</w:t>
            </w:r>
          </w:p>
        </w:tc>
      </w:tr>
      <w:tr w:rsidR="003454D1">
        <w:trPr>
          <w:trHeight w:val="269"/>
        </w:trPr>
        <w:tc>
          <w:tcPr>
            <w:tcW w:w="1738" w:type="dxa"/>
            <w:vMerge/>
            <w:tcBorders>
              <w:top w:val="nil"/>
              <w:left w:val="nil"/>
              <w:bottom w:val="single" w:sz="4" w:space="0" w:color="auto"/>
              <w:right w:val="single" w:sz="4" w:space="0" w:color="auto"/>
            </w:tcBorders>
            <w:vAlign w:val="center"/>
          </w:tcPr>
          <w:p w:rsidR="003454D1" w:rsidRDefault="003454D1">
            <w:pPr>
              <w:rPr>
                <w:noProof/>
              </w:rPr>
            </w:pPr>
          </w:p>
        </w:tc>
        <w:tc>
          <w:tcPr>
            <w:tcW w:w="1353" w:type="dxa"/>
            <w:tcBorders>
              <w:left w:val="single" w:sz="4" w:space="0" w:color="auto"/>
            </w:tcBorders>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Fast anställning</w:t>
            </w:r>
          </w:p>
        </w:tc>
        <w:tc>
          <w:tcPr>
            <w:tcW w:w="1329" w:type="dxa"/>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 xml:space="preserve">Tillfällig </w:t>
            </w:r>
            <w:r>
              <w:rPr>
                <w:rFonts w:asciiTheme="minorHAnsi" w:hAnsiTheme="minorHAnsi"/>
                <w:b/>
                <w:noProof/>
                <w:sz w:val="16"/>
                <w:szCs w:val="16"/>
              </w:rPr>
              <w:t>anställning</w:t>
            </w:r>
          </w:p>
        </w:tc>
        <w:tc>
          <w:tcPr>
            <w:tcW w:w="1539" w:type="dxa"/>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Fast anställning</w:t>
            </w:r>
          </w:p>
        </w:tc>
        <w:tc>
          <w:tcPr>
            <w:tcW w:w="1438" w:type="dxa"/>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Tillfällig anställning</w:t>
            </w:r>
          </w:p>
        </w:tc>
        <w:tc>
          <w:tcPr>
            <w:tcW w:w="1559" w:type="dxa"/>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Fast anställning</w:t>
            </w:r>
          </w:p>
        </w:tc>
        <w:tc>
          <w:tcPr>
            <w:tcW w:w="1418" w:type="dxa"/>
            <w:vAlign w:val="center"/>
          </w:tcPr>
          <w:p w:rsidR="003454D1" w:rsidRDefault="008C651D">
            <w:pPr>
              <w:jc w:val="center"/>
              <w:rPr>
                <w:rFonts w:asciiTheme="minorHAnsi" w:hAnsiTheme="minorHAnsi" w:cstheme="minorHAnsi"/>
                <w:b/>
                <w:noProof/>
                <w:sz w:val="16"/>
                <w:szCs w:val="16"/>
              </w:rPr>
            </w:pPr>
            <w:r>
              <w:rPr>
                <w:rFonts w:asciiTheme="minorHAnsi" w:hAnsiTheme="minorHAnsi"/>
                <w:b/>
                <w:noProof/>
                <w:sz w:val="16"/>
                <w:szCs w:val="16"/>
              </w:rPr>
              <w:t>Tillfällig anställning</w:t>
            </w:r>
          </w:p>
        </w:tc>
      </w:tr>
      <w:tr w:rsidR="003454D1">
        <w:trPr>
          <w:trHeight w:val="269"/>
        </w:trPr>
        <w:tc>
          <w:tcPr>
            <w:tcW w:w="1738" w:type="dxa"/>
            <w:tcBorders>
              <w:top w:val="single" w:sz="4" w:space="0" w:color="auto"/>
            </w:tcBorders>
            <w:vAlign w:val="center"/>
          </w:tcPr>
          <w:p w:rsidR="003454D1" w:rsidRDefault="008C651D">
            <w:pPr>
              <w:rPr>
                <w:noProof/>
                <w:sz w:val="16"/>
                <w:szCs w:val="16"/>
              </w:rPr>
            </w:pPr>
            <w:r>
              <w:rPr>
                <w:noProof/>
                <w:sz w:val="16"/>
                <w:szCs w:val="16"/>
              </w:rPr>
              <w:t>Direktör</w:t>
            </w:r>
          </w:p>
        </w:tc>
        <w:tc>
          <w:tcPr>
            <w:tcW w:w="1353"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1</w:t>
            </w:r>
          </w:p>
        </w:tc>
        <w:tc>
          <w:tcPr>
            <w:tcW w:w="1329"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539"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1</w:t>
            </w:r>
          </w:p>
        </w:tc>
        <w:tc>
          <w:tcPr>
            <w:tcW w:w="1438"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559" w:type="dxa"/>
            <w:vAlign w:val="center"/>
          </w:tcPr>
          <w:p w:rsidR="003454D1" w:rsidRDefault="008C651D">
            <w:pPr>
              <w:jc w:val="center"/>
              <w:rPr>
                <w:rFonts w:asciiTheme="minorHAnsi" w:hAnsiTheme="minorHAnsi" w:cstheme="minorHAnsi"/>
                <w:noProof/>
                <w:sz w:val="16"/>
                <w:szCs w:val="16"/>
              </w:rPr>
            </w:pPr>
            <w:r>
              <w:rPr>
                <w:noProof/>
                <w:sz w:val="16"/>
                <w:szCs w:val="16"/>
              </w:rPr>
              <w:t>1</w:t>
            </w:r>
          </w:p>
        </w:tc>
        <w:tc>
          <w:tcPr>
            <w:tcW w:w="1418" w:type="dxa"/>
            <w:vAlign w:val="center"/>
          </w:tcPr>
          <w:p w:rsidR="003454D1" w:rsidRDefault="003454D1">
            <w:pPr>
              <w:jc w:val="center"/>
              <w:rPr>
                <w:rFonts w:asciiTheme="minorHAnsi" w:hAnsiTheme="minorHAnsi" w:cstheme="minorHAnsi"/>
                <w:noProof/>
                <w:sz w:val="16"/>
                <w:szCs w:val="16"/>
              </w:rPr>
            </w:pPr>
          </w:p>
        </w:tc>
      </w:tr>
      <w:tr w:rsidR="003454D1">
        <w:trPr>
          <w:trHeight w:val="269"/>
        </w:trPr>
        <w:tc>
          <w:tcPr>
            <w:tcW w:w="1738" w:type="dxa"/>
            <w:vAlign w:val="center"/>
          </w:tcPr>
          <w:p w:rsidR="003454D1" w:rsidRDefault="008C651D">
            <w:pPr>
              <w:rPr>
                <w:noProof/>
                <w:sz w:val="16"/>
                <w:szCs w:val="16"/>
              </w:rPr>
            </w:pPr>
            <w:r>
              <w:rPr>
                <w:noProof/>
                <w:sz w:val="16"/>
                <w:szCs w:val="16"/>
              </w:rPr>
              <w:t>Biträdande direktör*</w:t>
            </w:r>
          </w:p>
        </w:tc>
        <w:tc>
          <w:tcPr>
            <w:tcW w:w="1353"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1</w:t>
            </w:r>
          </w:p>
        </w:tc>
        <w:tc>
          <w:tcPr>
            <w:tcW w:w="1329"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539"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1</w:t>
            </w:r>
          </w:p>
        </w:tc>
        <w:tc>
          <w:tcPr>
            <w:tcW w:w="1438"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559" w:type="dxa"/>
            <w:vAlign w:val="center"/>
          </w:tcPr>
          <w:p w:rsidR="003454D1" w:rsidRDefault="008C651D">
            <w:pPr>
              <w:jc w:val="center"/>
              <w:rPr>
                <w:rFonts w:asciiTheme="minorHAnsi" w:hAnsiTheme="minorHAnsi" w:cstheme="minorHAnsi"/>
                <w:noProof/>
                <w:sz w:val="16"/>
                <w:szCs w:val="16"/>
              </w:rPr>
            </w:pPr>
            <w:r>
              <w:rPr>
                <w:noProof/>
                <w:sz w:val="16"/>
                <w:szCs w:val="16"/>
              </w:rPr>
              <w:t>1</w:t>
            </w:r>
          </w:p>
        </w:tc>
        <w:tc>
          <w:tcPr>
            <w:tcW w:w="1418" w:type="dxa"/>
            <w:vAlign w:val="center"/>
          </w:tcPr>
          <w:p w:rsidR="003454D1" w:rsidRDefault="003454D1">
            <w:pPr>
              <w:jc w:val="center"/>
              <w:rPr>
                <w:rFonts w:asciiTheme="minorHAnsi" w:hAnsiTheme="minorHAnsi" w:cstheme="minorHAnsi"/>
                <w:noProof/>
                <w:sz w:val="16"/>
                <w:szCs w:val="16"/>
              </w:rPr>
            </w:pPr>
          </w:p>
        </w:tc>
      </w:tr>
      <w:tr w:rsidR="003454D1">
        <w:trPr>
          <w:trHeight w:val="269"/>
        </w:trPr>
        <w:tc>
          <w:tcPr>
            <w:tcW w:w="1738" w:type="dxa"/>
            <w:vAlign w:val="center"/>
          </w:tcPr>
          <w:p w:rsidR="003454D1" w:rsidRDefault="008C651D">
            <w:pPr>
              <w:jc w:val="left"/>
              <w:rPr>
                <w:noProof/>
                <w:sz w:val="16"/>
                <w:szCs w:val="16"/>
              </w:rPr>
            </w:pPr>
            <w:r>
              <w:rPr>
                <w:noProof/>
                <w:sz w:val="16"/>
                <w:szCs w:val="16"/>
              </w:rPr>
              <w:t>Enhets- eller sektionschef</w:t>
            </w:r>
          </w:p>
        </w:tc>
        <w:tc>
          <w:tcPr>
            <w:tcW w:w="1353"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5</w:t>
            </w:r>
          </w:p>
        </w:tc>
        <w:tc>
          <w:tcPr>
            <w:tcW w:w="1329"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539"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5</w:t>
            </w:r>
          </w:p>
        </w:tc>
        <w:tc>
          <w:tcPr>
            <w:tcW w:w="1438"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559" w:type="dxa"/>
            <w:vAlign w:val="center"/>
          </w:tcPr>
          <w:p w:rsidR="003454D1" w:rsidRDefault="008C651D">
            <w:pPr>
              <w:jc w:val="center"/>
              <w:rPr>
                <w:rFonts w:asciiTheme="minorHAnsi" w:hAnsiTheme="minorHAnsi" w:cstheme="minorHAnsi"/>
                <w:noProof/>
                <w:sz w:val="16"/>
                <w:szCs w:val="16"/>
              </w:rPr>
            </w:pPr>
            <w:r>
              <w:rPr>
                <w:noProof/>
                <w:sz w:val="16"/>
                <w:szCs w:val="16"/>
              </w:rPr>
              <w:t>5</w:t>
            </w:r>
          </w:p>
        </w:tc>
        <w:tc>
          <w:tcPr>
            <w:tcW w:w="1418" w:type="dxa"/>
            <w:vAlign w:val="center"/>
          </w:tcPr>
          <w:p w:rsidR="003454D1" w:rsidRDefault="003454D1">
            <w:pPr>
              <w:jc w:val="center"/>
              <w:rPr>
                <w:rFonts w:asciiTheme="minorHAnsi" w:hAnsiTheme="minorHAnsi" w:cstheme="minorHAnsi"/>
                <w:noProof/>
                <w:sz w:val="16"/>
                <w:szCs w:val="16"/>
              </w:rPr>
            </w:pPr>
          </w:p>
        </w:tc>
      </w:tr>
      <w:tr w:rsidR="003454D1">
        <w:trPr>
          <w:trHeight w:val="269"/>
        </w:trPr>
        <w:tc>
          <w:tcPr>
            <w:tcW w:w="1738" w:type="dxa"/>
            <w:vAlign w:val="center"/>
          </w:tcPr>
          <w:p w:rsidR="003454D1" w:rsidRDefault="008C651D">
            <w:pPr>
              <w:rPr>
                <w:noProof/>
                <w:sz w:val="16"/>
                <w:szCs w:val="16"/>
              </w:rPr>
            </w:pPr>
            <w:r>
              <w:rPr>
                <w:noProof/>
                <w:sz w:val="16"/>
                <w:szCs w:val="16"/>
              </w:rPr>
              <w:t>Experter</w:t>
            </w:r>
          </w:p>
        </w:tc>
        <w:tc>
          <w:tcPr>
            <w:tcW w:w="1353"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19</w:t>
            </w:r>
          </w:p>
        </w:tc>
        <w:tc>
          <w:tcPr>
            <w:tcW w:w="1329"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539"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19</w:t>
            </w:r>
          </w:p>
        </w:tc>
        <w:tc>
          <w:tcPr>
            <w:tcW w:w="1438"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559" w:type="dxa"/>
            <w:vAlign w:val="center"/>
          </w:tcPr>
          <w:p w:rsidR="003454D1" w:rsidRDefault="008C651D">
            <w:pPr>
              <w:jc w:val="center"/>
              <w:rPr>
                <w:rFonts w:asciiTheme="minorHAnsi" w:hAnsiTheme="minorHAnsi" w:cstheme="minorHAnsi"/>
                <w:noProof/>
                <w:sz w:val="16"/>
                <w:szCs w:val="16"/>
              </w:rPr>
            </w:pPr>
            <w:r>
              <w:rPr>
                <w:noProof/>
                <w:sz w:val="16"/>
                <w:szCs w:val="16"/>
              </w:rPr>
              <w:t>17</w:t>
            </w:r>
          </w:p>
        </w:tc>
        <w:tc>
          <w:tcPr>
            <w:tcW w:w="1418" w:type="dxa"/>
            <w:vAlign w:val="center"/>
          </w:tcPr>
          <w:p w:rsidR="003454D1" w:rsidRDefault="003454D1">
            <w:pPr>
              <w:jc w:val="center"/>
              <w:rPr>
                <w:rFonts w:asciiTheme="minorHAnsi" w:hAnsiTheme="minorHAnsi" w:cstheme="minorHAnsi"/>
                <w:noProof/>
                <w:sz w:val="16"/>
                <w:szCs w:val="16"/>
              </w:rPr>
            </w:pPr>
          </w:p>
        </w:tc>
      </w:tr>
      <w:tr w:rsidR="003454D1">
        <w:trPr>
          <w:trHeight w:val="269"/>
        </w:trPr>
        <w:tc>
          <w:tcPr>
            <w:tcW w:w="1738" w:type="dxa"/>
            <w:tcBorders>
              <w:bottom w:val="single" w:sz="4" w:space="0" w:color="auto"/>
            </w:tcBorders>
            <w:vAlign w:val="center"/>
          </w:tcPr>
          <w:p w:rsidR="003454D1" w:rsidRDefault="008C651D">
            <w:pPr>
              <w:rPr>
                <w:noProof/>
                <w:sz w:val="16"/>
                <w:szCs w:val="16"/>
              </w:rPr>
            </w:pPr>
            <w:r>
              <w:rPr>
                <w:noProof/>
                <w:sz w:val="16"/>
                <w:szCs w:val="16"/>
              </w:rPr>
              <w:t>Assistenter/tjänstemän</w:t>
            </w:r>
          </w:p>
        </w:tc>
        <w:tc>
          <w:tcPr>
            <w:tcW w:w="1353" w:type="dxa"/>
            <w:tcBorders>
              <w:bottom w:val="single" w:sz="4" w:space="0" w:color="auto"/>
            </w:tcBorders>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5</w:t>
            </w:r>
          </w:p>
        </w:tc>
        <w:tc>
          <w:tcPr>
            <w:tcW w:w="1329"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539"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5</w:t>
            </w:r>
          </w:p>
        </w:tc>
        <w:tc>
          <w:tcPr>
            <w:tcW w:w="1438"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559" w:type="dxa"/>
            <w:vAlign w:val="center"/>
          </w:tcPr>
          <w:p w:rsidR="003454D1" w:rsidRDefault="008C651D">
            <w:pPr>
              <w:jc w:val="center"/>
              <w:rPr>
                <w:rFonts w:asciiTheme="minorHAnsi" w:hAnsiTheme="minorHAnsi" w:cstheme="minorHAnsi"/>
                <w:noProof/>
                <w:sz w:val="16"/>
                <w:szCs w:val="16"/>
              </w:rPr>
            </w:pPr>
            <w:r>
              <w:rPr>
                <w:noProof/>
                <w:sz w:val="16"/>
                <w:szCs w:val="16"/>
              </w:rPr>
              <w:t>5</w:t>
            </w:r>
          </w:p>
        </w:tc>
        <w:tc>
          <w:tcPr>
            <w:tcW w:w="1418" w:type="dxa"/>
            <w:vAlign w:val="center"/>
          </w:tcPr>
          <w:p w:rsidR="003454D1" w:rsidRDefault="003454D1">
            <w:pPr>
              <w:jc w:val="center"/>
              <w:rPr>
                <w:rFonts w:asciiTheme="minorHAnsi" w:hAnsiTheme="minorHAnsi" w:cstheme="minorHAnsi"/>
                <w:noProof/>
                <w:sz w:val="16"/>
                <w:szCs w:val="16"/>
              </w:rPr>
            </w:pPr>
          </w:p>
        </w:tc>
      </w:tr>
      <w:tr w:rsidR="003454D1">
        <w:trPr>
          <w:trHeight w:val="269"/>
        </w:trPr>
        <w:tc>
          <w:tcPr>
            <w:tcW w:w="1738" w:type="dxa"/>
            <w:tcBorders>
              <w:bottom w:val="single" w:sz="4" w:space="0" w:color="auto"/>
            </w:tcBorders>
            <w:vAlign w:val="center"/>
          </w:tcPr>
          <w:p w:rsidR="003454D1" w:rsidRDefault="008C651D">
            <w:pPr>
              <w:rPr>
                <w:noProof/>
                <w:sz w:val="16"/>
                <w:szCs w:val="16"/>
              </w:rPr>
            </w:pPr>
            <w:r>
              <w:rPr>
                <w:noProof/>
                <w:sz w:val="16"/>
                <w:szCs w:val="16"/>
              </w:rPr>
              <w:t xml:space="preserve">Tillfälligt anställd </w:t>
            </w:r>
            <w:r>
              <w:rPr>
                <w:noProof/>
                <w:sz w:val="16"/>
                <w:szCs w:val="16"/>
              </w:rPr>
              <w:t>personal</w:t>
            </w:r>
          </w:p>
        </w:tc>
        <w:tc>
          <w:tcPr>
            <w:tcW w:w="1353" w:type="dxa"/>
            <w:tcBorders>
              <w:bottom w:val="single" w:sz="4" w:space="0" w:color="auto"/>
            </w:tcBorders>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329"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7</w:t>
            </w:r>
          </w:p>
        </w:tc>
        <w:tc>
          <w:tcPr>
            <w:tcW w:w="1539" w:type="dxa"/>
            <w:shd w:val="clear" w:color="auto" w:fill="D9D9D9" w:themeFill="background1" w:themeFillShade="D9"/>
            <w:vAlign w:val="center"/>
          </w:tcPr>
          <w:p w:rsidR="003454D1" w:rsidRDefault="003454D1">
            <w:pPr>
              <w:jc w:val="center"/>
              <w:rPr>
                <w:rFonts w:asciiTheme="minorHAnsi" w:hAnsiTheme="minorHAnsi" w:cstheme="minorHAnsi"/>
                <w:noProof/>
                <w:sz w:val="16"/>
                <w:szCs w:val="16"/>
              </w:rPr>
            </w:pPr>
          </w:p>
        </w:tc>
        <w:tc>
          <w:tcPr>
            <w:tcW w:w="1438" w:type="dxa"/>
            <w:shd w:val="clear" w:color="auto" w:fill="D9D9D9" w:themeFill="background1" w:themeFillShade="D9"/>
            <w:vAlign w:val="center"/>
          </w:tcPr>
          <w:p w:rsidR="003454D1" w:rsidRDefault="008C651D">
            <w:pPr>
              <w:jc w:val="center"/>
              <w:rPr>
                <w:rFonts w:asciiTheme="minorHAnsi" w:hAnsiTheme="minorHAnsi" w:cstheme="minorHAnsi"/>
                <w:noProof/>
                <w:sz w:val="16"/>
                <w:szCs w:val="16"/>
              </w:rPr>
            </w:pPr>
            <w:r>
              <w:rPr>
                <w:noProof/>
                <w:sz w:val="16"/>
                <w:szCs w:val="16"/>
              </w:rPr>
              <w:t>7</w:t>
            </w:r>
          </w:p>
        </w:tc>
        <w:tc>
          <w:tcPr>
            <w:tcW w:w="1559" w:type="dxa"/>
            <w:vAlign w:val="center"/>
          </w:tcPr>
          <w:p w:rsidR="003454D1" w:rsidRDefault="003454D1">
            <w:pPr>
              <w:jc w:val="center"/>
              <w:rPr>
                <w:rFonts w:asciiTheme="minorHAnsi" w:hAnsiTheme="minorHAnsi" w:cstheme="minorHAnsi"/>
                <w:noProof/>
                <w:sz w:val="16"/>
                <w:szCs w:val="16"/>
              </w:rPr>
            </w:pPr>
          </w:p>
        </w:tc>
        <w:tc>
          <w:tcPr>
            <w:tcW w:w="1418" w:type="dxa"/>
            <w:vAlign w:val="center"/>
          </w:tcPr>
          <w:p w:rsidR="003454D1" w:rsidRDefault="008C651D">
            <w:pPr>
              <w:jc w:val="center"/>
              <w:rPr>
                <w:rFonts w:asciiTheme="minorHAnsi" w:hAnsiTheme="minorHAnsi" w:cstheme="minorHAnsi"/>
                <w:noProof/>
                <w:sz w:val="16"/>
                <w:szCs w:val="16"/>
              </w:rPr>
            </w:pPr>
            <w:r>
              <w:rPr>
                <w:noProof/>
                <w:sz w:val="16"/>
                <w:szCs w:val="16"/>
              </w:rPr>
              <w:t>10</w:t>
            </w:r>
          </w:p>
        </w:tc>
      </w:tr>
      <w:tr w:rsidR="003454D1">
        <w:trPr>
          <w:trHeight w:val="269"/>
        </w:trPr>
        <w:tc>
          <w:tcPr>
            <w:tcW w:w="1738" w:type="dxa"/>
            <w:tcBorders>
              <w:top w:val="single" w:sz="4" w:space="0" w:color="auto"/>
              <w:left w:val="nil"/>
              <w:bottom w:val="nil"/>
              <w:right w:val="single" w:sz="4" w:space="0" w:color="auto"/>
            </w:tcBorders>
            <w:vAlign w:val="center"/>
          </w:tcPr>
          <w:p w:rsidR="003454D1" w:rsidRDefault="003454D1">
            <w:pPr>
              <w:rPr>
                <w:noProof/>
              </w:rPr>
            </w:pPr>
          </w:p>
        </w:tc>
        <w:tc>
          <w:tcPr>
            <w:tcW w:w="1353" w:type="dxa"/>
            <w:tcBorders>
              <w:top w:val="single" w:sz="4" w:space="0" w:color="auto"/>
              <w:left w:val="single" w:sz="4" w:space="0" w:color="auto"/>
            </w:tcBorders>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b/>
                <w:noProof/>
                <w:sz w:val="16"/>
                <w:szCs w:val="16"/>
              </w:rPr>
              <w:t>31</w:t>
            </w:r>
          </w:p>
        </w:tc>
        <w:tc>
          <w:tcPr>
            <w:tcW w:w="1329" w:type="dxa"/>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b/>
                <w:noProof/>
                <w:sz w:val="16"/>
                <w:szCs w:val="16"/>
              </w:rPr>
              <w:t>7</w:t>
            </w:r>
          </w:p>
        </w:tc>
        <w:tc>
          <w:tcPr>
            <w:tcW w:w="1539" w:type="dxa"/>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b/>
                <w:noProof/>
                <w:sz w:val="16"/>
                <w:szCs w:val="16"/>
              </w:rPr>
              <w:t>31</w:t>
            </w:r>
          </w:p>
        </w:tc>
        <w:tc>
          <w:tcPr>
            <w:tcW w:w="1438" w:type="dxa"/>
            <w:shd w:val="clear" w:color="auto" w:fill="D9D9D9" w:themeFill="background1" w:themeFillShade="D9"/>
            <w:vAlign w:val="center"/>
          </w:tcPr>
          <w:p w:rsidR="003454D1" w:rsidRDefault="008C651D">
            <w:pPr>
              <w:jc w:val="center"/>
              <w:rPr>
                <w:rFonts w:asciiTheme="minorHAnsi" w:hAnsiTheme="minorHAnsi" w:cstheme="minorHAnsi"/>
                <w:b/>
                <w:noProof/>
                <w:sz w:val="16"/>
                <w:szCs w:val="16"/>
              </w:rPr>
            </w:pPr>
            <w:r>
              <w:rPr>
                <w:b/>
                <w:noProof/>
                <w:sz w:val="16"/>
                <w:szCs w:val="16"/>
              </w:rPr>
              <w:t>7</w:t>
            </w:r>
          </w:p>
        </w:tc>
        <w:tc>
          <w:tcPr>
            <w:tcW w:w="1559" w:type="dxa"/>
            <w:vAlign w:val="center"/>
          </w:tcPr>
          <w:p w:rsidR="003454D1" w:rsidRDefault="008C651D">
            <w:pPr>
              <w:jc w:val="center"/>
              <w:rPr>
                <w:rFonts w:asciiTheme="minorHAnsi" w:hAnsiTheme="minorHAnsi" w:cstheme="minorHAnsi"/>
                <w:b/>
                <w:noProof/>
                <w:sz w:val="16"/>
                <w:szCs w:val="16"/>
              </w:rPr>
            </w:pPr>
            <w:r>
              <w:rPr>
                <w:b/>
                <w:noProof/>
                <w:sz w:val="16"/>
                <w:szCs w:val="16"/>
              </w:rPr>
              <w:t>29</w:t>
            </w:r>
          </w:p>
        </w:tc>
        <w:tc>
          <w:tcPr>
            <w:tcW w:w="1418" w:type="dxa"/>
            <w:vAlign w:val="center"/>
          </w:tcPr>
          <w:p w:rsidR="003454D1" w:rsidRDefault="008C651D">
            <w:pPr>
              <w:jc w:val="center"/>
              <w:rPr>
                <w:rFonts w:asciiTheme="minorHAnsi" w:hAnsiTheme="minorHAnsi" w:cstheme="minorHAnsi"/>
                <w:b/>
                <w:noProof/>
                <w:sz w:val="16"/>
                <w:szCs w:val="16"/>
              </w:rPr>
            </w:pPr>
            <w:r>
              <w:rPr>
                <w:b/>
                <w:noProof/>
                <w:sz w:val="16"/>
                <w:szCs w:val="16"/>
              </w:rPr>
              <w:t>10</w:t>
            </w:r>
          </w:p>
        </w:tc>
      </w:tr>
    </w:tbl>
    <w:p w:rsidR="003454D1" w:rsidRDefault="008C651D">
      <w:pPr>
        <w:ind w:left="-142" w:right="-24"/>
        <w:rPr>
          <w:noProof/>
          <w:sz w:val="14"/>
          <w:szCs w:val="14"/>
        </w:rPr>
      </w:pPr>
      <w:r>
        <w:rPr>
          <w:noProof/>
          <w:sz w:val="14"/>
          <w:szCs w:val="14"/>
        </w:rPr>
        <w:t>*För framtiden skulle tjänsten som biträdande direktör behöva fastställas och definieras tydligt i tjänsteföreskrifterna och rekryteringsreglerna.</w:t>
      </w:r>
    </w:p>
    <w:p w:rsidR="003454D1" w:rsidRDefault="003454D1">
      <w:pPr>
        <w:rPr>
          <w:rFonts w:ascii="Arial" w:hAnsi="Arial" w:cs="Arial"/>
          <w:noProof/>
          <w:sz w:val="22"/>
        </w:rPr>
      </w:pPr>
    </w:p>
    <w:p w:rsidR="003454D1" w:rsidRDefault="003454D1">
      <w:pPr>
        <w:rPr>
          <w:rFonts w:ascii="Arial" w:hAnsi="Arial" w:cs="Arial"/>
          <w:b/>
          <w:noProof/>
          <w:sz w:val="22"/>
          <w:u w:val="single"/>
        </w:rPr>
      </w:pPr>
    </w:p>
    <w:p w:rsidR="003454D1" w:rsidRDefault="008C651D">
      <w:pPr>
        <w:rPr>
          <w:rFonts w:ascii="Arial" w:hAnsi="Arial" w:cs="Arial"/>
          <w:b/>
          <w:noProof/>
          <w:sz w:val="22"/>
          <w:u w:val="single"/>
        </w:rPr>
      </w:pPr>
      <w:r>
        <w:rPr>
          <w:rFonts w:ascii="Arial" w:hAnsi="Arial"/>
          <w:b/>
          <w:noProof/>
          <w:sz w:val="22"/>
          <w:u w:val="single"/>
        </w:rPr>
        <w:t>ENERGIGEMENSKAPENS LÖNESKALOR 2020–2021*</w:t>
      </w:r>
    </w:p>
    <w:tbl>
      <w:tblPr>
        <w:tblW w:w="9240" w:type="dxa"/>
        <w:tblInd w:w="10" w:type="dxa"/>
        <w:tblLayout w:type="fixed"/>
        <w:tblCellMar>
          <w:left w:w="10" w:type="dxa"/>
          <w:right w:w="10" w:type="dxa"/>
        </w:tblCellMar>
        <w:tblLook w:val="0000" w:firstRow="0" w:lastRow="0" w:firstColumn="0" w:lastColumn="0" w:noHBand="0" w:noVBand="0"/>
      </w:tblPr>
      <w:tblGrid>
        <w:gridCol w:w="3120"/>
        <w:gridCol w:w="2040"/>
        <w:gridCol w:w="2040"/>
        <w:gridCol w:w="2040"/>
      </w:tblGrid>
      <w:tr w:rsidR="003454D1">
        <w:trPr>
          <w:trHeight w:hRule="exact" w:val="980"/>
        </w:trPr>
        <w:tc>
          <w:tcPr>
            <w:tcW w:w="3120" w:type="dxa"/>
            <w:tcBorders>
              <w:top w:val="single" w:sz="4" w:space="0" w:color="auto"/>
              <w:left w:val="single" w:sz="4" w:space="0" w:color="auto"/>
            </w:tcBorders>
            <w:shd w:val="clear" w:color="auto" w:fill="D9D9D9" w:themeFill="background1" w:themeFillShade="D9"/>
            <w:vAlign w:val="center"/>
          </w:tcPr>
          <w:p w:rsidR="003454D1" w:rsidRDefault="008C651D">
            <w:pPr>
              <w:pStyle w:val="Bodytext20"/>
              <w:shd w:val="clear" w:color="auto" w:fill="auto"/>
              <w:spacing w:before="0" w:after="0" w:line="240" w:lineRule="auto"/>
              <w:ind w:firstLine="0"/>
              <w:jc w:val="center"/>
              <w:rPr>
                <w:noProof/>
                <w:highlight w:val="lightGray"/>
              </w:rPr>
            </w:pPr>
            <w:r>
              <w:rPr>
                <w:rStyle w:val="Bodytext245ptBold"/>
                <w:noProof/>
                <w:sz w:val="16"/>
                <w:szCs w:val="16"/>
                <w:highlight w:val="lightGray"/>
              </w:rPr>
              <w:t>Nivå/beskrivning</w:t>
            </w:r>
          </w:p>
        </w:tc>
        <w:tc>
          <w:tcPr>
            <w:tcW w:w="2040" w:type="dxa"/>
            <w:tcBorders>
              <w:top w:val="single" w:sz="4" w:space="0" w:color="auto"/>
              <w:left w:val="single" w:sz="4" w:space="0" w:color="auto"/>
            </w:tcBorders>
            <w:shd w:val="clear" w:color="auto" w:fill="D9D9D9" w:themeFill="background1" w:themeFillShade="D9"/>
            <w:vAlign w:val="center"/>
          </w:tcPr>
          <w:p w:rsidR="003454D1" w:rsidRDefault="008C651D">
            <w:pPr>
              <w:pStyle w:val="Bodytext20"/>
              <w:shd w:val="clear" w:color="auto" w:fill="auto"/>
              <w:spacing w:before="0" w:after="0" w:line="240" w:lineRule="auto"/>
              <w:ind w:firstLine="0"/>
              <w:jc w:val="center"/>
              <w:rPr>
                <w:rStyle w:val="Bodytext245ptBold"/>
                <w:noProof/>
                <w:sz w:val="16"/>
                <w:szCs w:val="16"/>
                <w:highlight w:val="lightGray"/>
              </w:rPr>
            </w:pPr>
            <w:r>
              <w:rPr>
                <w:rStyle w:val="Bodytext245ptBold"/>
                <w:noProof/>
                <w:sz w:val="16"/>
                <w:szCs w:val="16"/>
                <w:highlight w:val="lightGray"/>
              </w:rPr>
              <w:t>per månad</w:t>
            </w:r>
          </w:p>
          <w:p w:rsidR="003454D1" w:rsidRDefault="008C651D">
            <w:pPr>
              <w:pStyle w:val="Bodytext20"/>
              <w:shd w:val="clear" w:color="auto" w:fill="auto"/>
              <w:spacing w:before="0" w:after="0" w:line="240" w:lineRule="auto"/>
              <w:ind w:firstLine="0"/>
              <w:jc w:val="center"/>
              <w:rPr>
                <w:b/>
                <w:noProof/>
                <w:highlight w:val="lightGray"/>
              </w:rPr>
            </w:pPr>
            <w:r>
              <w:rPr>
                <w:rStyle w:val="Bodytext245ptBold"/>
                <w:b w:val="0"/>
                <w:noProof/>
                <w:sz w:val="16"/>
                <w:szCs w:val="16"/>
                <w:highlight w:val="lightGray"/>
              </w:rPr>
              <w:t xml:space="preserve"> (i euro)</w:t>
            </w:r>
          </w:p>
        </w:tc>
        <w:tc>
          <w:tcPr>
            <w:tcW w:w="2040" w:type="dxa"/>
            <w:tcBorders>
              <w:top w:val="single" w:sz="4" w:space="0" w:color="auto"/>
              <w:left w:val="single" w:sz="4" w:space="0" w:color="auto"/>
            </w:tcBorders>
            <w:shd w:val="clear" w:color="auto" w:fill="D9D9D9" w:themeFill="background1" w:themeFillShade="D9"/>
            <w:vAlign w:val="center"/>
          </w:tcPr>
          <w:p w:rsidR="003454D1" w:rsidRDefault="008C651D">
            <w:pPr>
              <w:pStyle w:val="Bodytext20"/>
              <w:shd w:val="clear" w:color="auto" w:fill="auto"/>
              <w:spacing w:before="0" w:after="0" w:line="240" w:lineRule="auto"/>
              <w:ind w:firstLine="0"/>
              <w:jc w:val="center"/>
              <w:rPr>
                <w:rStyle w:val="Bodytext245ptBold"/>
                <w:noProof/>
                <w:sz w:val="16"/>
                <w:szCs w:val="16"/>
                <w:highlight w:val="lightGray"/>
              </w:rPr>
            </w:pPr>
            <w:r>
              <w:rPr>
                <w:rStyle w:val="Bodytext245ptBold"/>
                <w:noProof/>
                <w:sz w:val="16"/>
                <w:szCs w:val="16"/>
                <w:highlight w:val="lightGray"/>
              </w:rPr>
              <w:t>Heltidslön</w:t>
            </w:r>
          </w:p>
          <w:p w:rsidR="003454D1" w:rsidRDefault="008C651D">
            <w:pPr>
              <w:pStyle w:val="Bodytext20"/>
              <w:shd w:val="clear" w:color="auto" w:fill="auto"/>
              <w:spacing w:before="0" w:after="0" w:line="240" w:lineRule="auto"/>
              <w:ind w:firstLine="0"/>
              <w:jc w:val="center"/>
              <w:rPr>
                <w:rStyle w:val="Bodytext245ptBold"/>
                <w:noProof/>
                <w:sz w:val="16"/>
                <w:szCs w:val="16"/>
                <w:highlight w:val="lightGray"/>
              </w:rPr>
            </w:pPr>
            <w:r>
              <w:rPr>
                <w:rStyle w:val="Bodytext245ptBold"/>
                <w:noProof/>
                <w:sz w:val="16"/>
                <w:szCs w:val="16"/>
                <w:highlight w:val="lightGray"/>
              </w:rPr>
              <w:t xml:space="preserve"> per månad</w:t>
            </w:r>
          </w:p>
          <w:p w:rsidR="003454D1" w:rsidRDefault="008C651D">
            <w:pPr>
              <w:pStyle w:val="Bodytext20"/>
              <w:shd w:val="clear" w:color="auto" w:fill="auto"/>
              <w:spacing w:before="0" w:after="0" w:line="240" w:lineRule="auto"/>
              <w:ind w:firstLine="0"/>
              <w:jc w:val="center"/>
              <w:rPr>
                <w:b/>
                <w:noProof/>
                <w:highlight w:val="lightGray"/>
              </w:rPr>
            </w:pPr>
            <w:r>
              <w:rPr>
                <w:rStyle w:val="Bodytext245ptBold"/>
                <w:b w:val="0"/>
                <w:noProof/>
                <w:sz w:val="16"/>
                <w:szCs w:val="16"/>
                <w:highlight w:val="lightGray"/>
              </w:rPr>
              <w:t xml:space="preserve"> (i euro)</w:t>
            </w:r>
          </w:p>
        </w:tc>
        <w:tc>
          <w:tcPr>
            <w:tcW w:w="2040" w:type="dxa"/>
            <w:tcBorders>
              <w:top w:val="single" w:sz="4" w:space="0" w:color="auto"/>
              <w:left w:val="single" w:sz="4" w:space="0" w:color="auto"/>
              <w:right w:val="single" w:sz="4" w:space="0" w:color="auto"/>
            </w:tcBorders>
            <w:shd w:val="clear" w:color="auto" w:fill="D9D9D9" w:themeFill="background1" w:themeFillShade="D9"/>
            <w:vAlign w:val="center"/>
          </w:tcPr>
          <w:p w:rsidR="003454D1" w:rsidRDefault="008C651D">
            <w:pPr>
              <w:pStyle w:val="Bodytext20"/>
              <w:shd w:val="clear" w:color="auto" w:fill="auto"/>
              <w:spacing w:before="0" w:after="0" w:line="240" w:lineRule="auto"/>
              <w:ind w:firstLine="0"/>
              <w:jc w:val="center"/>
              <w:rPr>
                <w:rStyle w:val="Bodytext245ptBold"/>
                <w:noProof/>
                <w:sz w:val="16"/>
                <w:szCs w:val="16"/>
                <w:highlight w:val="lightGray"/>
              </w:rPr>
            </w:pPr>
            <w:r>
              <w:rPr>
                <w:rStyle w:val="Bodytext245ptBold"/>
                <w:noProof/>
                <w:sz w:val="16"/>
                <w:szCs w:val="16"/>
                <w:highlight w:val="lightGray"/>
              </w:rPr>
              <w:t xml:space="preserve">Heltidslön </w:t>
            </w:r>
          </w:p>
          <w:p w:rsidR="003454D1" w:rsidRDefault="008C651D">
            <w:pPr>
              <w:pStyle w:val="Bodytext20"/>
              <w:shd w:val="clear" w:color="auto" w:fill="auto"/>
              <w:spacing w:before="0" w:after="0" w:line="240" w:lineRule="auto"/>
              <w:ind w:firstLine="0"/>
              <w:jc w:val="center"/>
              <w:rPr>
                <w:rStyle w:val="Bodytext245ptBold"/>
                <w:noProof/>
                <w:sz w:val="16"/>
                <w:szCs w:val="16"/>
                <w:highlight w:val="lightGray"/>
              </w:rPr>
            </w:pPr>
            <w:r>
              <w:rPr>
                <w:rStyle w:val="Bodytext245ptBold"/>
                <w:noProof/>
                <w:sz w:val="16"/>
                <w:szCs w:val="16"/>
                <w:highlight w:val="lightGray"/>
              </w:rPr>
              <w:t>per månad</w:t>
            </w:r>
          </w:p>
          <w:p w:rsidR="003454D1" w:rsidRDefault="008C651D">
            <w:pPr>
              <w:pStyle w:val="Bodytext20"/>
              <w:shd w:val="clear" w:color="auto" w:fill="auto"/>
              <w:spacing w:before="0" w:after="0" w:line="240" w:lineRule="auto"/>
              <w:ind w:firstLine="0"/>
              <w:jc w:val="center"/>
              <w:rPr>
                <w:noProof/>
                <w:highlight w:val="lightGray"/>
              </w:rPr>
            </w:pPr>
            <w:r>
              <w:rPr>
                <w:noProof/>
                <w:highlight w:val="lightGray"/>
              </w:rPr>
              <w:t xml:space="preserve"> </w:t>
            </w:r>
            <w:r>
              <w:rPr>
                <w:rStyle w:val="Bodytext245ptBold"/>
                <w:noProof/>
                <w:sz w:val="16"/>
                <w:szCs w:val="16"/>
                <w:highlight w:val="lightGray"/>
              </w:rPr>
              <w:t>(i euro)</w:t>
            </w:r>
          </w:p>
        </w:tc>
      </w:tr>
      <w:tr w:rsidR="003454D1">
        <w:trPr>
          <w:trHeight w:hRule="exact" w:val="413"/>
        </w:trPr>
        <w:tc>
          <w:tcPr>
            <w:tcW w:w="3120" w:type="dxa"/>
            <w:tcBorders>
              <w:top w:val="single" w:sz="4" w:space="0" w:color="auto"/>
              <w:left w:val="single" w:sz="4" w:space="0" w:color="auto"/>
            </w:tcBorders>
            <w:shd w:val="clear" w:color="auto" w:fill="D9D9D9" w:themeFill="background1" w:themeFillShade="D9"/>
          </w:tcPr>
          <w:p w:rsidR="003454D1" w:rsidRDefault="003454D1">
            <w:pPr>
              <w:rPr>
                <w:noProof/>
                <w:sz w:val="16"/>
                <w:szCs w:val="16"/>
                <w:highlight w:val="lightGray"/>
              </w:rPr>
            </w:pPr>
          </w:p>
        </w:tc>
        <w:tc>
          <w:tcPr>
            <w:tcW w:w="2040" w:type="dxa"/>
            <w:tcBorders>
              <w:top w:val="single" w:sz="4" w:space="0" w:color="auto"/>
              <w:left w:val="single" w:sz="4" w:space="0" w:color="auto"/>
            </w:tcBorders>
            <w:shd w:val="clear" w:color="auto" w:fill="D9D9D9" w:themeFill="background1" w:themeFillShade="D9"/>
            <w:vAlign w:val="center"/>
          </w:tcPr>
          <w:p w:rsidR="003454D1" w:rsidRDefault="008C651D">
            <w:pPr>
              <w:pStyle w:val="Bodytext20"/>
              <w:shd w:val="clear" w:color="auto" w:fill="auto"/>
              <w:spacing w:before="0" w:after="0" w:line="240" w:lineRule="auto"/>
              <w:ind w:firstLine="0"/>
              <w:jc w:val="center"/>
              <w:rPr>
                <w:noProof/>
                <w:highlight w:val="lightGray"/>
              </w:rPr>
            </w:pPr>
            <w:r>
              <w:rPr>
                <w:rStyle w:val="Bodytext245ptBold"/>
                <w:noProof/>
                <w:sz w:val="16"/>
                <w:szCs w:val="16"/>
                <w:highlight w:val="lightGray"/>
              </w:rPr>
              <w:t>2019</w:t>
            </w:r>
          </w:p>
        </w:tc>
        <w:tc>
          <w:tcPr>
            <w:tcW w:w="2040" w:type="dxa"/>
            <w:tcBorders>
              <w:top w:val="single" w:sz="4" w:space="0" w:color="auto"/>
              <w:left w:val="single" w:sz="4" w:space="0" w:color="auto"/>
            </w:tcBorders>
            <w:shd w:val="clear" w:color="auto" w:fill="D9D9D9" w:themeFill="background1" w:themeFillShade="D9"/>
            <w:vAlign w:val="bottom"/>
          </w:tcPr>
          <w:p w:rsidR="003454D1" w:rsidRDefault="008C651D">
            <w:pPr>
              <w:pStyle w:val="Bodytext20"/>
              <w:shd w:val="clear" w:color="auto" w:fill="auto"/>
              <w:spacing w:before="0" w:after="0" w:line="240" w:lineRule="auto"/>
              <w:ind w:firstLine="0"/>
              <w:jc w:val="center"/>
              <w:rPr>
                <w:noProof/>
                <w:highlight w:val="lightGray"/>
              </w:rPr>
            </w:pPr>
            <w:r>
              <w:rPr>
                <w:rStyle w:val="Bodytext245ptBold"/>
                <w:noProof/>
                <w:sz w:val="16"/>
                <w:szCs w:val="16"/>
                <w:highlight w:val="lightGray"/>
              </w:rPr>
              <w:t>2020</w:t>
            </w:r>
          </w:p>
        </w:tc>
        <w:tc>
          <w:tcPr>
            <w:tcW w:w="2040" w:type="dxa"/>
            <w:tcBorders>
              <w:top w:val="single" w:sz="4" w:space="0" w:color="auto"/>
              <w:left w:val="single" w:sz="4" w:space="0" w:color="auto"/>
              <w:right w:val="single" w:sz="4" w:space="0" w:color="auto"/>
            </w:tcBorders>
            <w:shd w:val="clear" w:color="auto" w:fill="D9D9D9" w:themeFill="background1" w:themeFillShade="D9"/>
            <w:vAlign w:val="bottom"/>
          </w:tcPr>
          <w:p w:rsidR="003454D1" w:rsidRDefault="008C651D">
            <w:pPr>
              <w:pStyle w:val="Bodytext20"/>
              <w:shd w:val="clear" w:color="auto" w:fill="auto"/>
              <w:spacing w:before="0" w:after="0" w:line="240" w:lineRule="auto"/>
              <w:ind w:firstLine="0"/>
              <w:jc w:val="center"/>
              <w:rPr>
                <w:noProof/>
                <w:highlight w:val="lightGray"/>
              </w:rPr>
            </w:pPr>
            <w:r>
              <w:rPr>
                <w:rStyle w:val="Bodytext245ptBold"/>
                <w:noProof/>
                <w:sz w:val="16"/>
                <w:szCs w:val="16"/>
                <w:highlight w:val="lightGray"/>
              </w:rPr>
              <w:t>2021</w:t>
            </w:r>
          </w:p>
        </w:tc>
      </w:tr>
      <w:tr w:rsidR="003454D1">
        <w:trPr>
          <w:trHeight w:hRule="exact" w:val="407"/>
        </w:trPr>
        <w:tc>
          <w:tcPr>
            <w:tcW w:w="312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left"/>
              <w:rPr>
                <w:noProof/>
              </w:rPr>
            </w:pPr>
            <w:r>
              <w:rPr>
                <w:rStyle w:val="Bodytext245ptBold"/>
                <w:b w:val="0"/>
                <w:noProof/>
                <w:sz w:val="16"/>
                <w:szCs w:val="16"/>
              </w:rPr>
              <w:t>Direktör</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14 284</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14 569</w:t>
            </w:r>
          </w:p>
        </w:tc>
        <w:tc>
          <w:tcPr>
            <w:tcW w:w="2040" w:type="dxa"/>
            <w:tcBorders>
              <w:top w:val="single" w:sz="4" w:space="0" w:color="auto"/>
              <w:left w:val="single" w:sz="4" w:space="0" w:color="auto"/>
              <w:righ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14 861</w:t>
            </w:r>
          </w:p>
        </w:tc>
      </w:tr>
      <w:tr w:rsidR="003454D1">
        <w:trPr>
          <w:trHeight w:hRule="exact" w:val="407"/>
        </w:trPr>
        <w:tc>
          <w:tcPr>
            <w:tcW w:w="312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left"/>
              <w:rPr>
                <w:noProof/>
              </w:rPr>
            </w:pPr>
            <w:r>
              <w:rPr>
                <w:rStyle w:val="Bodytext245ptBold"/>
                <w:b w:val="0"/>
                <w:noProof/>
                <w:sz w:val="16"/>
                <w:szCs w:val="16"/>
              </w:rPr>
              <w:t>Biträdande direktör**</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9 721</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9 916</w:t>
            </w:r>
          </w:p>
        </w:tc>
        <w:tc>
          <w:tcPr>
            <w:tcW w:w="2040" w:type="dxa"/>
            <w:tcBorders>
              <w:top w:val="single" w:sz="4" w:space="0" w:color="auto"/>
              <w:left w:val="single" w:sz="4" w:space="0" w:color="auto"/>
              <w:righ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10 114</w:t>
            </w:r>
          </w:p>
        </w:tc>
      </w:tr>
      <w:tr w:rsidR="003454D1">
        <w:trPr>
          <w:trHeight w:hRule="exact" w:val="407"/>
        </w:trPr>
        <w:tc>
          <w:tcPr>
            <w:tcW w:w="312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left"/>
              <w:rPr>
                <w:noProof/>
              </w:rPr>
            </w:pPr>
            <w:r>
              <w:rPr>
                <w:rStyle w:val="Bodytext245ptBold"/>
                <w:b w:val="0"/>
                <w:noProof/>
                <w:sz w:val="16"/>
                <w:szCs w:val="16"/>
              </w:rPr>
              <w:t>Sektions-/enhetschef</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7 777</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7 933</w:t>
            </w:r>
          </w:p>
        </w:tc>
        <w:tc>
          <w:tcPr>
            <w:tcW w:w="2040" w:type="dxa"/>
            <w:tcBorders>
              <w:top w:val="single" w:sz="4" w:space="0" w:color="auto"/>
              <w:left w:val="single" w:sz="4" w:space="0" w:color="auto"/>
              <w:righ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8 091</w:t>
            </w:r>
          </w:p>
        </w:tc>
      </w:tr>
      <w:tr w:rsidR="003454D1">
        <w:trPr>
          <w:trHeight w:hRule="exact" w:val="407"/>
        </w:trPr>
        <w:tc>
          <w:tcPr>
            <w:tcW w:w="312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left"/>
              <w:rPr>
                <w:noProof/>
              </w:rPr>
            </w:pPr>
            <w:r>
              <w:rPr>
                <w:rStyle w:val="Bodytext245ptBold"/>
                <w:b w:val="0"/>
                <w:noProof/>
                <w:sz w:val="16"/>
                <w:szCs w:val="16"/>
              </w:rPr>
              <w:t>Expert</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6 514</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6 644</w:t>
            </w:r>
          </w:p>
        </w:tc>
        <w:tc>
          <w:tcPr>
            <w:tcW w:w="2040" w:type="dxa"/>
            <w:tcBorders>
              <w:top w:val="single" w:sz="4" w:space="0" w:color="auto"/>
              <w:left w:val="single" w:sz="4" w:space="0" w:color="auto"/>
              <w:righ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6 777</w:t>
            </w:r>
          </w:p>
        </w:tc>
      </w:tr>
      <w:tr w:rsidR="003454D1">
        <w:trPr>
          <w:trHeight w:hRule="exact" w:val="407"/>
        </w:trPr>
        <w:tc>
          <w:tcPr>
            <w:tcW w:w="312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left"/>
              <w:rPr>
                <w:noProof/>
              </w:rPr>
            </w:pPr>
            <w:r>
              <w:rPr>
                <w:rStyle w:val="Bodytext245ptBold"/>
                <w:b w:val="0"/>
                <w:noProof/>
                <w:sz w:val="16"/>
                <w:szCs w:val="16"/>
              </w:rPr>
              <w:t>Assistent/tjänsteman</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 xml:space="preserve">4 </w:t>
            </w:r>
            <w:r>
              <w:rPr>
                <w:rStyle w:val="Bodytext245ptBold"/>
                <w:b w:val="0"/>
                <w:noProof/>
                <w:sz w:val="16"/>
                <w:szCs w:val="16"/>
              </w:rPr>
              <w:t>767</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4 862</w:t>
            </w:r>
          </w:p>
        </w:tc>
        <w:tc>
          <w:tcPr>
            <w:tcW w:w="2040" w:type="dxa"/>
            <w:tcBorders>
              <w:top w:val="single" w:sz="4" w:space="0" w:color="auto"/>
              <w:left w:val="single" w:sz="4" w:space="0" w:color="auto"/>
              <w:righ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4 960</w:t>
            </w:r>
          </w:p>
        </w:tc>
      </w:tr>
      <w:tr w:rsidR="003454D1">
        <w:trPr>
          <w:trHeight w:hRule="exact" w:val="407"/>
        </w:trPr>
        <w:tc>
          <w:tcPr>
            <w:tcW w:w="312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left"/>
              <w:rPr>
                <w:noProof/>
              </w:rPr>
            </w:pPr>
            <w:r>
              <w:rPr>
                <w:rStyle w:val="Bodytext245ptBold"/>
                <w:b w:val="0"/>
                <w:noProof/>
                <w:sz w:val="16"/>
                <w:szCs w:val="16"/>
              </w:rPr>
              <w:t>Utstationerad person</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3 200</w:t>
            </w:r>
          </w:p>
        </w:tc>
        <w:tc>
          <w:tcPr>
            <w:tcW w:w="2040" w:type="dxa"/>
            <w:tcBorders>
              <w:top w:val="single" w:sz="4" w:space="0" w:color="auto"/>
              <w:lef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3 200</w:t>
            </w:r>
          </w:p>
        </w:tc>
        <w:tc>
          <w:tcPr>
            <w:tcW w:w="2040" w:type="dxa"/>
            <w:tcBorders>
              <w:top w:val="single" w:sz="4" w:space="0" w:color="auto"/>
              <w:left w:val="single" w:sz="4" w:space="0" w:color="auto"/>
              <w:righ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3 264</w:t>
            </w:r>
          </w:p>
        </w:tc>
      </w:tr>
      <w:tr w:rsidR="003454D1">
        <w:trPr>
          <w:trHeight w:hRule="exact" w:val="420"/>
        </w:trPr>
        <w:tc>
          <w:tcPr>
            <w:tcW w:w="3120" w:type="dxa"/>
            <w:tcBorders>
              <w:top w:val="single" w:sz="4" w:space="0" w:color="auto"/>
              <w:left w:val="single" w:sz="4" w:space="0" w:color="auto"/>
              <w:bottom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left"/>
              <w:rPr>
                <w:noProof/>
              </w:rPr>
            </w:pPr>
            <w:r>
              <w:rPr>
                <w:rStyle w:val="Bodytext245ptBold"/>
                <w:b w:val="0"/>
                <w:noProof/>
                <w:sz w:val="16"/>
                <w:szCs w:val="16"/>
              </w:rPr>
              <w:t>Praktikant</w:t>
            </w:r>
          </w:p>
        </w:tc>
        <w:tc>
          <w:tcPr>
            <w:tcW w:w="2040" w:type="dxa"/>
            <w:tcBorders>
              <w:top w:val="single" w:sz="4" w:space="0" w:color="auto"/>
              <w:left w:val="single" w:sz="4" w:space="0" w:color="auto"/>
              <w:bottom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1 611</w:t>
            </w:r>
          </w:p>
        </w:tc>
        <w:tc>
          <w:tcPr>
            <w:tcW w:w="2040" w:type="dxa"/>
            <w:tcBorders>
              <w:top w:val="single" w:sz="4" w:space="0" w:color="auto"/>
              <w:left w:val="single" w:sz="4" w:space="0" w:color="auto"/>
              <w:bottom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1 644</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3454D1" w:rsidRDefault="008C651D">
            <w:pPr>
              <w:pStyle w:val="Bodytext20"/>
              <w:shd w:val="clear" w:color="auto" w:fill="auto"/>
              <w:spacing w:before="0" w:after="0" w:line="240" w:lineRule="auto"/>
              <w:ind w:firstLine="0"/>
              <w:jc w:val="right"/>
              <w:rPr>
                <w:noProof/>
              </w:rPr>
            </w:pPr>
            <w:r>
              <w:rPr>
                <w:rStyle w:val="Bodytext245ptBold"/>
                <w:b w:val="0"/>
                <w:noProof/>
                <w:sz w:val="16"/>
                <w:szCs w:val="16"/>
              </w:rPr>
              <w:t>1 677</w:t>
            </w:r>
          </w:p>
        </w:tc>
      </w:tr>
    </w:tbl>
    <w:p w:rsidR="003454D1" w:rsidRDefault="008C651D">
      <w:pPr>
        <w:pStyle w:val="Footnote30"/>
        <w:shd w:val="clear" w:color="auto" w:fill="auto"/>
        <w:rPr>
          <w:noProof/>
          <w:color w:val="000000"/>
        </w:rPr>
      </w:pPr>
      <w:r>
        <w:rPr>
          <w:noProof/>
        </w:rPr>
        <w:t>*  Siffrorna avser heltidsanställning.</w:t>
      </w:r>
    </w:p>
    <w:p w:rsidR="003454D1" w:rsidRDefault="008C651D">
      <w:pPr>
        <w:pStyle w:val="Footnote30"/>
        <w:shd w:val="clear" w:color="auto" w:fill="auto"/>
        <w:rPr>
          <w:noProof/>
        </w:rPr>
      </w:pPr>
      <w:r>
        <w:rPr>
          <w:noProof/>
        </w:rPr>
        <w:t xml:space="preserve">** För framtiden skulle tjänsten som biträdande direktör behöva fastställas och definieras tydligt i tjänsteföreskrifterna och </w:t>
      </w:r>
      <w:r>
        <w:rPr>
          <w:noProof/>
        </w:rPr>
        <w:t>rekryteringsreglerna.</w:t>
      </w:r>
    </w:p>
    <w:p w:rsidR="003454D1" w:rsidRDefault="003454D1">
      <w:pPr>
        <w:rPr>
          <w:rFonts w:ascii="Arial" w:hAnsi="Arial" w:cs="Arial"/>
          <w:noProof/>
          <w:sz w:val="18"/>
          <w:szCs w:val="18"/>
        </w:rPr>
      </w:pPr>
    </w:p>
    <w:p w:rsidR="003454D1" w:rsidRDefault="008C651D">
      <w:pPr>
        <w:rPr>
          <w:rFonts w:ascii="Arial" w:eastAsiaTheme="majorEastAsia" w:hAnsi="Arial" w:cs="Arial"/>
          <w:bCs/>
          <w:i/>
          <w:noProof/>
          <w:sz w:val="22"/>
          <w:u w:val="single"/>
        </w:rPr>
      </w:pPr>
      <w:r>
        <w:rPr>
          <w:rFonts w:ascii="Arial" w:hAnsi="Arial"/>
          <w:bCs/>
          <w:i/>
          <w:noProof/>
          <w:sz w:val="22"/>
          <w:u w:val="single"/>
        </w:rPr>
        <w:t>Anmärkning: Energigemenskapens arbetsprogram för 2020–2021, som är en bilaga till detta procedurbeslut, bifogas som styrkande handling.</w:t>
      </w:r>
    </w:p>
    <w:p w:rsidR="003454D1" w:rsidRDefault="008C651D">
      <w:pPr>
        <w:spacing w:before="0" w:after="200" w:line="276" w:lineRule="auto"/>
        <w:jc w:val="left"/>
        <w:rPr>
          <w:rFonts w:ascii="Arial" w:eastAsiaTheme="majorEastAsia" w:hAnsi="Arial" w:cs="Arial"/>
          <w:bCs/>
          <w:i/>
          <w:noProof/>
          <w:sz w:val="22"/>
          <w:u w:val="single"/>
        </w:rPr>
      </w:pPr>
      <w:r>
        <w:rPr>
          <w:noProof/>
        </w:rPr>
        <w:br w:type="page"/>
      </w:r>
    </w:p>
    <w:p w:rsidR="003454D1" w:rsidRDefault="003454D1">
      <w:pPr>
        <w:rPr>
          <w:rFonts w:ascii="Arial" w:eastAsiaTheme="majorEastAsia" w:hAnsi="Arial" w:cs="Arial"/>
          <w:bCs/>
          <w:i/>
          <w:noProof/>
          <w:sz w:val="22"/>
          <w:u w:val="single"/>
        </w:rPr>
      </w:pPr>
    </w:p>
    <w:p w:rsidR="003454D1" w:rsidRDefault="003454D1">
      <w:pPr>
        <w:rPr>
          <w:rFonts w:ascii="Arial" w:eastAsiaTheme="majorEastAsia" w:hAnsi="Arial" w:cs="Arial"/>
          <w:bCs/>
          <w:i/>
          <w:noProof/>
          <w:sz w:val="22"/>
          <w:u w:val="single"/>
        </w:rPr>
      </w:pPr>
    </w:p>
    <w:p w:rsidR="003454D1" w:rsidRDefault="003454D1">
      <w:pPr>
        <w:rPr>
          <w:rFonts w:ascii="Arial" w:eastAsiaTheme="majorEastAsia" w:hAnsi="Arial" w:cs="Arial"/>
          <w:bCs/>
          <w:i/>
          <w:noProof/>
          <w:sz w:val="22"/>
          <w:u w:val="single"/>
        </w:rPr>
      </w:pPr>
    </w:p>
    <w:p w:rsidR="003454D1" w:rsidRDefault="008C651D">
      <w:pPr>
        <w:pStyle w:val="Annexetitre"/>
        <w:rPr>
          <w:noProof/>
        </w:rPr>
      </w:pPr>
      <w:r>
        <w:rPr>
          <w:noProof/>
        </w:rPr>
        <w:t>BILAGA 2</w:t>
      </w:r>
    </w:p>
    <w:p w:rsidR="003454D1" w:rsidRDefault="003454D1">
      <w:pPr>
        <w:rPr>
          <w:noProof/>
        </w:rPr>
      </w:pPr>
    </w:p>
    <w:p w:rsidR="003454D1" w:rsidRDefault="008C651D">
      <w:pPr>
        <w:jc w:val="center"/>
        <w:rPr>
          <w:b/>
          <w:noProof/>
        </w:rPr>
      </w:pPr>
      <w:r>
        <w:rPr>
          <w:b/>
          <w:noProof/>
        </w:rPr>
        <w:t>DEN PERMANENTA HÖGNIVÅGRUPPEN</w:t>
      </w:r>
    </w:p>
    <w:p w:rsidR="003454D1" w:rsidRDefault="008C651D">
      <w:pPr>
        <w:pStyle w:val="ChapterTitle"/>
        <w:rPr>
          <w:rStyle w:val="Strong"/>
          <w:noProof/>
        </w:rPr>
      </w:pPr>
      <w:r>
        <w:rPr>
          <w:rStyle w:val="Strong"/>
          <w:noProof/>
        </w:rPr>
        <w:t xml:space="preserve">BESLUT AV ENERGIGEMENSKAPENS PERMANENTA HÖGNIVÅGRUPP ANGÅENDE GENOMFÖRANDET AV FÖRORDNING (EU) NR 312/2014 OM FASTSTÄLLANDE AV NÄTFÖRESKRIFTER FÖR BALANSERING AV ÖVERFÖRINGSNÄT FÖR GAS </w:t>
      </w:r>
    </w:p>
    <w:p w:rsidR="003454D1" w:rsidRDefault="008C651D">
      <w:pPr>
        <w:pStyle w:val="Text1"/>
        <w:rPr>
          <w:noProof/>
        </w:rPr>
      </w:pPr>
      <w:r>
        <w:rPr>
          <w:noProof/>
        </w:rPr>
        <w:t>Den ståndpunkt som ska intas på Europeiska unionens vägnar är att godk</w:t>
      </w:r>
      <w:r>
        <w:rPr>
          <w:noProof/>
        </w:rPr>
        <w:t>änna utkastet till beslut om genomförande av kommissionens förordning (EU) nr 312/2014 i enlighet med kommissionens beslut av den 6 november 2019 om fastställande av kommissionens förslag till beslut i energigemenskapens permanenta högnivågrupp om genomför</w:t>
      </w:r>
      <w:r>
        <w:rPr>
          <w:noProof/>
        </w:rPr>
        <w:t xml:space="preserve">ande av förordning (EU) nr 312/2014 om fastställande av nätföreskrifter för balansering av överföringsnät för gas, C(2019) 7831 final. </w:t>
      </w:r>
    </w:p>
    <w:p w:rsidR="003454D1" w:rsidRDefault="003454D1">
      <w:pPr>
        <w:pStyle w:val="Text1"/>
        <w:rPr>
          <w:noProof/>
        </w:rPr>
      </w:pPr>
    </w:p>
    <w:p w:rsidR="003454D1" w:rsidRDefault="008C651D">
      <w:pPr>
        <w:spacing w:before="0" w:after="200" w:line="276" w:lineRule="auto"/>
        <w:jc w:val="left"/>
        <w:rPr>
          <w:noProof/>
        </w:rPr>
      </w:pPr>
      <w:r>
        <w:rPr>
          <w:noProof/>
        </w:rPr>
        <w:br w:type="page"/>
      </w:r>
    </w:p>
    <w:p w:rsidR="003454D1" w:rsidRDefault="008C651D">
      <w:pPr>
        <w:pStyle w:val="Annexetitre"/>
        <w:rPr>
          <w:noProof/>
        </w:rPr>
      </w:pPr>
      <w:r>
        <w:rPr>
          <w:noProof/>
        </w:rPr>
        <w:t>BILAGA 3</w:t>
      </w:r>
    </w:p>
    <w:p w:rsidR="003454D1" w:rsidRDefault="003454D1">
      <w:pPr>
        <w:rPr>
          <w:noProof/>
        </w:rPr>
      </w:pPr>
    </w:p>
    <w:p w:rsidR="003454D1" w:rsidRDefault="008C651D">
      <w:pPr>
        <w:pStyle w:val="Text1"/>
        <w:jc w:val="center"/>
        <w:rPr>
          <w:b/>
          <w:noProof/>
        </w:rPr>
      </w:pPr>
      <w:r>
        <w:rPr>
          <w:b/>
          <w:noProof/>
        </w:rPr>
        <w:t xml:space="preserve">Frågor som inte omfattas av artikel 218.9 i EUF-fördraget, men som kräver ett politiskt godkännande av </w:t>
      </w:r>
      <w:r>
        <w:rPr>
          <w:b/>
          <w:noProof/>
        </w:rPr>
        <w:t>rådet</w:t>
      </w:r>
    </w:p>
    <w:p w:rsidR="003454D1" w:rsidRDefault="008C651D">
      <w:pPr>
        <w:pStyle w:val="Heading1"/>
        <w:numPr>
          <w:ilvl w:val="0"/>
          <w:numId w:val="3"/>
        </w:numPr>
        <w:rPr>
          <w:noProof/>
        </w:rPr>
      </w:pPr>
      <w:r>
        <w:rPr>
          <w:noProof/>
        </w:rPr>
        <w:t>2019 ÅRS RIKTLINJER FÖR ALLMÄN POLICY OM 2030 ÅRS MÅL OCH KLIMATNEUTRALITET FÖR ENERGIGEMENSKAPEN OCH DESS FÖRDRAGSSLUTANDE PARTER I ENERGIGEMENSKAPEN</w:t>
      </w:r>
    </w:p>
    <w:p w:rsidR="003454D1" w:rsidRDefault="008C651D">
      <w:pPr>
        <w:pStyle w:val="Text1"/>
        <w:rPr>
          <w:noProof/>
        </w:rPr>
      </w:pPr>
      <w:r>
        <w:rPr>
          <w:noProof/>
        </w:rPr>
        <w:t>Den ståndpunkt som ska intas på Europeiska unionens vägnar är att stödja antagandet av det utkast t</w:t>
      </w:r>
      <w:r>
        <w:rPr>
          <w:noProof/>
        </w:rPr>
        <w:t xml:space="preserve">ill 2019 års riktlinjer för allmän policy som bifogas som addendum till denna bilaga. </w:t>
      </w:r>
      <w:r>
        <w:rPr>
          <w:b/>
          <w:noProof/>
        </w:rPr>
        <w:t xml:space="preserve"> </w:t>
      </w:r>
      <w:r>
        <w:rPr>
          <w:noProof/>
        </w:rPr>
        <w:t>Mindre ändringar av dessa utkast till 2019 års riktlinjer för allmän policy får godkännas av kommissionen utan något nytt rådsbeslut, med synpunkter från de fördragsslut</w:t>
      </w:r>
      <w:r>
        <w:rPr>
          <w:noProof/>
        </w:rPr>
        <w:t>ande parterna i energigemenskapen före eller vid ministerrådet som underlag.</w:t>
      </w:r>
    </w:p>
    <w:p w:rsidR="003454D1" w:rsidRDefault="008C651D">
      <w:pPr>
        <w:pStyle w:val="Heading1"/>
        <w:numPr>
          <w:ilvl w:val="0"/>
          <w:numId w:val="3"/>
        </w:numPr>
        <w:rPr>
          <w:noProof/>
        </w:rPr>
      </w:pPr>
      <w:r>
        <w:rPr>
          <w:noProof/>
        </w:rPr>
        <w:t>ÅRSRAPPORT OM ENERGIGEMENSKAPENS VERKSAMHET FÖR 2018–2019</w:t>
      </w:r>
    </w:p>
    <w:p w:rsidR="003454D1" w:rsidRDefault="008C651D">
      <w:pPr>
        <w:pStyle w:val="Text1"/>
        <w:rPr>
          <w:noProof/>
        </w:rPr>
      </w:pPr>
      <w:r>
        <w:rPr>
          <w:noProof/>
        </w:rPr>
        <w:t>Den ståndpunkt som ska intas på Europeiska unionens vägnar är att stödja antagandet av utkastet till årsrapport för 2018–</w:t>
      </w:r>
      <w:r>
        <w:rPr>
          <w:noProof/>
        </w:rPr>
        <w:t>2019.</w:t>
      </w:r>
    </w:p>
    <w:p w:rsidR="003454D1" w:rsidRDefault="008C651D">
      <w:pPr>
        <w:pStyle w:val="Heading1"/>
        <w:numPr>
          <w:ilvl w:val="0"/>
          <w:numId w:val="3"/>
        </w:numPr>
        <w:rPr>
          <w:noProof/>
        </w:rPr>
      </w:pPr>
      <w:r>
        <w:rPr>
          <w:noProof/>
        </w:rPr>
        <w:t xml:space="preserve">BESLUT D/2019/01/MC-ENC OM ANSVARSFRIHET FÖR SEKRETARIATETS DIREKTÖR </w:t>
      </w:r>
    </w:p>
    <w:p w:rsidR="003454D1" w:rsidRDefault="008C651D">
      <w:pPr>
        <w:pStyle w:val="Text1"/>
        <w:rPr>
          <w:noProof/>
        </w:rPr>
      </w:pPr>
      <w:r>
        <w:rPr>
          <w:noProof/>
        </w:rPr>
        <w:t>Den ståndpunkt som ska intas på Europeiska unionens vägnar är att stödja antagandet av utkastet till ansvarsfrihet för direktören för 2018.</w:t>
      </w:r>
    </w:p>
    <w:p w:rsidR="003454D1" w:rsidRDefault="003454D1">
      <w:pPr>
        <w:pStyle w:val="Text1"/>
        <w:rPr>
          <w:noProof/>
        </w:rPr>
      </w:pPr>
    </w:p>
    <w:p w:rsidR="003454D1" w:rsidRDefault="008C651D">
      <w:pPr>
        <w:spacing w:before="0" w:after="200" w:line="276" w:lineRule="auto"/>
        <w:jc w:val="left"/>
        <w:rPr>
          <w:noProof/>
        </w:rPr>
      </w:pPr>
      <w:r>
        <w:rPr>
          <w:noProof/>
        </w:rPr>
        <w:br w:type="page"/>
      </w:r>
    </w:p>
    <w:p w:rsidR="003454D1" w:rsidRDefault="008C651D">
      <w:pPr>
        <w:spacing w:before="0" w:after="200" w:line="276" w:lineRule="auto"/>
        <w:jc w:val="center"/>
        <w:rPr>
          <w:b/>
          <w:i/>
          <w:noProof/>
          <w:u w:val="single"/>
        </w:rPr>
      </w:pPr>
      <w:r>
        <w:rPr>
          <w:b/>
          <w:i/>
          <w:noProof/>
          <w:u w:val="single"/>
        </w:rPr>
        <w:t>ADDENDUM TILL BILAGA 3</w:t>
      </w:r>
    </w:p>
    <w:p w:rsidR="003454D1" w:rsidRDefault="003454D1">
      <w:pPr>
        <w:spacing w:before="0" w:after="200" w:line="276" w:lineRule="auto"/>
        <w:jc w:val="center"/>
        <w:rPr>
          <w:b/>
          <w:i/>
          <w:noProof/>
          <w:u w:val="single"/>
        </w:rPr>
      </w:pPr>
    </w:p>
    <w:p w:rsidR="003454D1" w:rsidRDefault="008C651D">
      <w:pPr>
        <w:spacing w:before="0" w:after="0"/>
        <w:jc w:val="center"/>
        <w:rPr>
          <w:rFonts w:ascii="Arial" w:eastAsia="MS Mincho" w:hAnsi="Arial" w:cs="Arial"/>
          <w:b/>
          <w:noProof/>
          <w:sz w:val="28"/>
          <w:szCs w:val="28"/>
        </w:rPr>
      </w:pPr>
      <w:r>
        <w:rPr>
          <w:rFonts w:ascii="Arial" w:hAnsi="Arial"/>
          <w:b/>
          <w:noProof/>
          <w:sz w:val="28"/>
          <w:szCs w:val="28"/>
        </w:rPr>
        <w:t>2019 års rikt</w:t>
      </w:r>
      <w:r>
        <w:rPr>
          <w:rFonts w:ascii="Arial" w:hAnsi="Arial"/>
          <w:b/>
          <w:noProof/>
          <w:sz w:val="28"/>
          <w:szCs w:val="28"/>
        </w:rPr>
        <w:t>linjer för allmän policy</w:t>
      </w:r>
    </w:p>
    <w:p w:rsidR="003454D1" w:rsidRDefault="008C651D">
      <w:pPr>
        <w:spacing w:before="0" w:after="0"/>
        <w:jc w:val="center"/>
        <w:rPr>
          <w:rFonts w:ascii="Arial" w:eastAsia="MS Mincho" w:hAnsi="Arial" w:cs="Arial"/>
          <w:b/>
          <w:noProof/>
          <w:sz w:val="28"/>
          <w:szCs w:val="28"/>
        </w:rPr>
      </w:pPr>
      <w:r>
        <w:rPr>
          <w:rFonts w:ascii="Arial" w:hAnsi="Arial"/>
          <w:b/>
          <w:noProof/>
          <w:sz w:val="28"/>
          <w:szCs w:val="28"/>
        </w:rPr>
        <w:t xml:space="preserve">om målen för 2030 och klimatneutralitet för energigemenskapen och dess fördragsslutande parter </w:t>
      </w:r>
    </w:p>
    <w:p w:rsidR="003454D1" w:rsidRDefault="003454D1">
      <w:pPr>
        <w:spacing w:before="0" w:after="0"/>
        <w:jc w:val="center"/>
        <w:rPr>
          <w:rFonts w:ascii="Arial" w:eastAsia="MS Mincho" w:hAnsi="Arial" w:cs="Arial"/>
          <w:b/>
          <w:noProof/>
          <w:sz w:val="22"/>
        </w:rPr>
      </w:pPr>
    </w:p>
    <w:p w:rsidR="003454D1" w:rsidRDefault="003454D1">
      <w:pPr>
        <w:spacing w:before="0" w:after="0"/>
        <w:rPr>
          <w:rFonts w:ascii="Arial" w:eastAsia="MS Mincho" w:hAnsi="Arial" w:cs="Arial"/>
          <w:b/>
          <w:noProof/>
          <w:sz w:val="22"/>
        </w:rPr>
      </w:pPr>
    </w:p>
    <w:p w:rsidR="003454D1" w:rsidRDefault="003454D1">
      <w:pPr>
        <w:spacing w:before="0" w:after="0"/>
        <w:rPr>
          <w:rFonts w:ascii="Arial" w:eastAsia="MS Mincho" w:hAnsi="Arial" w:cs="Arial"/>
          <w:b/>
          <w:noProof/>
          <w:sz w:val="22"/>
        </w:rPr>
      </w:pPr>
    </w:p>
    <w:p w:rsidR="003454D1" w:rsidRDefault="008C651D">
      <w:pPr>
        <w:spacing w:before="0" w:after="0"/>
        <w:rPr>
          <w:rFonts w:ascii="Arial" w:eastAsia="MS Mincho" w:hAnsi="Arial" w:cs="Arial"/>
          <w:b/>
          <w:noProof/>
          <w:sz w:val="22"/>
        </w:rPr>
      </w:pPr>
      <w:r>
        <w:rPr>
          <w:rFonts w:ascii="Arial" w:hAnsi="Arial"/>
          <w:b/>
          <w:noProof/>
          <w:sz w:val="22"/>
        </w:rPr>
        <w:t>INLEDNING</w:t>
      </w:r>
    </w:p>
    <w:p w:rsidR="003454D1" w:rsidRDefault="003454D1">
      <w:pPr>
        <w:autoSpaceDE w:val="0"/>
        <w:autoSpaceDN w:val="0"/>
        <w:adjustRightInd w:val="0"/>
        <w:spacing w:before="0" w:after="0"/>
        <w:rPr>
          <w:rFonts w:ascii="Arial" w:eastAsia="MS Mincho" w:hAnsi="Arial" w:cs="Arial"/>
          <w:noProof/>
          <w:sz w:val="22"/>
        </w:rPr>
      </w:pPr>
    </w:p>
    <w:p w:rsidR="003454D1" w:rsidRDefault="008C651D">
      <w:pPr>
        <w:autoSpaceDE w:val="0"/>
        <w:autoSpaceDN w:val="0"/>
        <w:adjustRightInd w:val="0"/>
        <w:spacing w:before="0" w:after="0"/>
        <w:rPr>
          <w:rFonts w:ascii="Arial" w:eastAsia="MS Mincho" w:hAnsi="Arial" w:cs="Arial"/>
          <w:noProof/>
          <w:color w:val="404040"/>
          <w:sz w:val="22"/>
        </w:rPr>
      </w:pPr>
      <w:r>
        <w:rPr>
          <w:rFonts w:ascii="Arial" w:hAnsi="Arial"/>
          <w:noProof/>
          <w:color w:val="404040"/>
          <w:sz w:val="22"/>
        </w:rPr>
        <w:t>Vid sitt möte i november 2018 antog ministerrådet riktlinjer för allmän policy avseende 2030 års mål för de fördragsslutande parterna i energigemenskapen. Riktlinjerna återspeglade det politiska samförståndet med avseende på fastställandet av tre specifika</w:t>
      </w:r>
      <w:r>
        <w:rPr>
          <w:rFonts w:ascii="Arial" w:hAnsi="Arial"/>
          <w:noProof/>
          <w:color w:val="404040"/>
          <w:sz w:val="22"/>
        </w:rPr>
        <w:t xml:space="preserve"> energi- och miljömål för 2030: ett mål för energieffektivitet, ett mål för förnybara energikällors bidrag och ett mål om minskning av växthusgasutsläppen. Dessa mål bör ligga i linje med EU:s mål för 2030, utgöra en likvärdig ambition för de fördragssluta</w:t>
      </w:r>
      <w:r>
        <w:rPr>
          <w:rFonts w:ascii="Arial" w:hAnsi="Arial"/>
          <w:noProof/>
          <w:color w:val="404040"/>
          <w:sz w:val="22"/>
        </w:rPr>
        <w:t xml:space="preserve">nde parterna och beakta relevanta socioekonomiska skillnader, den tekniska utvecklingen och Parisavtalet om klimatförändringar. </w:t>
      </w:r>
    </w:p>
    <w:p w:rsidR="003454D1" w:rsidRDefault="003454D1">
      <w:pPr>
        <w:autoSpaceDE w:val="0"/>
        <w:autoSpaceDN w:val="0"/>
        <w:adjustRightInd w:val="0"/>
        <w:spacing w:before="0" w:after="0"/>
        <w:rPr>
          <w:rFonts w:ascii="Arial" w:eastAsia="MS Mincho" w:hAnsi="Arial" w:cs="Arial"/>
          <w:noProof/>
          <w:color w:val="404040"/>
          <w:sz w:val="22"/>
        </w:rPr>
      </w:pPr>
    </w:p>
    <w:p w:rsidR="003454D1" w:rsidRDefault="008C651D">
      <w:pPr>
        <w:autoSpaceDE w:val="0"/>
        <w:autoSpaceDN w:val="0"/>
        <w:adjustRightInd w:val="0"/>
        <w:spacing w:before="0" w:after="0"/>
        <w:rPr>
          <w:rFonts w:ascii="Arial" w:eastAsia="MS Mincho" w:hAnsi="Arial" w:cs="Arial"/>
          <w:noProof/>
          <w:color w:val="404040"/>
          <w:sz w:val="22"/>
        </w:rPr>
      </w:pPr>
      <w:r>
        <w:rPr>
          <w:rFonts w:ascii="Arial" w:hAnsi="Arial"/>
          <w:noProof/>
          <w:color w:val="404040"/>
          <w:sz w:val="22"/>
        </w:rPr>
        <w:t>De politiska överenskommelserna mellan Europeiska unionens råd och Europaparlamentet under 2018 och i början av 2019 gjorde at</w:t>
      </w:r>
      <w:r>
        <w:rPr>
          <w:rFonts w:ascii="Arial" w:hAnsi="Arial"/>
          <w:noProof/>
          <w:color w:val="404040"/>
          <w:sz w:val="22"/>
        </w:rPr>
        <w:t xml:space="preserve">t alla de regler som infördes genom paketet om ren energi för alla i EU kunde träda i kraft från och med juni 2019. </w:t>
      </w:r>
      <w:r>
        <w:rPr>
          <w:rFonts w:ascii="Arial" w:hAnsi="Arial"/>
          <w:noProof/>
          <w:sz w:val="22"/>
        </w:rPr>
        <w:t>De tre klimat- och energipolitiska målen för 2030, dvs. att minska utsläppen av växthusgaser med minst 40 % jämfört med 1990 års nivåer samt</w:t>
      </w:r>
      <w:r>
        <w:rPr>
          <w:rFonts w:ascii="Arial" w:hAnsi="Arial"/>
          <w:noProof/>
          <w:sz w:val="22"/>
        </w:rPr>
        <w:t xml:space="preserve"> nå energieffektivitetsmål på minst 32,5 % och ett mål för förnybar energi på minst 32 %, finns nu fullt ut fastställda i EU-lagstiftningen.</w:t>
      </w:r>
    </w:p>
    <w:p w:rsidR="003454D1" w:rsidRDefault="003454D1">
      <w:pPr>
        <w:autoSpaceDE w:val="0"/>
        <w:autoSpaceDN w:val="0"/>
        <w:adjustRightInd w:val="0"/>
        <w:spacing w:before="0" w:after="0"/>
        <w:rPr>
          <w:rFonts w:ascii="Arial" w:eastAsia="MS Mincho" w:hAnsi="Arial" w:cs="Arial"/>
          <w:noProof/>
          <w:sz w:val="22"/>
        </w:rPr>
      </w:pPr>
    </w:p>
    <w:p w:rsidR="003454D1" w:rsidRDefault="008C651D">
      <w:pPr>
        <w:autoSpaceDE w:val="0"/>
        <w:autoSpaceDN w:val="0"/>
        <w:adjustRightInd w:val="0"/>
        <w:spacing w:before="0" w:after="0"/>
        <w:rPr>
          <w:rFonts w:ascii="Arial" w:eastAsia="MS Mincho" w:hAnsi="Arial" w:cs="Arial"/>
          <w:noProof/>
          <w:sz w:val="22"/>
        </w:rPr>
      </w:pPr>
      <w:r>
        <w:rPr>
          <w:rFonts w:ascii="Arial" w:hAnsi="Arial"/>
          <w:noProof/>
          <w:sz w:val="22"/>
        </w:rPr>
        <w:t>2009 års direktiv om förnybar energi och 2012 års energieffektivitetsdirektiv antogs och blev en del av energigeme</w:t>
      </w:r>
      <w:r>
        <w:rPr>
          <w:rFonts w:ascii="Arial" w:hAnsi="Arial"/>
          <w:noProof/>
          <w:sz w:val="22"/>
        </w:rPr>
        <w:t>nskapens rättsordning genom beslut av ministerrådet, inklusive ett mål för 2020 för energigemenskapen som helhet vad gäller energieffektivitet och särskilda mål för 2020 för varje fördragsslutande part vad gäller förnybar energi.</w:t>
      </w:r>
    </w:p>
    <w:p w:rsidR="003454D1" w:rsidRDefault="003454D1">
      <w:pPr>
        <w:autoSpaceDE w:val="0"/>
        <w:autoSpaceDN w:val="0"/>
        <w:adjustRightInd w:val="0"/>
        <w:spacing w:before="0" w:after="0"/>
        <w:rPr>
          <w:rFonts w:ascii="Arial" w:eastAsia="MS Mincho" w:hAnsi="Arial" w:cs="Arial"/>
          <w:noProof/>
          <w:sz w:val="22"/>
        </w:rPr>
      </w:pPr>
    </w:p>
    <w:p w:rsidR="003454D1" w:rsidRDefault="008C651D">
      <w:pPr>
        <w:autoSpaceDE w:val="0"/>
        <w:autoSpaceDN w:val="0"/>
        <w:adjustRightInd w:val="0"/>
        <w:spacing w:before="0" w:after="0"/>
        <w:rPr>
          <w:rFonts w:ascii="Arial" w:eastAsia="MS Mincho" w:hAnsi="Arial" w:cs="Arial"/>
          <w:noProof/>
          <w:sz w:val="22"/>
        </w:rPr>
      </w:pPr>
      <w:r>
        <w:rPr>
          <w:rFonts w:ascii="Arial" w:hAnsi="Arial"/>
          <w:noProof/>
          <w:sz w:val="22"/>
        </w:rPr>
        <w:t>Energigemenskapens minist</w:t>
      </w:r>
      <w:r>
        <w:rPr>
          <w:rFonts w:ascii="Arial" w:hAnsi="Arial"/>
          <w:noProof/>
          <w:sz w:val="22"/>
        </w:rPr>
        <w:t>erråd betonade på sitt möte 2017 behovet av att fastställa mål i fråga om energieffektivitet, förnybar energi och minskning av växthusgasutsläpp fram till 2030. Detta är i linje med de fördragsslutande parternas respektive skyldigheter inom ramen för proce</w:t>
      </w:r>
      <w:r>
        <w:rPr>
          <w:rFonts w:ascii="Arial" w:hAnsi="Arial"/>
          <w:noProof/>
          <w:sz w:val="22"/>
        </w:rPr>
        <w:t xml:space="preserve">ssen för anslutning till EU och ländernas åtaganden inom ramen för Förenta nationernas ramkonvention om klimatförändringar och Parisavtalet. </w:t>
      </w:r>
    </w:p>
    <w:p w:rsidR="003454D1" w:rsidRDefault="003454D1">
      <w:pPr>
        <w:autoSpaceDE w:val="0"/>
        <w:autoSpaceDN w:val="0"/>
        <w:adjustRightInd w:val="0"/>
        <w:spacing w:before="0" w:after="0"/>
        <w:rPr>
          <w:rFonts w:ascii="Arial" w:eastAsia="MS Mincho" w:hAnsi="Arial" w:cs="Arial"/>
          <w:noProof/>
          <w:sz w:val="22"/>
        </w:rPr>
      </w:pPr>
    </w:p>
    <w:p w:rsidR="003454D1" w:rsidRDefault="008C651D">
      <w:pPr>
        <w:autoSpaceDE w:val="0"/>
        <w:autoSpaceDN w:val="0"/>
        <w:adjustRightInd w:val="0"/>
        <w:spacing w:before="0" w:after="0"/>
        <w:rPr>
          <w:rFonts w:ascii="Arial" w:eastAsia="MS Mincho" w:hAnsi="Arial" w:cs="Arial"/>
          <w:noProof/>
          <w:sz w:val="22"/>
        </w:rPr>
      </w:pPr>
      <w:r>
        <w:rPr>
          <w:rFonts w:ascii="Arial" w:hAnsi="Arial"/>
          <w:noProof/>
          <w:sz w:val="22"/>
        </w:rPr>
        <w:t>Som ett första steg i processen för att fastställa mål tog energigemenskapens sekretariat initiativ till en exter</w:t>
      </w:r>
      <w:r>
        <w:rPr>
          <w:rFonts w:ascii="Arial" w:hAnsi="Arial"/>
          <w:noProof/>
          <w:sz w:val="22"/>
        </w:rPr>
        <w:t>n undersökning för att, om möjligt, hitta en metod för att fastställa tre energi- och klimatmål på grundval av de kriterier som anges i 2018 års riktlinjer för allmän policy. Undersökningens resultat diskuterades ingående och granskades av energi- och klim</w:t>
      </w:r>
      <w:r>
        <w:rPr>
          <w:rFonts w:ascii="Arial" w:hAnsi="Arial"/>
          <w:noProof/>
          <w:sz w:val="22"/>
        </w:rPr>
        <w:t xml:space="preserve">atkommitténs tekniska arbetsgrupp, med stöd av analytiskt underlag från kommissionen. Undersökningen, som avslutades i juni 2019, gav en värdefull utgångspunkt för diskussionerna. Det visade sig dock också att det fanns vissa metodologiska begränsningar i </w:t>
      </w:r>
      <w:r>
        <w:rPr>
          <w:rFonts w:ascii="Arial" w:hAnsi="Arial"/>
          <w:noProof/>
          <w:sz w:val="22"/>
        </w:rPr>
        <w:t>fråga om uppgifternas kvalitet och tillgänglighet samt analysernas omfattning jämfört med den kapacitet som traditionellt används i EU. Det skulle därför inte vara möjligt att enbart baserat på undersökningen dra slutsatser och föreslå entydiga mål för 203</w:t>
      </w:r>
      <w:r>
        <w:rPr>
          <w:rFonts w:ascii="Arial" w:hAnsi="Arial"/>
          <w:noProof/>
          <w:sz w:val="22"/>
        </w:rPr>
        <w:t xml:space="preserve">0 för energigemenskapen och dess fördragsslutande parter. </w:t>
      </w:r>
    </w:p>
    <w:p w:rsidR="003454D1" w:rsidRDefault="003454D1">
      <w:pPr>
        <w:autoSpaceDE w:val="0"/>
        <w:autoSpaceDN w:val="0"/>
        <w:adjustRightInd w:val="0"/>
        <w:spacing w:before="0" w:after="0"/>
        <w:rPr>
          <w:rFonts w:ascii="Arial" w:eastAsia="MS Mincho" w:hAnsi="Arial" w:cs="Arial"/>
          <w:noProof/>
          <w:sz w:val="22"/>
        </w:rPr>
      </w:pPr>
    </w:p>
    <w:p w:rsidR="003454D1" w:rsidRDefault="008C651D">
      <w:pPr>
        <w:autoSpaceDE w:val="0"/>
        <w:autoSpaceDN w:val="0"/>
        <w:adjustRightInd w:val="0"/>
        <w:spacing w:before="0" w:after="0"/>
        <w:rPr>
          <w:rFonts w:ascii="Arial" w:eastAsia="MS Mincho" w:hAnsi="Arial" w:cs="Arial"/>
          <w:noProof/>
          <w:sz w:val="22"/>
        </w:rPr>
      </w:pPr>
      <w:r>
        <w:rPr>
          <w:rFonts w:ascii="Arial" w:hAnsi="Arial"/>
          <w:noProof/>
          <w:sz w:val="22"/>
        </w:rPr>
        <w:t>Diskussionerna visade att ytterligare och mer avancerad analys skulle behövas för att föreslå stabila och trovärdiga energi- och klimatmål för energigemenskapen och dess fördragsslutande parter me</w:t>
      </w:r>
      <w:r>
        <w:rPr>
          <w:rFonts w:ascii="Arial" w:hAnsi="Arial"/>
          <w:noProof/>
          <w:sz w:val="22"/>
        </w:rPr>
        <w:t>d en likvärdig ambitionsnivå och i linje med EU:s mål för 2030. En sådan analys kommer att göras inom ramen för en ny modelleringsstudie, baserad på EU-metodologi, som kommer att startas av Europeiska kommissionen.</w:t>
      </w:r>
    </w:p>
    <w:p w:rsidR="003454D1" w:rsidRDefault="003454D1">
      <w:pPr>
        <w:autoSpaceDE w:val="0"/>
        <w:autoSpaceDN w:val="0"/>
        <w:adjustRightInd w:val="0"/>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Det är dessutom mycket viktigt att man i</w:t>
      </w:r>
      <w:r>
        <w:rPr>
          <w:rFonts w:ascii="Arial" w:hAnsi="Arial"/>
          <w:noProof/>
          <w:sz w:val="22"/>
        </w:rPr>
        <w:t xml:space="preserve"> samband med fastställandet av energigemenskapens mål för 2030 tar hänsyn till ny utveckling på EU-nivå, särskilt en eventuell uppjustering av EU:s mål för 2030 inom ramen för den nya europeiska gröna given som aviserades av den tillträdande presidenten Ur</w:t>
      </w:r>
      <w:r>
        <w:rPr>
          <w:rFonts w:ascii="Arial" w:hAnsi="Arial"/>
          <w:noProof/>
          <w:sz w:val="22"/>
        </w:rPr>
        <w:t>sula von der Leyen i hennes politiska riktlinjer.</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b/>
          <w:noProof/>
          <w:sz w:val="22"/>
        </w:rPr>
      </w:pPr>
      <w:r>
        <w:rPr>
          <w:rFonts w:ascii="Arial" w:hAnsi="Arial"/>
          <w:b/>
          <w:noProof/>
          <w:sz w:val="22"/>
        </w:rPr>
        <w:t>ENERGIGEMENSKAPENS MINISTERRÅD</w:t>
      </w:r>
    </w:p>
    <w:p w:rsidR="003454D1" w:rsidRDefault="003454D1">
      <w:pPr>
        <w:spacing w:before="0" w:after="0"/>
        <w:rPr>
          <w:rFonts w:ascii="Arial" w:eastAsia="MS Mincho" w:hAnsi="Arial" w:cs="Arial"/>
          <w:b/>
          <w:noProof/>
          <w:sz w:val="22"/>
        </w:rPr>
      </w:pPr>
    </w:p>
    <w:p w:rsidR="003454D1" w:rsidRDefault="008C651D">
      <w:pPr>
        <w:spacing w:before="0" w:after="0"/>
        <w:rPr>
          <w:rFonts w:ascii="Arial" w:eastAsia="MS Mincho" w:hAnsi="Arial" w:cs="Arial"/>
          <w:noProof/>
          <w:sz w:val="22"/>
        </w:rPr>
      </w:pPr>
      <w:r>
        <w:rPr>
          <w:rFonts w:ascii="Arial" w:hAnsi="Arial"/>
          <w:noProof/>
          <w:sz w:val="22"/>
        </w:rPr>
        <w:t xml:space="preserve">som beaktar artikel 47 a i fördraget om upprättande av en energigemenskap (nedan kallat </w:t>
      </w:r>
      <w:r>
        <w:rPr>
          <w:rFonts w:ascii="Arial" w:hAnsi="Arial"/>
          <w:i/>
          <w:noProof/>
          <w:sz w:val="22"/>
        </w:rPr>
        <w:t>fördraget</w:t>
      </w:r>
      <w:r>
        <w:rPr>
          <w:rFonts w:ascii="Arial" w:hAnsi="Arial"/>
          <w:noProof/>
          <w:sz w:val="22"/>
        </w:rPr>
        <w:t>) och led VI i procedurbeslut 2006/01/MC-EnC om antagande av en intern arbet</w:t>
      </w:r>
      <w:r>
        <w:rPr>
          <w:rFonts w:ascii="Arial" w:hAnsi="Arial"/>
          <w:noProof/>
          <w:sz w:val="22"/>
        </w:rPr>
        <w:t>sordning för energigemenskapens ministerråd,</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som erkänner behovet av att på ett ändamålsenligt sätt hantera de utmaningar som klimatförändringarna innebär,</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som beaktar att energigemenskapens fördragsslutande parter stöder den uppmaning till förstärkta åt</w:t>
      </w:r>
      <w:r>
        <w:rPr>
          <w:rFonts w:ascii="Arial" w:hAnsi="Arial"/>
          <w:noProof/>
          <w:sz w:val="22"/>
        </w:rPr>
        <w:t>gärder mot klimatförändringar som anges i Parisavtalet,</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som inser att energisektorn är en av de viktigaste källorna till växthusgasutsläpp och som beaktar de starka kopplingarna mellan energipolitiken och klimatet,</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som noterar att kommittén för energi oc</w:t>
      </w:r>
      <w:r>
        <w:rPr>
          <w:rFonts w:ascii="Arial" w:hAnsi="Arial"/>
          <w:noProof/>
          <w:sz w:val="22"/>
        </w:rPr>
        <w:t>h klimat på sitt första möte i Wien den 5 september 2017 bekräftade att stabila nationella energi- och klimatplaner fram till 2030 bör åtföljas av tre övergripande mål, nämligen en ökad andel av förnybar energi i den totala energianvändningen, ökad energie</w:t>
      </w:r>
      <w:r>
        <w:rPr>
          <w:rFonts w:ascii="Arial" w:hAnsi="Arial"/>
          <w:noProof/>
          <w:sz w:val="22"/>
        </w:rPr>
        <w:t>ffektivitet och minskade växthusgasutsläpp,</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som erinrar om ministerrådets slutsatser från december 2017, där man betonade behovet av mål för 2030 i energigemenskapen när det gäller förnybar energi, energieffektivitet och minskade växthusgasutsläpp och väl</w:t>
      </w:r>
      <w:r>
        <w:rPr>
          <w:rFonts w:ascii="Arial" w:hAnsi="Arial"/>
          <w:noProof/>
          <w:sz w:val="22"/>
        </w:rPr>
        <w:t>komnade Europeiska kommissionens förklaring om att den skulle utarbeta lämpliga förslag för energigemenskapen om införlivande av lämpliga bestämmelser i framtida EU-lagstiftning relaterade till dessa mål, efter det att sådan lagstiftning antagits i EU,</w:t>
      </w:r>
    </w:p>
    <w:p w:rsidR="003454D1" w:rsidRDefault="003454D1">
      <w:pPr>
        <w:autoSpaceDE w:val="0"/>
        <w:autoSpaceDN w:val="0"/>
        <w:adjustRightInd w:val="0"/>
        <w:spacing w:before="0" w:after="0"/>
        <w:rPr>
          <w:rFonts w:ascii="Arial" w:eastAsia="MS Mincho" w:hAnsi="Arial" w:cs="Arial"/>
          <w:noProof/>
          <w:sz w:val="22"/>
        </w:rPr>
      </w:pPr>
    </w:p>
    <w:p w:rsidR="003454D1" w:rsidRDefault="008C651D">
      <w:pPr>
        <w:autoSpaceDE w:val="0"/>
        <w:autoSpaceDN w:val="0"/>
        <w:adjustRightInd w:val="0"/>
        <w:spacing w:before="0" w:after="0"/>
        <w:rPr>
          <w:rFonts w:ascii="Arial" w:eastAsia="MS Mincho" w:hAnsi="Arial" w:cs="Arial"/>
          <w:noProof/>
          <w:sz w:val="22"/>
        </w:rPr>
      </w:pPr>
      <w:r>
        <w:rPr>
          <w:rFonts w:ascii="Arial" w:hAnsi="Arial"/>
          <w:noProof/>
          <w:sz w:val="22"/>
        </w:rPr>
        <w:t>som erinrar om ministerrådets rekommendation 2016/02/MC-EnC om förberedelser för genomförande av förordning (EU) nr 525/2013 om en mekanism för att övervaka och rapportera utsläpp av växthusgaser och rekommendation 2018/01/MC-EnC om förberedelser för energ</w:t>
      </w:r>
      <w:r>
        <w:rPr>
          <w:rFonts w:ascii="Arial" w:hAnsi="Arial"/>
          <w:noProof/>
          <w:sz w:val="22"/>
        </w:rPr>
        <w:t>igemenskapens fördragsslutande parters framtagande av integrerade nationella energi- och klimatplaner,</w:t>
      </w:r>
    </w:p>
    <w:p w:rsidR="003454D1" w:rsidRDefault="003454D1">
      <w:pPr>
        <w:spacing w:before="0" w:after="0"/>
        <w:rPr>
          <w:rFonts w:ascii="Arial" w:eastAsia="MS Mincho" w:hAnsi="Arial" w:cs="Arial"/>
          <w:noProof/>
          <w:color w:val="000000"/>
          <w:sz w:val="22"/>
        </w:rPr>
      </w:pPr>
    </w:p>
    <w:p w:rsidR="003454D1" w:rsidRDefault="008C651D">
      <w:pPr>
        <w:spacing w:before="0" w:after="0"/>
        <w:rPr>
          <w:rFonts w:ascii="Arial" w:eastAsia="MS Mincho" w:hAnsi="Arial" w:cs="Arial"/>
          <w:noProof/>
          <w:sz w:val="22"/>
        </w:rPr>
      </w:pPr>
      <w:r>
        <w:rPr>
          <w:rFonts w:ascii="Arial" w:hAnsi="Arial"/>
          <w:noProof/>
          <w:sz w:val="22"/>
        </w:rPr>
        <w:t>som bekräftar betydelsen för energigemenskapen av politisk konsensus på EU-nivå om EU:s mål för 2030 genom ändringar av direktivet om energieffektivitet</w:t>
      </w:r>
      <w:r>
        <w:rPr>
          <w:rFonts w:ascii="Arial" w:hAnsi="Arial"/>
          <w:noProof/>
          <w:sz w:val="22"/>
        </w:rPr>
        <w:t xml:space="preserve"> och direktivet om förnybar energi och överenskommelsen om förordningen om ansvarsfördelning,</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som erinrar om 2018 års riktlinjer för allmän policy och det politiska samförståndet om upprättandet av tre specifika energi- och klimatmål för 2030 för de fördr</w:t>
      </w:r>
      <w:r>
        <w:rPr>
          <w:rFonts w:ascii="Arial" w:hAnsi="Arial"/>
          <w:noProof/>
          <w:sz w:val="22"/>
        </w:rPr>
        <w:t>agsslutande parterna i energigemenskapen,</w:t>
      </w:r>
    </w:p>
    <w:p w:rsidR="003454D1" w:rsidRDefault="003454D1">
      <w:pPr>
        <w:spacing w:before="0" w:after="0"/>
        <w:rPr>
          <w:rFonts w:ascii="Arial" w:eastAsia="MS Mincho" w:hAnsi="Arial" w:cs="Arial"/>
          <w:noProof/>
          <w:sz w:val="22"/>
        </w:rPr>
      </w:pP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som erkänner värdet av ett preliminärt analytiskt arbete som utförts av sekretariatet och de externa experterna med analytisk vägledning av kommissionens avdelningar, men samtidigt noterar att ytterligare uppgift</w:t>
      </w:r>
      <w:r>
        <w:rPr>
          <w:rFonts w:ascii="Arial" w:hAnsi="Arial"/>
          <w:noProof/>
          <w:sz w:val="22"/>
        </w:rPr>
        <w:t>er och metodanalyser behövs för att fastställa stabila och trovärdiga mål för 2030,</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som inser behovet av en hög ambitionsnivå för att uppnå klimatneutralitet i linje med Europeiska unionens förstärkta ambitioner att bli världens första klimatneutrala kont</w:t>
      </w:r>
      <w:r>
        <w:rPr>
          <w:rFonts w:ascii="Arial" w:hAnsi="Arial"/>
          <w:noProof/>
          <w:sz w:val="22"/>
        </w:rPr>
        <w:t>inent,</w:t>
      </w:r>
    </w:p>
    <w:p w:rsidR="003454D1" w:rsidRDefault="003454D1">
      <w:pPr>
        <w:spacing w:before="0" w:after="0"/>
        <w:rPr>
          <w:rFonts w:ascii="Arial" w:eastAsia="MS Mincho" w:hAnsi="Arial" w:cs="Arial"/>
          <w:noProof/>
          <w:sz w:val="22"/>
        </w:rPr>
      </w:pPr>
    </w:p>
    <w:p w:rsidR="003454D1" w:rsidRDefault="003454D1">
      <w:pPr>
        <w:spacing w:before="0" w:after="0"/>
        <w:rPr>
          <w:rFonts w:ascii="Arial" w:eastAsia="MS Mincho" w:hAnsi="Arial" w:cs="Arial"/>
          <w:b/>
          <w:noProof/>
          <w:sz w:val="22"/>
        </w:rPr>
      </w:pPr>
    </w:p>
    <w:p w:rsidR="003454D1" w:rsidRDefault="008C651D">
      <w:pPr>
        <w:spacing w:before="0" w:after="0"/>
        <w:rPr>
          <w:rFonts w:ascii="Arial" w:eastAsia="MS Mincho" w:hAnsi="Arial" w:cs="Arial"/>
          <w:b/>
          <w:noProof/>
          <w:sz w:val="22"/>
        </w:rPr>
      </w:pPr>
      <w:r>
        <w:rPr>
          <w:rFonts w:ascii="Arial" w:hAnsi="Arial"/>
          <w:b/>
          <w:noProof/>
          <w:sz w:val="22"/>
        </w:rPr>
        <w:t>ANTAR FÖLJANDE RIKTLINJER.</w:t>
      </w:r>
    </w:p>
    <w:p w:rsidR="003454D1" w:rsidRDefault="003454D1">
      <w:pPr>
        <w:spacing w:before="0" w:after="0"/>
        <w:rPr>
          <w:rFonts w:ascii="Arial" w:eastAsia="MS Mincho" w:hAnsi="Arial" w:cs="Arial"/>
          <w:b/>
          <w:noProof/>
          <w:sz w:val="22"/>
        </w:rPr>
      </w:pPr>
    </w:p>
    <w:p w:rsidR="003454D1" w:rsidRDefault="008C651D">
      <w:pPr>
        <w:spacing w:before="0" w:after="0"/>
        <w:rPr>
          <w:rFonts w:ascii="Arial" w:eastAsia="MS Mincho" w:hAnsi="Arial" w:cs="Arial"/>
          <w:b/>
          <w:noProof/>
          <w:sz w:val="22"/>
        </w:rPr>
      </w:pPr>
      <w:r>
        <w:rPr>
          <w:rFonts w:ascii="Arial" w:hAnsi="Arial"/>
          <w:i/>
          <w:noProof/>
          <w:sz w:val="22"/>
        </w:rPr>
        <w:t>2019 års riktlinjer för allmän policy om 2030 års mål och klimatneutralitet för energigemenskapen och dess fördragsslutande parter</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 xml:space="preserve">Nuvarande 2019 års riktlinjer för allmän policy bekräftar på nytt den politiska konsensus som nåddes i samband med 2018 års ministerråd angående 2030 års mål för energigemenskapens fördragsslutande parter. </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Med hänsyn till det alltmer brådskande behovet a</w:t>
      </w:r>
      <w:r>
        <w:rPr>
          <w:rFonts w:ascii="Arial" w:hAnsi="Arial"/>
          <w:noProof/>
          <w:sz w:val="22"/>
        </w:rPr>
        <w:t>v att på ett effektivt sätt ta itu med de negativa effekterna av klimatförändringarna utgör 2019 års riktlinjer för allmän policy ett politiskt åtagande från de fördragsslutande parterna vad gäller omställningen till ren energi som syftar till att uppnå en</w:t>
      </w:r>
      <w:r>
        <w:rPr>
          <w:rFonts w:ascii="Arial" w:hAnsi="Arial"/>
          <w:noProof/>
          <w:sz w:val="22"/>
        </w:rPr>
        <w:t xml:space="preserve"> klimatneutral energigemenskap i enlighet med Parisavtalet. Till detta kommer vikten av att beakta EU:s ambition att minska koldioxidutsläppen.</w:t>
      </w:r>
      <w:r>
        <w:rPr>
          <w:rFonts w:ascii="Arial" w:hAnsi="Arial"/>
          <w:i/>
          <w:noProof/>
          <w:sz w:val="22"/>
        </w:rPr>
        <w:t xml:space="preserve"> </w:t>
      </w:r>
      <w:r>
        <w:rPr>
          <w:rFonts w:ascii="Arial" w:hAnsi="Arial"/>
          <w:noProof/>
          <w:sz w:val="22"/>
        </w:rPr>
        <w:t xml:space="preserve"> </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I linje med EU:s mål för 2030 bör det fastställas tre distinkta energi- och klimatmål för 2030: ett mål för e</w:t>
      </w:r>
      <w:r>
        <w:rPr>
          <w:rFonts w:ascii="Arial" w:hAnsi="Arial"/>
          <w:noProof/>
          <w:sz w:val="22"/>
        </w:rPr>
        <w:t>nergieffektivitet, ett mål för förnybara energikällors bidrag och ett mål för minskning av växthusgasutsläppen. De bör representera en likvärdig ambition för de fördragsslutande parterna och beakta relevanta socioekonomiska skillnader, den tekniska utveckl</w:t>
      </w:r>
      <w:r>
        <w:rPr>
          <w:rFonts w:ascii="Arial" w:hAnsi="Arial"/>
          <w:noProof/>
          <w:sz w:val="22"/>
        </w:rPr>
        <w:t xml:space="preserve">ingen och Parisavtalet om klimatförändringar. De bör baseras på så robusta och tillförlitliga data som möjligt, på grundval av den utökade modelleringskapacitet som Europeiska kommissionen erbjuder genom en ny särskild analys- och modelleringsstudie. </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För</w:t>
      </w:r>
      <w:r>
        <w:rPr>
          <w:rFonts w:ascii="Arial" w:hAnsi="Arial"/>
          <w:noProof/>
          <w:sz w:val="22"/>
        </w:rPr>
        <w:t xml:space="preserve"> att målen ska kunna vägleda energi- och klimatåtgärderna på ett effektivt sätt bör målen fastställas som nationella mål för varje fördragsslutande part och tillsammans forma det övergripande målet på energigemenskapsnivå.</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De fördragsslutande parterna bör</w:t>
      </w:r>
      <w:r>
        <w:rPr>
          <w:rFonts w:ascii="Arial" w:hAnsi="Arial"/>
          <w:noProof/>
          <w:sz w:val="22"/>
        </w:rPr>
        <w:t xml:space="preserve"> utnyttja den politiska konsensus som nåddes i 2018 års riktlinjer för allmän policy vid utarbetandet av sina nationella energi- och klimatplaner. </w:t>
      </w:r>
    </w:p>
    <w:p w:rsidR="003454D1" w:rsidRDefault="003454D1">
      <w:pPr>
        <w:spacing w:before="0" w:after="0"/>
        <w:rPr>
          <w:rFonts w:ascii="Arial" w:eastAsia="MS Mincho" w:hAnsi="Arial" w:cs="Arial"/>
          <w:noProof/>
          <w:sz w:val="22"/>
        </w:rPr>
      </w:pPr>
    </w:p>
    <w:p w:rsidR="003454D1" w:rsidRDefault="008C651D">
      <w:pPr>
        <w:spacing w:before="0" w:after="0"/>
        <w:rPr>
          <w:rFonts w:ascii="Arial" w:eastAsia="MS Mincho" w:hAnsi="Arial" w:cs="Arial"/>
          <w:noProof/>
          <w:sz w:val="22"/>
        </w:rPr>
      </w:pPr>
      <w:r>
        <w:rPr>
          <w:rFonts w:ascii="Arial" w:hAnsi="Arial"/>
          <w:noProof/>
          <w:sz w:val="22"/>
        </w:rPr>
        <w:t>Energigemenskapens ministerråd ser fram mot att införliva 2030 års mål för de fördragsslutande parterna i energigemenskapens regelverk, genom antagande av det ändrade direktivet om energieffektivitet, direktivet om förnybar energi samt förordningen om styr</w:t>
      </w:r>
      <w:r>
        <w:rPr>
          <w:rFonts w:ascii="Arial" w:hAnsi="Arial"/>
          <w:noProof/>
          <w:sz w:val="22"/>
        </w:rPr>
        <w:t>ning, i enlighet med vad som anges i den vägledande tidsplanen i bilagan. Ministerrådets rekommendation 2018/1/MC-EnC om förberedelserna inför energigemenskapens fördragsslutande parters utarbetande av integrerade nationella energi- och klimatplaner, och d</w:t>
      </w:r>
      <w:r>
        <w:rPr>
          <w:rFonts w:ascii="Arial" w:hAnsi="Arial"/>
          <w:noProof/>
          <w:sz w:val="22"/>
        </w:rPr>
        <w:t xml:space="preserve">en vägledande tidsplanen i denna, bör läsas mot bakgrund av den här tidsplanen. </w:t>
      </w:r>
    </w:p>
    <w:p w:rsidR="003454D1" w:rsidRDefault="008C651D">
      <w:pPr>
        <w:spacing w:before="0" w:after="200" w:line="276" w:lineRule="auto"/>
        <w:jc w:val="left"/>
        <w:rPr>
          <w:rFonts w:ascii="Arial" w:eastAsia="MS Mincho" w:hAnsi="Arial" w:cs="Arial"/>
          <w:noProof/>
          <w:sz w:val="22"/>
        </w:rPr>
      </w:pPr>
      <w:r>
        <w:rPr>
          <w:noProof/>
        </w:rPr>
        <w:br w:type="page"/>
      </w:r>
    </w:p>
    <w:p w:rsidR="003454D1" w:rsidRDefault="003454D1">
      <w:pPr>
        <w:spacing w:before="0" w:after="0"/>
        <w:rPr>
          <w:rFonts w:ascii="Arial" w:eastAsia="MS Mincho" w:hAnsi="Arial" w:cs="Arial"/>
          <w:noProof/>
          <w:sz w:val="22"/>
        </w:rPr>
      </w:pPr>
    </w:p>
    <w:p w:rsidR="003454D1" w:rsidRDefault="003454D1">
      <w:pPr>
        <w:autoSpaceDE w:val="0"/>
        <w:autoSpaceDN w:val="0"/>
        <w:adjustRightInd w:val="0"/>
        <w:spacing w:before="0" w:after="0" w:line="288" w:lineRule="auto"/>
        <w:rPr>
          <w:rFonts w:ascii="Arial" w:eastAsia="MS Mincho" w:hAnsi="Arial" w:cs="Arial"/>
          <w:noProof/>
          <w:color w:val="000000"/>
          <w:sz w:val="22"/>
        </w:rPr>
      </w:pPr>
    </w:p>
    <w:p w:rsidR="003454D1" w:rsidRDefault="003454D1">
      <w:pPr>
        <w:autoSpaceDE w:val="0"/>
        <w:autoSpaceDN w:val="0"/>
        <w:adjustRightInd w:val="0"/>
        <w:spacing w:before="0" w:after="0" w:line="288" w:lineRule="auto"/>
        <w:rPr>
          <w:rFonts w:ascii="Arial" w:eastAsia="MS Mincho" w:hAnsi="Arial" w:cs="Arial"/>
          <w:noProof/>
          <w:color w:val="000000"/>
          <w:sz w:val="22"/>
        </w:rPr>
      </w:pPr>
    </w:p>
    <w:p w:rsidR="003454D1" w:rsidRDefault="003454D1">
      <w:pPr>
        <w:autoSpaceDE w:val="0"/>
        <w:autoSpaceDN w:val="0"/>
        <w:adjustRightInd w:val="0"/>
        <w:spacing w:before="0" w:after="0" w:line="288" w:lineRule="auto"/>
        <w:rPr>
          <w:rFonts w:ascii="Arial" w:eastAsia="MS Mincho" w:hAnsi="Arial" w:cs="Arial"/>
          <w:noProof/>
          <w:color w:val="000000"/>
          <w:sz w:val="22"/>
        </w:rPr>
      </w:pPr>
    </w:p>
    <w:p w:rsidR="003454D1" w:rsidRDefault="003454D1">
      <w:pPr>
        <w:autoSpaceDE w:val="0"/>
        <w:autoSpaceDN w:val="0"/>
        <w:adjustRightInd w:val="0"/>
        <w:spacing w:before="0" w:after="0" w:line="288" w:lineRule="auto"/>
        <w:rPr>
          <w:rFonts w:ascii="Arial" w:eastAsia="MS Mincho" w:hAnsi="Arial" w:cs="Arial"/>
          <w:noProof/>
          <w:color w:val="000000"/>
          <w:sz w:val="22"/>
        </w:rPr>
      </w:pPr>
    </w:p>
    <w:p w:rsidR="003454D1" w:rsidRDefault="003454D1">
      <w:pPr>
        <w:autoSpaceDE w:val="0"/>
        <w:autoSpaceDN w:val="0"/>
        <w:adjustRightInd w:val="0"/>
        <w:spacing w:before="0" w:after="0" w:line="288" w:lineRule="auto"/>
        <w:rPr>
          <w:rFonts w:ascii="Arial" w:eastAsia="MS Mincho" w:hAnsi="Arial" w:cs="Arial"/>
          <w:noProof/>
          <w:color w:val="000000"/>
          <w:sz w:val="22"/>
        </w:rPr>
      </w:pPr>
    </w:p>
    <w:p w:rsidR="003454D1" w:rsidRDefault="008C651D">
      <w:pPr>
        <w:autoSpaceDE w:val="0"/>
        <w:autoSpaceDN w:val="0"/>
        <w:adjustRightInd w:val="0"/>
        <w:spacing w:before="0" w:after="0" w:line="288" w:lineRule="auto"/>
        <w:rPr>
          <w:rFonts w:ascii="Arial" w:eastAsia="MS Mincho" w:hAnsi="Arial" w:cs="Arial"/>
          <w:b/>
          <w:noProof/>
          <w:color w:val="000000"/>
          <w:sz w:val="22"/>
        </w:rPr>
      </w:pPr>
      <w:r>
        <w:rPr>
          <w:rFonts w:ascii="Arial" w:hAnsi="Arial"/>
          <w:b/>
          <w:noProof/>
          <w:sz w:val="22"/>
        </w:rPr>
        <w:t xml:space="preserve">BILAGA </w:t>
      </w:r>
    </w:p>
    <w:p w:rsidR="003454D1" w:rsidRDefault="003454D1">
      <w:pPr>
        <w:autoSpaceDE w:val="0"/>
        <w:autoSpaceDN w:val="0"/>
        <w:adjustRightInd w:val="0"/>
        <w:spacing w:before="0" w:after="0" w:line="288" w:lineRule="auto"/>
        <w:jc w:val="left"/>
        <w:rPr>
          <w:rFonts w:ascii="Arial" w:eastAsia="MS Mincho" w:hAnsi="Arial" w:cs="Arial"/>
          <w:noProof/>
          <w:color w:val="000000"/>
          <w:sz w:val="22"/>
        </w:rPr>
      </w:pPr>
    </w:p>
    <w:p w:rsidR="003454D1" w:rsidRDefault="008C651D">
      <w:pPr>
        <w:autoSpaceDE w:val="0"/>
        <w:autoSpaceDN w:val="0"/>
        <w:adjustRightInd w:val="0"/>
        <w:spacing w:before="0" w:after="0" w:line="288" w:lineRule="auto"/>
        <w:jc w:val="left"/>
        <w:rPr>
          <w:rFonts w:ascii="Arial" w:eastAsia="MS Mincho" w:hAnsi="Arial" w:cs="Arial"/>
          <w:noProof/>
          <w:color w:val="000000"/>
          <w:sz w:val="22"/>
        </w:rPr>
      </w:pPr>
      <w:r>
        <w:rPr>
          <w:rFonts w:ascii="Arial" w:hAnsi="Arial"/>
          <w:noProof/>
          <w:sz w:val="22"/>
        </w:rPr>
        <w:t>I följande vägledande tidsplan beskrivs de kommande stegen:</w:t>
      </w:r>
    </w:p>
    <w:p w:rsidR="003454D1" w:rsidRDefault="003454D1">
      <w:pPr>
        <w:autoSpaceDE w:val="0"/>
        <w:autoSpaceDN w:val="0"/>
        <w:adjustRightInd w:val="0"/>
        <w:spacing w:before="0" w:after="0" w:line="288" w:lineRule="auto"/>
        <w:jc w:val="left"/>
        <w:rPr>
          <w:rFonts w:ascii="Arial" w:eastAsia="MS Mincho" w:hAnsi="Arial" w:cs="Arial"/>
          <w:noProof/>
          <w:color w:val="000000"/>
          <w:sz w:val="22"/>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70"/>
        <w:gridCol w:w="7019"/>
      </w:tblGrid>
      <w:tr w:rsidR="003454D1">
        <w:tc>
          <w:tcPr>
            <w:tcW w:w="2297" w:type="dxa"/>
          </w:tcPr>
          <w:p w:rsidR="003454D1" w:rsidRDefault="008C651D">
            <w:pPr>
              <w:autoSpaceDE w:val="0"/>
              <w:autoSpaceDN w:val="0"/>
              <w:adjustRightInd w:val="0"/>
              <w:spacing w:before="0" w:after="0" w:line="288" w:lineRule="auto"/>
              <w:jc w:val="center"/>
              <w:rPr>
                <w:rFonts w:ascii="Arial" w:eastAsia="MS Mincho" w:hAnsi="Arial" w:cs="Arial"/>
                <w:b/>
                <w:noProof/>
                <w:color w:val="000000"/>
                <w:szCs w:val="24"/>
              </w:rPr>
            </w:pPr>
            <w:r>
              <w:rPr>
                <w:rFonts w:ascii="Arial" w:hAnsi="Arial"/>
                <w:b/>
                <w:noProof/>
              </w:rPr>
              <w:t>Datum</w:t>
            </w:r>
          </w:p>
        </w:tc>
        <w:tc>
          <w:tcPr>
            <w:tcW w:w="7149" w:type="dxa"/>
          </w:tcPr>
          <w:p w:rsidR="003454D1" w:rsidRDefault="008C651D">
            <w:pPr>
              <w:autoSpaceDE w:val="0"/>
              <w:autoSpaceDN w:val="0"/>
              <w:adjustRightInd w:val="0"/>
              <w:spacing w:before="0" w:after="0" w:line="288" w:lineRule="auto"/>
              <w:jc w:val="center"/>
              <w:rPr>
                <w:rFonts w:ascii="Arial" w:eastAsia="MS Mincho" w:hAnsi="Arial" w:cs="Arial"/>
                <w:b/>
                <w:noProof/>
                <w:color w:val="000000"/>
                <w:szCs w:val="24"/>
              </w:rPr>
            </w:pPr>
            <w:r>
              <w:rPr>
                <w:rFonts w:ascii="Arial" w:hAnsi="Arial"/>
                <w:b/>
                <w:noProof/>
              </w:rPr>
              <w:t>Steg</w:t>
            </w:r>
          </w:p>
        </w:tc>
      </w:tr>
      <w:tr w:rsidR="003454D1">
        <w:tc>
          <w:tcPr>
            <w:tcW w:w="2297" w:type="dxa"/>
          </w:tcPr>
          <w:p w:rsidR="003454D1" w:rsidRDefault="008C651D">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13 december 2019</w:t>
            </w:r>
          </w:p>
        </w:tc>
        <w:tc>
          <w:tcPr>
            <w:tcW w:w="7149" w:type="dxa"/>
          </w:tcPr>
          <w:p w:rsidR="003454D1" w:rsidRDefault="008C651D">
            <w:pPr>
              <w:autoSpaceDE w:val="0"/>
              <w:autoSpaceDN w:val="0"/>
              <w:adjustRightInd w:val="0"/>
              <w:spacing w:before="0" w:after="0" w:line="288" w:lineRule="auto"/>
              <w:jc w:val="left"/>
              <w:rPr>
                <w:rFonts w:ascii="Arial" w:eastAsia="MS Mincho" w:hAnsi="Arial" w:cs="Arial"/>
                <w:noProof/>
                <w:color w:val="000000"/>
                <w:szCs w:val="24"/>
              </w:rPr>
            </w:pPr>
            <w:r>
              <w:rPr>
                <w:rFonts w:ascii="Arial" w:hAnsi="Arial"/>
                <w:noProof/>
              </w:rPr>
              <w:t>Ministerrådets antagande av 2019 års riktlinjer för allmän policy</w:t>
            </w:r>
          </w:p>
        </w:tc>
      </w:tr>
      <w:tr w:rsidR="003454D1">
        <w:tc>
          <w:tcPr>
            <w:tcW w:w="2297" w:type="dxa"/>
          </w:tcPr>
          <w:p w:rsidR="003454D1" w:rsidRDefault="008C651D">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November 2019–mars 2020</w:t>
            </w:r>
          </w:p>
        </w:tc>
        <w:tc>
          <w:tcPr>
            <w:tcW w:w="7149" w:type="dxa"/>
          </w:tcPr>
          <w:p w:rsidR="003454D1" w:rsidRDefault="008C651D">
            <w:pPr>
              <w:autoSpaceDE w:val="0"/>
              <w:autoSpaceDN w:val="0"/>
              <w:adjustRightInd w:val="0"/>
              <w:spacing w:before="0" w:after="0" w:line="288" w:lineRule="auto"/>
              <w:jc w:val="left"/>
              <w:rPr>
                <w:rFonts w:ascii="Arial" w:eastAsia="MS Mincho" w:hAnsi="Arial" w:cs="Arial"/>
                <w:noProof/>
                <w:color w:val="000000"/>
                <w:szCs w:val="24"/>
              </w:rPr>
            </w:pPr>
            <w:r>
              <w:rPr>
                <w:rFonts w:ascii="Arial" w:hAnsi="Arial"/>
                <w:noProof/>
              </w:rPr>
              <w:t>[Förberedande fas för den nya studien]</w:t>
            </w:r>
          </w:p>
        </w:tc>
      </w:tr>
      <w:tr w:rsidR="003454D1">
        <w:tc>
          <w:tcPr>
            <w:tcW w:w="2297" w:type="dxa"/>
          </w:tcPr>
          <w:p w:rsidR="003454D1" w:rsidRDefault="008C651D">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April 2020</w:t>
            </w:r>
          </w:p>
        </w:tc>
        <w:tc>
          <w:tcPr>
            <w:tcW w:w="7149" w:type="dxa"/>
          </w:tcPr>
          <w:p w:rsidR="003454D1" w:rsidRDefault="008C651D">
            <w:pPr>
              <w:autoSpaceDE w:val="0"/>
              <w:autoSpaceDN w:val="0"/>
              <w:adjustRightInd w:val="0"/>
              <w:spacing w:before="0" w:after="0" w:line="288" w:lineRule="auto"/>
              <w:jc w:val="left"/>
              <w:rPr>
                <w:rFonts w:ascii="Arial" w:eastAsia="MS Mincho" w:hAnsi="Arial" w:cs="Arial"/>
                <w:noProof/>
                <w:color w:val="000000"/>
                <w:szCs w:val="24"/>
              </w:rPr>
            </w:pPr>
            <w:r>
              <w:rPr>
                <w:rFonts w:ascii="Arial" w:hAnsi="Arial"/>
                <w:noProof/>
              </w:rPr>
              <w:t>Europeiska kommissionens start av en ny extern studie om utvidgning av EU:s energi- och klimatmodellering till energigemenskapen</w:t>
            </w:r>
          </w:p>
        </w:tc>
      </w:tr>
      <w:tr w:rsidR="003454D1">
        <w:tc>
          <w:tcPr>
            <w:tcW w:w="2297" w:type="dxa"/>
          </w:tcPr>
          <w:p w:rsidR="003454D1" w:rsidRDefault="008C651D">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April 2020–december 2020</w:t>
            </w:r>
          </w:p>
        </w:tc>
        <w:tc>
          <w:tcPr>
            <w:tcW w:w="7149" w:type="dxa"/>
          </w:tcPr>
          <w:p w:rsidR="003454D1" w:rsidRDefault="008C651D">
            <w:pPr>
              <w:autoSpaceDE w:val="0"/>
              <w:autoSpaceDN w:val="0"/>
              <w:adjustRightInd w:val="0"/>
              <w:spacing w:before="0" w:after="0" w:line="259" w:lineRule="auto"/>
              <w:rPr>
                <w:rFonts w:ascii="Arial" w:eastAsia="MS Mincho" w:hAnsi="Arial" w:cs="Arial"/>
                <w:noProof/>
                <w:szCs w:val="24"/>
              </w:rPr>
            </w:pPr>
            <w:r>
              <w:rPr>
                <w:rFonts w:ascii="Arial" w:hAnsi="Arial"/>
                <w:noProof/>
              </w:rPr>
              <w:t>Regelbunden information ti</w:t>
            </w:r>
            <w:r>
              <w:rPr>
                <w:rFonts w:ascii="Arial" w:hAnsi="Arial"/>
                <w:noProof/>
              </w:rPr>
              <w:t>ll energi- och klimatkommittén och dess tekniska arbetsgrupp om genomförandet av studien och rådfrågning om relevanta aspekter</w:t>
            </w:r>
          </w:p>
        </w:tc>
      </w:tr>
      <w:tr w:rsidR="003454D1">
        <w:tc>
          <w:tcPr>
            <w:tcW w:w="2297" w:type="dxa"/>
          </w:tcPr>
          <w:p w:rsidR="003454D1" w:rsidRDefault="008C651D">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Början av 2021</w:t>
            </w:r>
          </w:p>
        </w:tc>
        <w:tc>
          <w:tcPr>
            <w:tcW w:w="7149" w:type="dxa"/>
          </w:tcPr>
          <w:p w:rsidR="003454D1" w:rsidRDefault="008C651D">
            <w:pPr>
              <w:autoSpaceDE w:val="0"/>
              <w:autoSpaceDN w:val="0"/>
              <w:adjustRightInd w:val="0"/>
              <w:spacing w:before="0" w:after="0" w:line="259" w:lineRule="auto"/>
              <w:rPr>
                <w:rFonts w:ascii="Arial" w:eastAsia="MS Mincho" w:hAnsi="Arial" w:cs="Arial"/>
                <w:noProof/>
                <w:color w:val="000000"/>
                <w:szCs w:val="24"/>
              </w:rPr>
            </w:pPr>
            <w:r>
              <w:rPr>
                <w:rFonts w:ascii="Arial" w:hAnsi="Arial"/>
                <w:noProof/>
              </w:rPr>
              <w:t>Presentation av och diskussion om resultaten av studien i energi- och klimatkommittén och dess tekniska arbetsgru</w:t>
            </w:r>
            <w:r>
              <w:rPr>
                <w:rFonts w:ascii="Arial" w:hAnsi="Arial"/>
                <w:noProof/>
              </w:rPr>
              <w:t>pp</w:t>
            </w:r>
          </w:p>
        </w:tc>
      </w:tr>
      <w:tr w:rsidR="003454D1">
        <w:tc>
          <w:tcPr>
            <w:tcW w:w="2297" w:type="dxa"/>
          </w:tcPr>
          <w:p w:rsidR="003454D1" w:rsidRDefault="008C651D">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Våren 2021</w:t>
            </w:r>
          </w:p>
          <w:p w:rsidR="003454D1" w:rsidRDefault="003454D1">
            <w:pPr>
              <w:autoSpaceDE w:val="0"/>
              <w:autoSpaceDN w:val="0"/>
              <w:adjustRightInd w:val="0"/>
              <w:spacing w:before="0" w:after="0" w:line="288" w:lineRule="auto"/>
              <w:jc w:val="left"/>
              <w:rPr>
                <w:rFonts w:ascii="Arial" w:eastAsia="MS Mincho" w:hAnsi="Arial" w:cs="Arial"/>
                <w:i/>
                <w:noProof/>
                <w:color w:val="000000"/>
                <w:szCs w:val="24"/>
              </w:rPr>
            </w:pPr>
          </w:p>
        </w:tc>
        <w:tc>
          <w:tcPr>
            <w:tcW w:w="7149" w:type="dxa"/>
          </w:tcPr>
          <w:p w:rsidR="003454D1" w:rsidRDefault="008C651D">
            <w:pPr>
              <w:autoSpaceDE w:val="0"/>
              <w:autoSpaceDN w:val="0"/>
              <w:adjustRightInd w:val="0"/>
              <w:spacing w:before="0" w:after="0" w:line="259" w:lineRule="auto"/>
              <w:rPr>
                <w:rFonts w:ascii="Arial" w:eastAsia="MS Mincho" w:hAnsi="Arial" w:cs="Arial"/>
                <w:noProof/>
                <w:color w:val="000000"/>
                <w:szCs w:val="24"/>
              </w:rPr>
            </w:pPr>
            <w:r>
              <w:rPr>
                <w:rFonts w:ascii="Arial" w:hAnsi="Arial"/>
                <w:noProof/>
              </w:rPr>
              <w:t>Den permanenta högnivågruppens godkännande av 2030-målen för de fördragsslutande parterna i energigemenskapen</w:t>
            </w:r>
          </w:p>
        </w:tc>
      </w:tr>
      <w:tr w:rsidR="003454D1">
        <w:tc>
          <w:tcPr>
            <w:tcW w:w="2297" w:type="dxa"/>
          </w:tcPr>
          <w:p w:rsidR="003454D1" w:rsidRDefault="008C651D">
            <w:pPr>
              <w:autoSpaceDE w:val="0"/>
              <w:autoSpaceDN w:val="0"/>
              <w:adjustRightInd w:val="0"/>
              <w:spacing w:before="0" w:after="0" w:line="288" w:lineRule="auto"/>
              <w:jc w:val="left"/>
              <w:rPr>
                <w:rFonts w:ascii="Arial" w:eastAsia="MS Mincho" w:hAnsi="Arial" w:cs="Arial"/>
                <w:i/>
                <w:noProof/>
                <w:color w:val="000000"/>
                <w:szCs w:val="24"/>
              </w:rPr>
            </w:pPr>
            <w:r>
              <w:rPr>
                <w:rFonts w:ascii="Arial" w:hAnsi="Arial"/>
                <w:i/>
                <w:noProof/>
              </w:rPr>
              <w:t>Mitten av 2021</w:t>
            </w:r>
          </w:p>
        </w:tc>
        <w:tc>
          <w:tcPr>
            <w:tcW w:w="7149" w:type="dxa"/>
          </w:tcPr>
          <w:p w:rsidR="003454D1" w:rsidRDefault="008C651D">
            <w:pPr>
              <w:autoSpaceDE w:val="0"/>
              <w:autoSpaceDN w:val="0"/>
              <w:adjustRightInd w:val="0"/>
              <w:spacing w:before="0" w:after="0" w:line="288" w:lineRule="auto"/>
              <w:jc w:val="left"/>
              <w:rPr>
                <w:rFonts w:ascii="Arial" w:eastAsia="MS Mincho" w:hAnsi="Arial" w:cs="Arial"/>
                <w:noProof/>
                <w:color w:val="000000"/>
                <w:szCs w:val="24"/>
              </w:rPr>
            </w:pPr>
            <w:r>
              <w:rPr>
                <w:rFonts w:ascii="Arial" w:hAnsi="Arial"/>
                <w:noProof/>
              </w:rPr>
              <w:t xml:space="preserve">Ministerrådets antagande av det ändrade direktivet om energieffektivitet, direktivet om förnybar energi och </w:t>
            </w:r>
            <w:r>
              <w:rPr>
                <w:rFonts w:ascii="Arial" w:hAnsi="Arial"/>
                <w:noProof/>
              </w:rPr>
              <w:t>förordningen om styrning med 2030 års mål för de fördragsslutande parterna</w:t>
            </w:r>
          </w:p>
        </w:tc>
      </w:tr>
    </w:tbl>
    <w:p w:rsidR="003454D1" w:rsidRDefault="003454D1">
      <w:pPr>
        <w:spacing w:before="0" w:after="200" w:line="276" w:lineRule="auto"/>
        <w:jc w:val="left"/>
        <w:rPr>
          <w:b/>
          <w:noProof/>
          <w:u w:val="single"/>
        </w:rPr>
      </w:pPr>
    </w:p>
    <w:sectPr w:rsidR="003454D1" w:rsidSect="008C651D">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D1" w:rsidRDefault="008C651D">
      <w:pPr>
        <w:spacing w:before="0" w:after="0"/>
      </w:pPr>
      <w:r>
        <w:separator/>
      </w:r>
    </w:p>
  </w:endnote>
  <w:endnote w:type="continuationSeparator" w:id="0">
    <w:p w:rsidR="003454D1" w:rsidRDefault="008C65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BMHL F+ Adv T T 2cba 4af 3. B">
    <w:altName w:val="Adv TT 2cba 4af 3 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D" w:rsidRPr="008C651D" w:rsidRDefault="008C651D" w:rsidP="008C6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D1" w:rsidRPr="008C651D" w:rsidRDefault="008C651D" w:rsidP="008C651D">
    <w:pPr>
      <w:pStyle w:val="Footer"/>
      <w:rPr>
        <w:rFonts w:ascii="Arial" w:hAnsi="Arial" w:cs="Arial"/>
        <w:b/>
        <w:sz w:val="48"/>
      </w:rPr>
    </w:pPr>
    <w:r w:rsidRPr="008C651D">
      <w:rPr>
        <w:rFonts w:ascii="Arial" w:hAnsi="Arial" w:cs="Arial"/>
        <w:b/>
        <w:sz w:val="48"/>
      </w:rPr>
      <w:t>SV</w:t>
    </w:r>
    <w:r w:rsidRPr="008C651D">
      <w:rPr>
        <w:rFonts w:ascii="Arial" w:hAnsi="Arial" w:cs="Arial"/>
        <w:b/>
        <w:sz w:val="48"/>
      </w:rPr>
      <w:tab/>
    </w:r>
    <w:r w:rsidRPr="008C651D">
      <w:rPr>
        <w:rFonts w:ascii="Arial" w:hAnsi="Arial" w:cs="Arial"/>
        <w:b/>
        <w:sz w:val="48"/>
      </w:rPr>
      <w:tab/>
    </w:r>
    <w:r w:rsidRPr="008C651D">
      <w:tab/>
    </w:r>
    <w:proofErr w:type="spellStart"/>
    <w:r w:rsidRPr="008C651D">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D" w:rsidRPr="008C651D" w:rsidRDefault="008C651D" w:rsidP="008C65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D" w:rsidRPr="008C651D" w:rsidRDefault="008C651D" w:rsidP="008C651D">
    <w:pPr>
      <w:pStyle w:val="Footer"/>
      <w:rPr>
        <w:rFonts w:ascii="Arial" w:hAnsi="Arial" w:cs="Arial"/>
        <w:b/>
        <w:sz w:val="48"/>
      </w:rPr>
    </w:pPr>
    <w:r w:rsidRPr="008C651D">
      <w:rPr>
        <w:rFonts w:ascii="Arial" w:hAnsi="Arial" w:cs="Arial"/>
        <w:b/>
        <w:sz w:val="48"/>
      </w:rPr>
      <w:t>SV</w:t>
    </w:r>
    <w:r w:rsidRPr="008C651D">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8C651D">
      <w:tab/>
    </w:r>
    <w:r w:rsidRPr="008C651D">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D" w:rsidRPr="008C651D" w:rsidRDefault="008C651D" w:rsidP="008C6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D1" w:rsidRDefault="008C651D">
      <w:pPr>
        <w:spacing w:before="0" w:after="0"/>
      </w:pPr>
      <w:r>
        <w:separator/>
      </w:r>
    </w:p>
  </w:footnote>
  <w:footnote w:type="continuationSeparator" w:id="0">
    <w:p w:rsidR="003454D1" w:rsidRDefault="008C651D">
      <w:pPr>
        <w:spacing w:before="0" w:after="0"/>
      </w:pPr>
      <w:r>
        <w:continuationSeparator/>
      </w:r>
    </w:p>
  </w:footnote>
  <w:footnote w:id="1">
    <w:p w:rsidR="003454D1" w:rsidRDefault="008C651D">
      <w:pPr>
        <w:pStyle w:val="FootnoteText"/>
        <w:rPr>
          <w:rFonts w:ascii="Arial" w:hAnsi="Arial" w:cs="Arial"/>
          <w:lang w:val="en-US"/>
        </w:rPr>
      </w:pPr>
      <w:r>
        <w:rPr>
          <w:rStyle w:val="FootnoteReference"/>
        </w:rPr>
        <w:footnoteRef/>
      </w:r>
      <w:r>
        <w:rPr>
          <w:rFonts w:ascii="Arial" w:hAnsi="Arial"/>
          <w:lang w:val="en-US"/>
        </w:rPr>
        <w:tab/>
      </w:r>
      <w:proofErr w:type="spellStart"/>
      <w:r>
        <w:rPr>
          <w:rFonts w:ascii="Arial" w:hAnsi="Arial"/>
          <w:sz w:val="18"/>
          <w:szCs w:val="18"/>
          <w:lang w:val="en-US"/>
        </w:rPr>
        <w:t>Regleras</w:t>
      </w:r>
      <w:proofErr w:type="spellEnd"/>
      <w:r>
        <w:rPr>
          <w:rFonts w:ascii="Arial" w:hAnsi="Arial"/>
          <w:sz w:val="18"/>
          <w:szCs w:val="18"/>
          <w:lang w:val="en-US"/>
        </w:rPr>
        <w:t xml:space="preserve"> </w:t>
      </w:r>
      <w:proofErr w:type="spellStart"/>
      <w:r>
        <w:rPr>
          <w:rFonts w:ascii="Arial" w:hAnsi="Arial"/>
          <w:sz w:val="18"/>
          <w:szCs w:val="18"/>
          <w:lang w:val="en-US"/>
        </w:rPr>
        <w:t>av</w:t>
      </w:r>
      <w:proofErr w:type="spellEnd"/>
      <w:r>
        <w:rPr>
          <w:rFonts w:ascii="Arial" w:hAnsi="Arial"/>
          <w:sz w:val="18"/>
          <w:szCs w:val="18"/>
          <w:lang w:val="en-US"/>
        </w:rPr>
        <w:t xml:space="preserve"> </w:t>
      </w:r>
      <w:proofErr w:type="spellStart"/>
      <w:r>
        <w:rPr>
          <w:rFonts w:ascii="Arial" w:hAnsi="Arial"/>
          <w:sz w:val="18"/>
          <w:szCs w:val="18"/>
          <w:lang w:val="en-US"/>
        </w:rPr>
        <w:t>särskilda</w:t>
      </w:r>
      <w:proofErr w:type="spellEnd"/>
      <w:r>
        <w:rPr>
          <w:rFonts w:ascii="Arial" w:hAnsi="Arial"/>
          <w:sz w:val="18"/>
          <w:szCs w:val="18"/>
          <w:lang w:val="en-US"/>
        </w:rPr>
        <w:t xml:space="preserve"> </w:t>
      </w:r>
      <w:r>
        <w:rPr>
          <w:rFonts w:ascii="Arial" w:hAnsi="Arial"/>
          <w:i/>
          <w:sz w:val="18"/>
          <w:szCs w:val="18"/>
          <w:lang w:val="en-US"/>
        </w:rPr>
        <w:t xml:space="preserve">Rules on </w:t>
      </w:r>
      <w:proofErr w:type="spellStart"/>
      <w:r>
        <w:rPr>
          <w:rFonts w:ascii="Arial" w:hAnsi="Arial"/>
          <w:i/>
          <w:sz w:val="18"/>
          <w:szCs w:val="18"/>
          <w:lang w:val="en-US"/>
        </w:rPr>
        <w:t>Secondees</w:t>
      </w:r>
      <w:proofErr w:type="spellEnd"/>
      <w:r>
        <w:rPr>
          <w:rFonts w:ascii="Arial" w:hAnsi="Arial"/>
          <w:i/>
          <w:sz w:val="18"/>
          <w:szCs w:val="18"/>
          <w:lang w:val="en-US"/>
        </w:rPr>
        <w:t>, Interns and locally recruited staff</w:t>
      </w:r>
      <w:r>
        <w:rPr>
          <w:rFonts w:ascii="Arial" w:hAnsi="Arial"/>
          <w:sz w:val="18"/>
          <w:szCs w:val="18"/>
          <w:lang w:val="en-US"/>
        </w:rPr>
        <w:t xml:space="preserve">.  </w:t>
      </w:r>
    </w:p>
  </w:footnote>
  <w:footnote w:id="2">
    <w:p w:rsidR="003454D1" w:rsidRDefault="008C651D">
      <w:pPr>
        <w:pStyle w:val="FootnoteText"/>
        <w:rPr>
          <w:sz w:val="18"/>
          <w:szCs w:val="18"/>
        </w:rPr>
      </w:pPr>
      <w:r>
        <w:rPr>
          <w:rStyle w:val="FootnoteReference"/>
        </w:rPr>
        <w:footnoteRef/>
      </w:r>
      <w:r>
        <w:rPr>
          <w:rFonts w:ascii="Arial" w:hAnsi="Arial"/>
          <w:sz w:val="18"/>
          <w:szCs w:val="18"/>
        </w:rPr>
        <w:tab/>
      </w:r>
      <w:r>
        <w:rPr>
          <w:rFonts w:ascii="Arial" w:hAnsi="Arial"/>
          <w:sz w:val="18"/>
          <w:szCs w:val="18"/>
        </w:rPr>
        <w:t xml:space="preserve">Energigemenskapens sekretariat tillämpar det dagtraktamente som offentliggjorts av </w:t>
      </w:r>
      <w:r>
        <w:rPr>
          <w:rFonts w:ascii="Arial" w:hAnsi="Arial"/>
          <w:i/>
          <w:sz w:val="18"/>
          <w:szCs w:val="18"/>
        </w:rPr>
        <w:t xml:space="preserve">AIDCO, </w:t>
      </w:r>
      <w:r>
        <w:rPr>
          <w:rFonts w:ascii="Arial" w:hAnsi="Arial"/>
          <w:sz w:val="18"/>
          <w:szCs w:val="18"/>
        </w:rPr>
        <w:t xml:space="preserve">och som även tillämpas av andra internationella organisationer som finansieras av EU.  </w:t>
      </w:r>
    </w:p>
  </w:footnote>
  <w:footnote w:id="3">
    <w:p w:rsidR="003454D1" w:rsidRDefault="008C651D">
      <w:pPr>
        <w:pStyle w:val="FootnoteText"/>
        <w:rPr>
          <w:rFonts w:ascii="Arial" w:hAnsi="Arial" w:cs="Arial"/>
          <w:sz w:val="16"/>
          <w:szCs w:val="16"/>
        </w:rPr>
      </w:pPr>
      <w:r>
        <w:rPr>
          <w:rStyle w:val="FootnoteReference"/>
        </w:rPr>
        <w:footnoteRef/>
      </w:r>
      <w:r>
        <w:rPr>
          <w:rFonts w:ascii="Arial" w:hAnsi="Arial"/>
          <w:sz w:val="18"/>
          <w:szCs w:val="18"/>
        </w:rPr>
        <w:tab/>
        <w:t xml:space="preserve">Republiken Österrike har åtagit sig att bidra med 170 000 euro per år till </w:t>
      </w:r>
      <w:r>
        <w:rPr>
          <w:rFonts w:ascii="Arial" w:hAnsi="Arial"/>
          <w:sz w:val="18"/>
          <w:szCs w:val="18"/>
        </w:rPr>
        <w:t>sekretariatets hyra i Wien; inga andra former av bidrag till hyreskostnaderna förväntas (varken i form av intern fördelning av medel eller genom andra bidrag).</w:t>
      </w:r>
    </w:p>
  </w:footnote>
  <w:footnote w:id="4">
    <w:p w:rsidR="003454D1" w:rsidRDefault="008C651D">
      <w:pPr>
        <w:pStyle w:val="FootnoteText"/>
        <w:rPr>
          <w:rFonts w:ascii="Arial" w:hAnsi="Arial" w:cs="Arial"/>
          <w:sz w:val="18"/>
          <w:szCs w:val="18"/>
        </w:rPr>
      </w:pPr>
      <w:r>
        <w:rPr>
          <w:rStyle w:val="FootnoteReference"/>
        </w:rPr>
        <w:footnoteRef/>
      </w:r>
      <w:r>
        <w:rPr>
          <w:rFonts w:ascii="Arial" w:hAnsi="Arial"/>
          <w:sz w:val="18"/>
          <w:szCs w:val="18"/>
        </w:rPr>
        <w:tab/>
        <w:t xml:space="preserve">Redovisningsfunktionen har lagts ut på entreprenad sedan 2014 på grundval av bestämmelserna i </w:t>
      </w:r>
      <w:r>
        <w:rPr>
          <w:rFonts w:ascii="Arial" w:hAnsi="Arial"/>
          <w:sz w:val="18"/>
          <w:szCs w:val="18"/>
        </w:rPr>
        <w:t>budgetförfarandena (artikel 41.2)</w:t>
      </w:r>
      <w:r>
        <w:t>.</w:t>
      </w:r>
      <w:r>
        <w:rPr>
          <w:rFonts w:ascii="Arial" w:hAnsi="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D" w:rsidRPr="008C651D" w:rsidRDefault="008C651D" w:rsidP="008C6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D" w:rsidRPr="008C651D" w:rsidRDefault="008C651D" w:rsidP="008C6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D" w:rsidRPr="008C651D" w:rsidRDefault="008C651D" w:rsidP="008C6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A820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D2CE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569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2AFF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3253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E662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406ABF8"/>
    <w:lvl w:ilvl="0">
      <w:start w:val="1"/>
      <w:numFmt w:val="decimal"/>
      <w:pStyle w:val="ListNumber"/>
      <w:lvlText w:val="%1."/>
      <w:lvlJc w:val="left"/>
      <w:pPr>
        <w:tabs>
          <w:tab w:val="num" w:pos="360"/>
        </w:tabs>
        <w:ind w:left="360" w:hanging="360"/>
      </w:pPr>
    </w:lvl>
  </w:abstractNum>
  <w:abstractNum w:abstractNumId="7">
    <w:nsid w:val="FFFFFF89"/>
    <w:multiLevelType w:val="singleLevel"/>
    <w:tmpl w:val="71B010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01D0404"/>
    <w:multiLevelType w:val="hybridMultilevel"/>
    <w:tmpl w:val="243678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3"/>
  </w:num>
  <w:num w:numId="17">
    <w:abstractNumId w:val="21"/>
  </w:num>
  <w:num w:numId="18">
    <w:abstractNumId w:val="11"/>
  </w:num>
  <w:num w:numId="19">
    <w:abstractNumId w:val="14"/>
  </w:num>
  <w:num w:numId="20">
    <w:abstractNumId w:val="9"/>
  </w:num>
  <w:num w:numId="21">
    <w:abstractNumId w:val="20"/>
  </w:num>
  <w:num w:numId="22">
    <w:abstractNumId w:val="8"/>
  </w:num>
  <w:num w:numId="23">
    <w:abstractNumId w:val="15"/>
  </w:num>
  <w:num w:numId="24">
    <w:abstractNumId w:val="17"/>
  </w:num>
  <w:num w:numId="25">
    <w:abstractNumId w:val="18"/>
  </w:num>
  <w:num w:numId="26">
    <w:abstractNumId w:val="10"/>
  </w:num>
  <w:num w:numId="27">
    <w:abstractNumId w:val="16"/>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02 22:41: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07"/>
    <w:docVar w:name="DQCResult_UnknownFonts" w:val="0;0"/>
    <w:docVar w:name="DQCResult_UnknownStyles" w:val="0;5"/>
    <w:docVar w:name="DQCStatus" w:val="Yellow"/>
    <w:docVar w:name="DQCVersion" w:val="3"/>
    <w:docVar w:name="DQCWithWarnings" w:val="0"/>
    <w:docVar w:name="LW_ACCOMPAGNANT" w:val="till Förslag till rådets beslut"/>
    <w:docVar w:name="LW_ACCOMPAGNANT.CP" w:val="till Förslag till rådets beslut"/>
    <w:docVar w:name="LW_ANNEX_NBR_FIRST" w:val="1"/>
    <w:docVar w:name="LW_ANNEX_NBR_LAST" w:val="3"/>
    <w:docVar w:name="LW_ANNEX_UNIQUE" w:val="0"/>
    <w:docVar w:name="LW_CORRIGENDUM" w:val="&lt;UNUSED&gt;"/>
    <w:docVar w:name="LW_COVERPAGE_EXISTS" w:val="True"/>
    <w:docVar w:name="LW_COVERPAGE_GUID" w:val="EEC2C484-734E-4AC9-A4DF-556988AE1F8F"/>
    <w:docVar w:name="LW_COVERPAGE_TYPE" w:val="1"/>
    <w:docVar w:name="LW_CROSSREFERENCE" w:val="&lt;UNUSED&gt;"/>
    <w:docVar w:name="LW_DocType" w:val="ANNEX"/>
    <w:docVar w:name="LW_EMISSION" w:val="19.11.2019"/>
    <w:docVar w:name="LW_EMISSION_ISODATE" w:val="2019-11-19"/>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lt;FMT:Bold&gt;om de ståndpunkter som på Europeiska unionens vägnar ska intas i energigemenskapens ministerråd och permanenta högnivågrupp (Chi\u537?in\u259?u, 12 och 13 december 2019)&lt;/FMT&gt;"/>
    <w:docVar w:name="LW_OBJETACTEPRINCIPAL.CP" w:val="&lt;FMT:Bold&gt;om de ståndpunkter som på Europeiska unionens vägnar ska intas i energigemenskapens ministerråd och permanenta högnivågrupp (Chi\u537?in\u259?u, 12 och 13 december 2019)&lt;/FMT&gt;"/>
    <w:docVar w:name="LW_PART_NBR" w:val="&lt;UNUSED&gt;"/>
    <w:docVar w:name="LW_PART_NBR_TOTAL" w:val="&lt;UNUSED&gt;"/>
    <w:docVar w:name="LW_REF.INST.NEW" w:val="COM"/>
    <w:docVar w:name="LW_REF.INST.NEW_ADOPTED" w:val="final"/>
    <w:docVar w:name="LW_REF.INST.NEW_TEXT" w:val="(2019) 6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OR"/>
    <w:docVar w:name="LW_TYPE.DOC.CP" w:val="BILAGOR"/>
    <w:docVar w:name="LW_TYPEACTEPRINCIPAL" w:val=" "/>
    <w:docVar w:name="LW_TYPEACTEPRINCIPAL.CP" w:val=" "/>
  </w:docVars>
  <w:rsids>
    <w:rsidRoot w:val="003454D1"/>
    <w:rsid w:val="003454D1"/>
    <w:rsid w:val="008C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Paragraph">
    <w:name w:val="List Paragraph"/>
    <w:basedOn w:val="Normal"/>
    <w:uiPriority w:val="34"/>
    <w:qFormat/>
    <w:pPr>
      <w:ind w:left="720"/>
      <w:contextualSpacing/>
    </w:pPr>
  </w:style>
  <w:style w:type="paragraph" w:styleId="ListBullet4">
    <w:name w:val="List Bullet 4"/>
    <w:basedOn w:val="Normal"/>
    <w:uiPriority w:val="99"/>
    <w:semiHidden/>
    <w:unhideWhenUsed/>
    <w:pPr>
      <w:numPr>
        <w:numId w:val="2"/>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OBMHL F+ Adv T T 2cba 4af 3. B" w:eastAsiaTheme="minorEastAsia" w:hAnsi="OBMHL F+ Adv T T 2cba 4af 3. B" w:cs="OBMHL F+ Adv T T 2cba 4af 3. B"/>
      <w:color w:val="000000"/>
      <w:sz w:val="24"/>
      <w:szCs w:val="24"/>
      <w:lang w:eastAsia="de-DE"/>
    </w:rPr>
  </w:style>
  <w:style w:type="paragraph" w:customStyle="1" w:styleId="CM1">
    <w:name w:val="CM1"/>
    <w:basedOn w:val="Default"/>
    <w:next w:val="Default"/>
    <w:uiPriority w:val="99"/>
    <w:rPr>
      <w:rFonts w:cstheme="minorBidi"/>
      <w:color w:val="auto"/>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sv-SE"/>
    </w:rPr>
  </w:style>
  <w:style w:type="character" w:styleId="Strong">
    <w:name w:val="Strong"/>
    <w:basedOn w:val="DefaultParagraphFont"/>
    <w:uiPriority w:val="22"/>
    <w:qFormat/>
    <w:rPr>
      <w:b/>
      <w:bCs/>
    </w:rPr>
  </w:style>
  <w:style w:type="character" w:customStyle="1" w:styleId="Bodytext8Exact">
    <w:name w:val="Body text|8 Exact"/>
    <w:basedOn w:val="DefaultParagraphFont"/>
    <w:link w:val="Bodytext8"/>
    <w:rPr>
      <w:rFonts w:ascii="Arial" w:eastAsia="Arial" w:hAnsi="Arial" w:cs="Arial"/>
      <w:i/>
      <w:iCs/>
      <w:sz w:val="13"/>
      <w:szCs w:val="13"/>
      <w:shd w:val="clear" w:color="auto" w:fill="FFFFFF"/>
    </w:rPr>
  </w:style>
  <w:style w:type="paragraph" w:customStyle="1" w:styleId="Bodytext8">
    <w:name w:val="Body text|8"/>
    <w:basedOn w:val="Normal"/>
    <w:link w:val="Bodytext8Exact"/>
    <w:pPr>
      <w:widowControl w:val="0"/>
      <w:shd w:val="clear" w:color="auto" w:fill="FFFFFF"/>
      <w:spacing w:before="0" w:after="0" w:line="146" w:lineRule="exact"/>
      <w:jc w:val="left"/>
    </w:pPr>
    <w:rPr>
      <w:rFonts w:ascii="Arial" w:eastAsia="Arial" w:hAnsi="Arial" w:cs="Arial"/>
      <w:i/>
      <w:iCs/>
      <w:sz w:val="13"/>
      <w:szCs w:val="13"/>
    </w:rPr>
  </w:style>
  <w:style w:type="character" w:customStyle="1" w:styleId="Bodytext2">
    <w:name w:val="Body text|2_"/>
    <w:basedOn w:val="DefaultParagraphFont"/>
    <w:link w:val="Bodytext20"/>
    <w:rPr>
      <w:rFonts w:ascii="Arial" w:eastAsia="Arial" w:hAnsi="Arial" w:cs="Arial"/>
      <w:sz w:val="16"/>
      <w:szCs w:val="16"/>
      <w:shd w:val="clear" w:color="auto" w:fill="FFFFFF"/>
    </w:rPr>
  </w:style>
  <w:style w:type="character" w:customStyle="1" w:styleId="Bodytext2Exact">
    <w:name w:val="Body text|2 Exact"/>
    <w:basedOn w:val="DefaultParagraphFont"/>
    <w:semiHidden/>
    <w:unhideWhenUsed/>
    <w:rPr>
      <w:rFonts w:ascii="Arial" w:eastAsia="Arial" w:hAnsi="Arial" w:cs="Arial"/>
      <w:b w:val="0"/>
      <w:bCs w:val="0"/>
      <w:i w:val="0"/>
      <w:iCs w:val="0"/>
      <w:smallCaps w:val="0"/>
      <w:strike w:val="0"/>
      <w:sz w:val="16"/>
      <w:szCs w:val="16"/>
      <w:u w:val="none"/>
    </w:rPr>
  </w:style>
  <w:style w:type="character" w:customStyle="1" w:styleId="Bodytext9Exact">
    <w:name w:val="Body text|9 Exact"/>
    <w:basedOn w:val="DefaultParagraphFont"/>
    <w:semiHidden/>
    <w:unhideWhenUsed/>
    <w:rPr>
      <w:rFonts w:ascii="Arial" w:eastAsia="Arial" w:hAnsi="Arial" w:cs="Arial"/>
      <w:b/>
      <w:bCs/>
      <w:i w:val="0"/>
      <w:iCs w:val="0"/>
      <w:smallCaps w:val="0"/>
      <w:strike w:val="0"/>
      <w:sz w:val="13"/>
      <w:szCs w:val="13"/>
      <w:u w:val="none"/>
    </w:rPr>
  </w:style>
  <w:style w:type="character" w:customStyle="1" w:styleId="Bodytext9">
    <w:name w:val="Body text|9_"/>
    <w:basedOn w:val="DefaultParagraphFont"/>
    <w:link w:val="Bodytext90"/>
    <w:rPr>
      <w:rFonts w:ascii="Arial" w:eastAsia="Arial" w:hAnsi="Arial" w:cs="Arial"/>
      <w:b/>
      <w:bCs/>
      <w:sz w:val="13"/>
      <w:szCs w:val="13"/>
      <w:shd w:val="clear" w:color="auto" w:fill="FFFFFF"/>
    </w:rPr>
  </w:style>
  <w:style w:type="paragraph" w:customStyle="1" w:styleId="Bodytext20">
    <w:name w:val="Body text|2"/>
    <w:basedOn w:val="Normal"/>
    <w:link w:val="Bodytext2"/>
    <w:qFormat/>
    <w:pPr>
      <w:widowControl w:val="0"/>
      <w:shd w:val="clear" w:color="auto" w:fill="FFFFFF"/>
      <w:spacing w:before="180" w:after="180" w:line="178" w:lineRule="exact"/>
      <w:ind w:hanging="280"/>
    </w:pPr>
    <w:rPr>
      <w:rFonts w:ascii="Arial" w:eastAsia="Arial" w:hAnsi="Arial" w:cs="Arial"/>
      <w:sz w:val="16"/>
      <w:szCs w:val="16"/>
    </w:rPr>
  </w:style>
  <w:style w:type="paragraph" w:customStyle="1" w:styleId="Bodytext90">
    <w:name w:val="Body text|9"/>
    <w:basedOn w:val="Normal"/>
    <w:link w:val="Bodytext9"/>
    <w:pPr>
      <w:widowControl w:val="0"/>
      <w:shd w:val="clear" w:color="auto" w:fill="FFFFFF"/>
      <w:spacing w:before="0" w:after="200" w:line="146" w:lineRule="exact"/>
      <w:jc w:val="left"/>
    </w:pPr>
    <w:rPr>
      <w:rFonts w:ascii="Arial" w:eastAsia="Arial" w:hAnsi="Arial" w:cs="Arial"/>
      <w:b/>
      <w:bCs/>
      <w:sz w:val="13"/>
      <w:szCs w:val="13"/>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6"/>
      <w:szCs w:val="16"/>
      <w:u w:val="none"/>
      <w:shd w:val="clear" w:color="auto" w:fill="FFFFFF"/>
      <w:lang w:val="sv-SE" w:eastAsia="en-US" w:bidi="en-US"/>
    </w:rPr>
  </w:style>
  <w:style w:type="character" w:customStyle="1" w:styleId="Bodytext265ptBold">
    <w:name w:val="Body text|2 + 6.5 pt;Bold"/>
    <w:basedOn w:val="Bodytext2"/>
    <w:semiHidden/>
    <w:unhideWhenUsed/>
    <w:rPr>
      <w:rFonts w:ascii="Arial" w:eastAsia="Arial" w:hAnsi="Arial" w:cs="Arial"/>
      <w:b/>
      <w:bCs/>
      <w:i w:val="0"/>
      <w:iCs w:val="0"/>
      <w:smallCaps w:val="0"/>
      <w:strike w:val="0"/>
      <w:color w:val="000000"/>
      <w:spacing w:val="0"/>
      <w:w w:val="100"/>
      <w:position w:val="0"/>
      <w:sz w:val="13"/>
      <w:szCs w:val="13"/>
      <w:u w:val="none"/>
      <w:shd w:val="clear" w:color="auto" w:fill="FFFFFF"/>
      <w:lang w:val="sv-SE" w:eastAsia="en-US" w:bidi="en-US"/>
    </w:rPr>
  </w:style>
  <w:style w:type="character" w:customStyle="1" w:styleId="Bodytext265ptItalic">
    <w:name w:val="Body text|2 + 6.5 pt;Italic"/>
    <w:basedOn w:val="Bodytext2"/>
    <w:semiHidden/>
    <w:unhideWhenUsed/>
    <w:rPr>
      <w:rFonts w:ascii="Arial" w:eastAsia="Arial" w:hAnsi="Arial" w:cs="Arial"/>
      <w:b w:val="0"/>
      <w:bCs w:val="0"/>
      <w:i/>
      <w:iCs/>
      <w:smallCaps w:val="0"/>
      <w:strike w:val="0"/>
      <w:color w:val="000000"/>
      <w:spacing w:val="0"/>
      <w:w w:val="100"/>
      <w:position w:val="0"/>
      <w:sz w:val="13"/>
      <w:szCs w:val="13"/>
      <w:u w:val="none"/>
      <w:shd w:val="clear" w:color="auto" w:fill="FFFFFF"/>
      <w:lang w:val="sv-SE" w:eastAsia="en-US" w:bidi="en-US"/>
    </w:rPr>
  </w:style>
  <w:style w:type="character" w:customStyle="1" w:styleId="Footnote3">
    <w:name w:val="Footnote|3_"/>
    <w:basedOn w:val="DefaultParagraphFont"/>
    <w:link w:val="Footnote30"/>
    <w:rPr>
      <w:rFonts w:ascii="Arial" w:eastAsia="Arial" w:hAnsi="Arial" w:cs="Arial"/>
      <w:b/>
      <w:bCs/>
      <w:sz w:val="9"/>
      <w:szCs w:val="9"/>
      <w:shd w:val="clear" w:color="auto" w:fill="FFFFFF"/>
    </w:rPr>
  </w:style>
  <w:style w:type="character" w:customStyle="1" w:styleId="Bodytext245ptBold">
    <w:name w:val="Body text|2 + 4.5 pt;Bold"/>
    <w:basedOn w:val="Bodytext2"/>
    <w:semiHidden/>
    <w:unhideWhenUsed/>
    <w:rPr>
      <w:rFonts w:ascii="Arial" w:eastAsia="Arial" w:hAnsi="Arial" w:cs="Arial"/>
      <w:b/>
      <w:bCs/>
      <w:i w:val="0"/>
      <w:iCs w:val="0"/>
      <w:smallCaps w:val="0"/>
      <w:strike w:val="0"/>
      <w:color w:val="000000"/>
      <w:spacing w:val="0"/>
      <w:w w:val="100"/>
      <w:position w:val="0"/>
      <w:sz w:val="9"/>
      <w:szCs w:val="9"/>
      <w:u w:val="none"/>
      <w:shd w:val="clear" w:color="auto" w:fill="FFFFFF"/>
      <w:lang w:val="sv-SE" w:eastAsia="en-US" w:bidi="en-US"/>
    </w:rPr>
  </w:style>
  <w:style w:type="paragraph" w:customStyle="1" w:styleId="Footnote30">
    <w:name w:val="Footnote|3"/>
    <w:basedOn w:val="Normal"/>
    <w:link w:val="Footnote3"/>
    <w:pPr>
      <w:widowControl w:val="0"/>
      <w:shd w:val="clear" w:color="auto" w:fill="FFFFFF"/>
      <w:spacing w:before="0" w:after="0" w:line="100" w:lineRule="exact"/>
      <w:jc w:val="left"/>
    </w:pPr>
    <w:rPr>
      <w:rFonts w:ascii="Arial" w:eastAsia="Arial" w:hAnsi="Arial" w:cs="Arial"/>
      <w:b/>
      <w:bCs/>
      <w:sz w:val="9"/>
      <w:szCs w:val="9"/>
    </w:rPr>
  </w:style>
  <w:style w:type="character" w:customStyle="1" w:styleId="Bodytext6Exact">
    <w:name w:val="Body text|6 Exact"/>
    <w:basedOn w:val="DefaultParagraphFont"/>
    <w:link w:val="Bodytext6"/>
    <w:rPr>
      <w:rFonts w:ascii="Arial" w:eastAsia="Arial" w:hAnsi="Arial" w:cs="Arial"/>
      <w:b/>
      <w:bCs/>
      <w:sz w:val="8"/>
      <w:szCs w:val="8"/>
      <w:shd w:val="clear" w:color="auto" w:fill="FFFFFF"/>
    </w:rPr>
  </w:style>
  <w:style w:type="paragraph" w:customStyle="1" w:styleId="Bodytext6">
    <w:name w:val="Body text|6"/>
    <w:basedOn w:val="Normal"/>
    <w:link w:val="Bodytext6Exact"/>
    <w:pPr>
      <w:widowControl w:val="0"/>
      <w:shd w:val="clear" w:color="auto" w:fill="FFFFFF"/>
      <w:spacing w:before="0" w:after="0" w:line="91" w:lineRule="exact"/>
      <w:jc w:val="left"/>
    </w:pPr>
    <w:rPr>
      <w:rFonts w:ascii="Arial" w:eastAsia="Arial" w:hAnsi="Arial" w:cs="Arial"/>
      <w:b/>
      <w:bCs/>
      <w:sz w:val="8"/>
      <w:szCs w:val="8"/>
    </w:rPr>
  </w:style>
  <w:style w:type="character" w:customStyle="1" w:styleId="Bodytext7Exact">
    <w:name w:val="Body text|7 Exact"/>
    <w:basedOn w:val="DefaultParagraphFont"/>
    <w:link w:val="Bodytext7"/>
    <w:rPr>
      <w:rFonts w:ascii="Arial" w:eastAsia="Arial" w:hAnsi="Arial" w:cs="Arial"/>
      <w:sz w:val="8"/>
      <w:szCs w:val="8"/>
      <w:shd w:val="clear" w:color="auto" w:fill="FFFFFF"/>
    </w:rPr>
  </w:style>
  <w:style w:type="paragraph" w:customStyle="1" w:styleId="Bodytext7">
    <w:name w:val="Body text|7"/>
    <w:basedOn w:val="Normal"/>
    <w:link w:val="Bodytext7Exact"/>
    <w:pPr>
      <w:widowControl w:val="0"/>
      <w:shd w:val="clear" w:color="auto" w:fill="FFFFFF"/>
      <w:spacing w:before="0" w:after="0" w:line="106" w:lineRule="exact"/>
    </w:pPr>
    <w:rPr>
      <w:rFonts w:ascii="Arial" w:eastAsia="Arial" w:hAnsi="Arial" w:cs="Arial"/>
      <w:sz w:val="8"/>
      <w:szCs w:val="8"/>
    </w:rPr>
  </w:style>
  <w:style w:type="character" w:customStyle="1" w:styleId="Bodytext6SmallCapsExact">
    <w:name w:val="Body text|6 + Small Caps Exact"/>
    <w:basedOn w:val="Bodytext6Exact"/>
    <w:semiHidden/>
    <w:unhideWhenUsed/>
    <w:rPr>
      <w:rFonts w:ascii="Arial" w:eastAsia="Arial" w:hAnsi="Arial" w:cs="Arial"/>
      <w:b/>
      <w:bCs/>
      <w:i w:val="0"/>
      <w:iCs w:val="0"/>
      <w:smallCaps/>
      <w:strike w:val="0"/>
      <w:color w:val="000000"/>
      <w:spacing w:val="0"/>
      <w:w w:val="100"/>
      <w:position w:val="0"/>
      <w:sz w:val="8"/>
      <w:szCs w:val="8"/>
      <w:u w:val="none"/>
      <w:shd w:val="clear" w:color="auto" w:fill="FFFFFF"/>
      <w:lang w:val="sv-SE" w:eastAsia="en-US" w:bidi="en-US"/>
    </w:rPr>
  </w:style>
  <w:style w:type="paragraph" w:styleId="Header">
    <w:name w:val="header"/>
    <w:basedOn w:val="Normal"/>
    <w:link w:val="HeaderChar"/>
    <w:uiPriority w:val="99"/>
    <w:unhideWhenUsed/>
    <w:rsid w:val="008C651D"/>
    <w:pPr>
      <w:tabs>
        <w:tab w:val="center" w:pos="4535"/>
        <w:tab w:val="right" w:pos="9071"/>
      </w:tabs>
      <w:spacing w:before="0"/>
    </w:pPr>
  </w:style>
  <w:style w:type="character" w:customStyle="1" w:styleId="HeaderChar">
    <w:name w:val="Header Char"/>
    <w:basedOn w:val="DefaultParagraphFont"/>
    <w:link w:val="Header"/>
    <w:uiPriority w:val="99"/>
    <w:rsid w:val="008C651D"/>
    <w:rPr>
      <w:rFonts w:ascii="Times New Roman" w:hAnsi="Times New Roman" w:cs="Times New Roman"/>
      <w:sz w:val="24"/>
      <w:lang w:val="sv-SE"/>
    </w:rPr>
  </w:style>
  <w:style w:type="paragraph" w:styleId="Footer">
    <w:name w:val="footer"/>
    <w:basedOn w:val="Normal"/>
    <w:link w:val="FooterChar"/>
    <w:uiPriority w:val="99"/>
    <w:unhideWhenUsed/>
    <w:rsid w:val="008C651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C651D"/>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C651D"/>
    <w:pPr>
      <w:tabs>
        <w:tab w:val="center" w:pos="7285"/>
        <w:tab w:val="right" w:pos="14003"/>
      </w:tabs>
      <w:spacing w:before="0"/>
    </w:pPr>
  </w:style>
  <w:style w:type="paragraph" w:customStyle="1" w:styleId="FooterLandscape">
    <w:name w:val="FooterLandscape"/>
    <w:basedOn w:val="Normal"/>
    <w:rsid w:val="008C651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C651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8C651D"/>
    <w:pPr>
      <w:spacing w:before="0"/>
      <w:jc w:val="right"/>
    </w:pPr>
    <w:rPr>
      <w:sz w:val="28"/>
    </w:rPr>
  </w:style>
  <w:style w:type="paragraph" w:customStyle="1" w:styleId="FooterSensitivity">
    <w:name w:val="Footer Sensitivity"/>
    <w:basedOn w:val="Normal"/>
    <w:rsid w:val="008C651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Paragraph">
    <w:name w:val="List Paragraph"/>
    <w:basedOn w:val="Normal"/>
    <w:uiPriority w:val="34"/>
    <w:qFormat/>
    <w:pPr>
      <w:ind w:left="720"/>
      <w:contextualSpacing/>
    </w:pPr>
  </w:style>
  <w:style w:type="paragraph" w:styleId="ListBullet4">
    <w:name w:val="List Bullet 4"/>
    <w:basedOn w:val="Normal"/>
    <w:uiPriority w:val="99"/>
    <w:semiHidden/>
    <w:unhideWhenUsed/>
    <w:pPr>
      <w:numPr>
        <w:numId w:val="2"/>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OBMHL F+ Adv T T 2cba 4af 3. B" w:eastAsiaTheme="minorEastAsia" w:hAnsi="OBMHL F+ Adv T T 2cba 4af 3. B" w:cs="OBMHL F+ Adv T T 2cba 4af 3. B"/>
      <w:color w:val="000000"/>
      <w:sz w:val="24"/>
      <w:szCs w:val="24"/>
      <w:lang w:eastAsia="de-DE"/>
    </w:rPr>
  </w:style>
  <w:style w:type="paragraph" w:customStyle="1" w:styleId="CM1">
    <w:name w:val="CM1"/>
    <w:basedOn w:val="Default"/>
    <w:next w:val="Default"/>
    <w:uiPriority w:val="99"/>
    <w:rPr>
      <w:rFonts w:cstheme="minorBidi"/>
      <w:color w:val="auto"/>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sv-SE"/>
    </w:rPr>
  </w:style>
  <w:style w:type="character" w:styleId="Strong">
    <w:name w:val="Strong"/>
    <w:basedOn w:val="DefaultParagraphFont"/>
    <w:uiPriority w:val="22"/>
    <w:qFormat/>
    <w:rPr>
      <w:b/>
      <w:bCs/>
    </w:rPr>
  </w:style>
  <w:style w:type="character" w:customStyle="1" w:styleId="Bodytext8Exact">
    <w:name w:val="Body text|8 Exact"/>
    <w:basedOn w:val="DefaultParagraphFont"/>
    <w:link w:val="Bodytext8"/>
    <w:rPr>
      <w:rFonts w:ascii="Arial" w:eastAsia="Arial" w:hAnsi="Arial" w:cs="Arial"/>
      <w:i/>
      <w:iCs/>
      <w:sz w:val="13"/>
      <w:szCs w:val="13"/>
      <w:shd w:val="clear" w:color="auto" w:fill="FFFFFF"/>
    </w:rPr>
  </w:style>
  <w:style w:type="paragraph" w:customStyle="1" w:styleId="Bodytext8">
    <w:name w:val="Body text|8"/>
    <w:basedOn w:val="Normal"/>
    <w:link w:val="Bodytext8Exact"/>
    <w:pPr>
      <w:widowControl w:val="0"/>
      <w:shd w:val="clear" w:color="auto" w:fill="FFFFFF"/>
      <w:spacing w:before="0" w:after="0" w:line="146" w:lineRule="exact"/>
      <w:jc w:val="left"/>
    </w:pPr>
    <w:rPr>
      <w:rFonts w:ascii="Arial" w:eastAsia="Arial" w:hAnsi="Arial" w:cs="Arial"/>
      <w:i/>
      <w:iCs/>
      <w:sz w:val="13"/>
      <w:szCs w:val="13"/>
    </w:rPr>
  </w:style>
  <w:style w:type="character" w:customStyle="1" w:styleId="Bodytext2">
    <w:name w:val="Body text|2_"/>
    <w:basedOn w:val="DefaultParagraphFont"/>
    <w:link w:val="Bodytext20"/>
    <w:rPr>
      <w:rFonts w:ascii="Arial" w:eastAsia="Arial" w:hAnsi="Arial" w:cs="Arial"/>
      <w:sz w:val="16"/>
      <w:szCs w:val="16"/>
      <w:shd w:val="clear" w:color="auto" w:fill="FFFFFF"/>
    </w:rPr>
  </w:style>
  <w:style w:type="character" w:customStyle="1" w:styleId="Bodytext2Exact">
    <w:name w:val="Body text|2 Exact"/>
    <w:basedOn w:val="DefaultParagraphFont"/>
    <w:semiHidden/>
    <w:unhideWhenUsed/>
    <w:rPr>
      <w:rFonts w:ascii="Arial" w:eastAsia="Arial" w:hAnsi="Arial" w:cs="Arial"/>
      <w:b w:val="0"/>
      <w:bCs w:val="0"/>
      <w:i w:val="0"/>
      <w:iCs w:val="0"/>
      <w:smallCaps w:val="0"/>
      <w:strike w:val="0"/>
      <w:sz w:val="16"/>
      <w:szCs w:val="16"/>
      <w:u w:val="none"/>
    </w:rPr>
  </w:style>
  <w:style w:type="character" w:customStyle="1" w:styleId="Bodytext9Exact">
    <w:name w:val="Body text|9 Exact"/>
    <w:basedOn w:val="DefaultParagraphFont"/>
    <w:semiHidden/>
    <w:unhideWhenUsed/>
    <w:rPr>
      <w:rFonts w:ascii="Arial" w:eastAsia="Arial" w:hAnsi="Arial" w:cs="Arial"/>
      <w:b/>
      <w:bCs/>
      <w:i w:val="0"/>
      <w:iCs w:val="0"/>
      <w:smallCaps w:val="0"/>
      <w:strike w:val="0"/>
      <w:sz w:val="13"/>
      <w:szCs w:val="13"/>
      <w:u w:val="none"/>
    </w:rPr>
  </w:style>
  <w:style w:type="character" w:customStyle="1" w:styleId="Bodytext9">
    <w:name w:val="Body text|9_"/>
    <w:basedOn w:val="DefaultParagraphFont"/>
    <w:link w:val="Bodytext90"/>
    <w:rPr>
      <w:rFonts w:ascii="Arial" w:eastAsia="Arial" w:hAnsi="Arial" w:cs="Arial"/>
      <w:b/>
      <w:bCs/>
      <w:sz w:val="13"/>
      <w:szCs w:val="13"/>
      <w:shd w:val="clear" w:color="auto" w:fill="FFFFFF"/>
    </w:rPr>
  </w:style>
  <w:style w:type="paragraph" w:customStyle="1" w:styleId="Bodytext20">
    <w:name w:val="Body text|2"/>
    <w:basedOn w:val="Normal"/>
    <w:link w:val="Bodytext2"/>
    <w:qFormat/>
    <w:pPr>
      <w:widowControl w:val="0"/>
      <w:shd w:val="clear" w:color="auto" w:fill="FFFFFF"/>
      <w:spacing w:before="180" w:after="180" w:line="178" w:lineRule="exact"/>
      <w:ind w:hanging="280"/>
    </w:pPr>
    <w:rPr>
      <w:rFonts w:ascii="Arial" w:eastAsia="Arial" w:hAnsi="Arial" w:cs="Arial"/>
      <w:sz w:val="16"/>
      <w:szCs w:val="16"/>
    </w:rPr>
  </w:style>
  <w:style w:type="paragraph" w:customStyle="1" w:styleId="Bodytext90">
    <w:name w:val="Body text|9"/>
    <w:basedOn w:val="Normal"/>
    <w:link w:val="Bodytext9"/>
    <w:pPr>
      <w:widowControl w:val="0"/>
      <w:shd w:val="clear" w:color="auto" w:fill="FFFFFF"/>
      <w:spacing w:before="0" w:after="200" w:line="146" w:lineRule="exact"/>
      <w:jc w:val="left"/>
    </w:pPr>
    <w:rPr>
      <w:rFonts w:ascii="Arial" w:eastAsia="Arial" w:hAnsi="Arial" w:cs="Arial"/>
      <w:b/>
      <w:bCs/>
      <w:sz w:val="13"/>
      <w:szCs w:val="13"/>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6"/>
      <w:szCs w:val="16"/>
      <w:u w:val="none"/>
      <w:shd w:val="clear" w:color="auto" w:fill="FFFFFF"/>
      <w:lang w:val="sv-SE" w:eastAsia="en-US" w:bidi="en-US"/>
    </w:rPr>
  </w:style>
  <w:style w:type="character" w:customStyle="1" w:styleId="Bodytext265ptBold">
    <w:name w:val="Body text|2 + 6.5 pt;Bold"/>
    <w:basedOn w:val="Bodytext2"/>
    <w:semiHidden/>
    <w:unhideWhenUsed/>
    <w:rPr>
      <w:rFonts w:ascii="Arial" w:eastAsia="Arial" w:hAnsi="Arial" w:cs="Arial"/>
      <w:b/>
      <w:bCs/>
      <w:i w:val="0"/>
      <w:iCs w:val="0"/>
      <w:smallCaps w:val="0"/>
      <w:strike w:val="0"/>
      <w:color w:val="000000"/>
      <w:spacing w:val="0"/>
      <w:w w:val="100"/>
      <w:position w:val="0"/>
      <w:sz w:val="13"/>
      <w:szCs w:val="13"/>
      <w:u w:val="none"/>
      <w:shd w:val="clear" w:color="auto" w:fill="FFFFFF"/>
      <w:lang w:val="sv-SE" w:eastAsia="en-US" w:bidi="en-US"/>
    </w:rPr>
  </w:style>
  <w:style w:type="character" w:customStyle="1" w:styleId="Bodytext265ptItalic">
    <w:name w:val="Body text|2 + 6.5 pt;Italic"/>
    <w:basedOn w:val="Bodytext2"/>
    <w:semiHidden/>
    <w:unhideWhenUsed/>
    <w:rPr>
      <w:rFonts w:ascii="Arial" w:eastAsia="Arial" w:hAnsi="Arial" w:cs="Arial"/>
      <w:b w:val="0"/>
      <w:bCs w:val="0"/>
      <w:i/>
      <w:iCs/>
      <w:smallCaps w:val="0"/>
      <w:strike w:val="0"/>
      <w:color w:val="000000"/>
      <w:spacing w:val="0"/>
      <w:w w:val="100"/>
      <w:position w:val="0"/>
      <w:sz w:val="13"/>
      <w:szCs w:val="13"/>
      <w:u w:val="none"/>
      <w:shd w:val="clear" w:color="auto" w:fill="FFFFFF"/>
      <w:lang w:val="sv-SE" w:eastAsia="en-US" w:bidi="en-US"/>
    </w:rPr>
  </w:style>
  <w:style w:type="character" w:customStyle="1" w:styleId="Footnote3">
    <w:name w:val="Footnote|3_"/>
    <w:basedOn w:val="DefaultParagraphFont"/>
    <w:link w:val="Footnote30"/>
    <w:rPr>
      <w:rFonts w:ascii="Arial" w:eastAsia="Arial" w:hAnsi="Arial" w:cs="Arial"/>
      <w:b/>
      <w:bCs/>
      <w:sz w:val="9"/>
      <w:szCs w:val="9"/>
      <w:shd w:val="clear" w:color="auto" w:fill="FFFFFF"/>
    </w:rPr>
  </w:style>
  <w:style w:type="character" w:customStyle="1" w:styleId="Bodytext245ptBold">
    <w:name w:val="Body text|2 + 4.5 pt;Bold"/>
    <w:basedOn w:val="Bodytext2"/>
    <w:semiHidden/>
    <w:unhideWhenUsed/>
    <w:rPr>
      <w:rFonts w:ascii="Arial" w:eastAsia="Arial" w:hAnsi="Arial" w:cs="Arial"/>
      <w:b/>
      <w:bCs/>
      <w:i w:val="0"/>
      <w:iCs w:val="0"/>
      <w:smallCaps w:val="0"/>
      <w:strike w:val="0"/>
      <w:color w:val="000000"/>
      <w:spacing w:val="0"/>
      <w:w w:val="100"/>
      <w:position w:val="0"/>
      <w:sz w:val="9"/>
      <w:szCs w:val="9"/>
      <w:u w:val="none"/>
      <w:shd w:val="clear" w:color="auto" w:fill="FFFFFF"/>
      <w:lang w:val="sv-SE" w:eastAsia="en-US" w:bidi="en-US"/>
    </w:rPr>
  </w:style>
  <w:style w:type="paragraph" w:customStyle="1" w:styleId="Footnote30">
    <w:name w:val="Footnote|3"/>
    <w:basedOn w:val="Normal"/>
    <w:link w:val="Footnote3"/>
    <w:pPr>
      <w:widowControl w:val="0"/>
      <w:shd w:val="clear" w:color="auto" w:fill="FFFFFF"/>
      <w:spacing w:before="0" w:after="0" w:line="100" w:lineRule="exact"/>
      <w:jc w:val="left"/>
    </w:pPr>
    <w:rPr>
      <w:rFonts w:ascii="Arial" w:eastAsia="Arial" w:hAnsi="Arial" w:cs="Arial"/>
      <w:b/>
      <w:bCs/>
      <w:sz w:val="9"/>
      <w:szCs w:val="9"/>
    </w:rPr>
  </w:style>
  <w:style w:type="character" w:customStyle="1" w:styleId="Bodytext6Exact">
    <w:name w:val="Body text|6 Exact"/>
    <w:basedOn w:val="DefaultParagraphFont"/>
    <w:link w:val="Bodytext6"/>
    <w:rPr>
      <w:rFonts w:ascii="Arial" w:eastAsia="Arial" w:hAnsi="Arial" w:cs="Arial"/>
      <w:b/>
      <w:bCs/>
      <w:sz w:val="8"/>
      <w:szCs w:val="8"/>
      <w:shd w:val="clear" w:color="auto" w:fill="FFFFFF"/>
    </w:rPr>
  </w:style>
  <w:style w:type="paragraph" w:customStyle="1" w:styleId="Bodytext6">
    <w:name w:val="Body text|6"/>
    <w:basedOn w:val="Normal"/>
    <w:link w:val="Bodytext6Exact"/>
    <w:pPr>
      <w:widowControl w:val="0"/>
      <w:shd w:val="clear" w:color="auto" w:fill="FFFFFF"/>
      <w:spacing w:before="0" w:after="0" w:line="91" w:lineRule="exact"/>
      <w:jc w:val="left"/>
    </w:pPr>
    <w:rPr>
      <w:rFonts w:ascii="Arial" w:eastAsia="Arial" w:hAnsi="Arial" w:cs="Arial"/>
      <w:b/>
      <w:bCs/>
      <w:sz w:val="8"/>
      <w:szCs w:val="8"/>
    </w:rPr>
  </w:style>
  <w:style w:type="character" w:customStyle="1" w:styleId="Bodytext7Exact">
    <w:name w:val="Body text|7 Exact"/>
    <w:basedOn w:val="DefaultParagraphFont"/>
    <w:link w:val="Bodytext7"/>
    <w:rPr>
      <w:rFonts w:ascii="Arial" w:eastAsia="Arial" w:hAnsi="Arial" w:cs="Arial"/>
      <w:sz w:val="8"/>
      <w:szCs w:val="8"/>
      <w:shd w:val="clear" w:color="auto" w:fill="FFFFFF"/>
    </w:rPr>
  </w:style>
  <w:style w:type="paragraph" w:customStyle="1" w:styleId="Bodytext7">
    <w:name w:val="Body text|7"/>
    <w:basedOn w:val="Normal"/>
    <w:link w:val="Bodytext7Exact"/>
    <w:pPr>
      <w:widowControl w:val="0"/>
      <w:shd w:val="clear" w:color="auto" w:fill="FFFFFF"/>
      <w:spacing w:before="0" w:after="0" w:line="106" w:lineRule="exact"/>
    </w:pPr>
    <w:rPr>
      <w:rFonts w:ascii="Arial" w:eastAsia="Arial" w:hAnsi="Arial" w:cs="Arial"/>
      <w:sz w:val="8"/>
      <w:szCs w:val="8"/>
    </w:rPr>
  </w:style>
  <w:style w:type="character" w:customStyle="1" w:styleId="Bodytext6SmallCapsExact">
    <w:name w:val="Body text|6 + Small Caps Exact"/>
    <w:basedOn w:val="Bodytext6Exact"/>
    <w:semiHidden/>
    <w:unhideWhenUsed/>
    <w:rPr>
      <w:rFonts w:ascii="Arial" w:eastAsia="Arial" w:hAnsi="Arial" w:cs="Arial"/>
      <w:b/>
      <w:bCs/>
      <w:i w:val="0"/>
      <w:iCs w:val="0"/>
      <w:smallCaps/>
      <w:strike w:val="0"/>
      <w:color w:val="000000"/>
      <w:spacing w:val="0"/>
      <w:w w:val="100"/>
      <w:position w:val="0"/>
      <w:sz w:val="8"/>
      <w:szCs w:val="8"/>
      <w:u w:val="none"/>
      <w:shd w:val="clear" w:color="auto" w:fill="FFFFFF"/>
      <w:lang w:val="sv-SE" w:eastAsia="en-US" w:bidi="en-US"/>
    </w:rPr>
  </w:style>
  <w:style w:type="paragraph" w:styleId="Header">
    <w:name w:val="header"/>
    <w:basedOn w:val="Normal"/>
    <w:link w:val="HeaderChar"/>
    <w:uiPriority w:val="99"/>
    <w:unhideWhenUsed/>
    <w:rsid w:val="008C651D"/>
    <w:pPr>
      <w:tabs>
        <w:tab w:val="center" w:pos="4535"/>
        <w:tab w:val="right" w:pos="9071"/>
      </w:tabs>
      <w:spacing w:before="0"/>
    </w:pPr>
  </w:style>
  <w:style w:type="character" w:customStyle="1" w:styleId="HeaderChar">
    <w:name w:val="Header Char"/>
    <w:basedOn w:val="DefaultParagraphFont"/>
    <w:link w:val="Header"/>
    <w:uiPriority w:val="99"/>
    <w:rsid w:val="008C651D"/>
    <w:rPr>
      <w:rFonts w:ascii="Times New Roman" w:hAnsi="Times New Roman" w:cs="Times New Roman"/>
      <w:sz w:val="24"/>
      <w:lang w:val="sv-SE"/>
    </w:rPr>
  </w:style>
  <w:style w:type="paragraph" w:styleId="Footer">
    <w:name w:val="footer"/>
    <w:basedOn w:val="Normal"/>
    <w:link w:val="FooterChar"/>
    <w:uiPriority w:val="99"/>
    <w:unhideWhenUsed/>
    <w:rsid w:val="008C651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C651D"/>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C651D"/>
    <w:pPr>
      <w:tabs>
        <w:tab w:val="center" w:pos="7285"/>
        <w:tab w:val="right" w:pos="14003"/>
      </w:tabs>
      <w:spacing w:before="0"/>
    </w:pPr>
  </w:style>
  <w:style w:type="paragraph" w:customStyle="1" w:styleId="FooterLandscape">
    <w:name w:val="FooterLandscape"/>
    <w:basedOn w:val="Normal"/>
    <w:rsid w:val="008C651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C651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8C651D"/>
    <w:pPr>
      <w:spacing w:before="0"/>
      <w:jc w:val="right"/>
    </w:pPr>
    <w:rPr>
      <w:sz w:val="28"/>
    </w:rPr>
  </w:style>
  <w:style w:type="paragraph" w:customStyle="1" w:styleId="FooterSensitivity">
    <w:name w:val="Footer Sensitivity"/>
    <w:basedOn w:val="Normal"/>
    <w:rsid w:val="008C651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FB8F-EC1E-4597-8988-E804988D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10</Pages>
  <Words>5544</Words>
  <Characters>34094</Characters>
  <Application>Microsoft Office Word</Application>
  <DocSecurity>0</DocSecurity>
  <Lines>1394</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Priscilla (ENER)</dc:creator>
  <cp:keywords/>
  <dc:description/>
  <cp:lastModifiedBy>KOUTZIAVASILI Dimitra (BUDG)</cp:lastModifiedBy>
  <cp:revision>10</cp:revision>
  <cp:lastPrinted>2019-11-18T10:16:00Z</cp:lastPrinted>
  <dcterms:created xsi:type="dcterms:W3CDTF">2019-12-02T16:17:00Z</dcterms:created>
  <dcterms:modified xsi:type="dcterms:W3CDTF">2019-12-02T21:51:00Z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