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47C096C-073A-49B4-865B-013ECD025CA4" style="width:450.2pt;height:307.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RELAZIONE DELLA COMMISSIONE</w:t>
      </w:r>
    </w:p>
    <w:p>
      <w:pPr>
        <w:pStyle w:val="Titreobjet"/>
        <w:rPr>
          <w:noProof/>
        </w:rPr>
      </w:pPr>
      <w:r>
        <w:rPr>
          <w:noProof/>
        </w:rPr>
        <w:t>SUI LAVORI DEI COMITATI NEL 2018</w:t>
      </w:r>
    </w:p>
    <w:p>
      <w:pPr>
        <w:pStyle w:val="Sous-titreobjet"/>
        <w:rPr>
          <w:noProof/>
        </w:rPr>
      </w:pPr>
    </w:p>
    <w:p>
      <w:pPr>
        <w:spacing w:line="240" w:lineRule="auto"/>
        <w:jc w:val="both"/>
        <w:rPr>
          <w:rFonts w:ascii="Times New Roman" w:hAnsi="Times New Roman"/>
          <w:noProof/>
          <w:sz w:val="24"/>
          <w:szCs w:val="24"/>
        </w:rPr>
      </w:pPr>
      <w:r>
        <w:rPr>
          <w:rFonts w:ascii="Times New Roman" w:hAnsi="Times New Roman"/>
          <w:noProof/>
          <w:sz w:val="24"/>
          <w:szCs w:val="24"/>
        </w:rPr>
        <w:t>Ai sensi dell'articolo 10, paragrafo 2, del regolamento (UE) n. 182/2011 che stabilisce le regole e i principi generali relativi alle modalità di controllo da parte degli Stati membri dell'esercizio delle competenze di esecuzione attribuite alla Commissione</w:t>
      </w:r>
      <w:r>
        <w:rPr>
          <w:rFonts w:ascii="Times New Roman" w:hAnsi="Times New Roman"/>
          <w:noProof/>
          <w:sz w:val="24"/>
          <w:szCs w:val="24"/>
          <w:vertAlign w:val="superscript"/>
        </w:rPr>
        <w:footnoteReference w:id="1"/>
      </w:r>
      <w:r>
        <w:rPr>
          <w:rFonts w:ascii="Times New Roman" w:hAnsi="Times New Roman"/>
          <w:noProof/>
          <w:sz w:val="24"/>
          <w:szCs w:val="24"/>
        </w:rPr>
        <w:t xml:space="preserve"> (il regolamento "comitatologia"), la Commissione presenta la relazione annuale sui lavori dei comitati nel 2018.</w:t>
      </w:r>
    </w:p>
    <w:p>
      <w:pPr>
        <w:spacing w:line="240" w:lineRule="auto"/>
        <w:jc w:val="both"/>
        <w:rPr>
          <w:rFonts w:ascii="Times New Roman" w:hAnsi="Times New Roman"/>
          <w:noProof/>
          <w:sz w:val="24"/>
          <w:szCs w:val="24"/>
        </w:rPr>
      </w:pPr>
      <w:r>
        <w:rPr>
          <w:rFonts w:ascii="Times New Roman" w:hAnsi="Times New Roman"/>
          <w:noProof/>
          <w:sz w:val="24"/>
          <w:szCs w:val="24"/>
        </w:rPr>
        <w:t>La presente relazione contiene un'analisi degli sviluppi del sistema della comitatologia nel 2018 e una sintesi delle attività dei comitati ed è corredata di un documento di lavoro in cui figurano statistiche dettagliate sull'operato dei singoli comitati.</w:t>
      </w:r>
    </w:p>
    <w:p>
      <w:pPr>
        <w:spacing w:line="240" w:lineRule="auto"/>
        <w:jc w:val="both"/>
        <w:rPr>
          <w:rFonts w:ascii="Times New Roman" w:hAnsi="Times New Roman"/>
          <w:noProof/>
          <w:sz w:val="24"/>
          <w:szCs w:val="24"/>
        </w:rPr>
      </w:pPr>
    </w:p>
    <w:p>
      <w:pPr>
        <w:pStyle w:val="ManualHeading1"/>
        <w:rPr>
          <w:noProof/>
          <w:color w:val="FF0000"/>
        </w:rPr>
      </w:pPr>
      <w:r>
        <w:t>1.</w:t>
      </w:r>
      <w:r>
        <w:tab/>
      </w:r>
      <w:r>
        <w:rPr>
          <w:noProof/>
        </w:rPr>
        <w:t>Analisi degli sviluppi del sistema della comitatologia nel 2018</w:t>
      </w:r>
    </w:p>
    <w:p>
      <w:pPr>
        <w:pStyle w:val="ManualHeading2"/>
        <w:rPr>
          <w:noProof/>
        </w:rPr>
      </w:pPr>
      <w:r>
        <w:t>1.1.</w:t>
      </w:r>
      <w:r>
        <w:tab/>
      </w:r>
      <w:r>
        <w:rPr>
          <w:noProof/>
        </w:rPr>
        <w:t>Sviluppi generali</w:t>
      </w:r>
    </w:p>
    <w:p>
      <w:pPr>
        <w:spacing w:line="240" w:lineRule="auto"/>
        <w:jc w:val="both"/>
        <w:rPr>
          <w:rFonts w:ascii="Times New Roman" w:hAnsi="Times New Roman"/>
          <w:b/>
          <w:noProof/>
          <w:sz w:val="24"/>
          <w:szCs w:val="24"/>
        </w:rPr>
      </w:pPr>
      <w:r>
        <w:rPr>
          <w:rFonts w:ascii="Times New Roman" w:hAnsi="Times New Roman"/>
          <w:noProof/>
          <w:sz w:val="24"/>
          <w:szCs w:val="24"/>
        </w:rPr>
        <w:t>Come descritto nella relazione annuale del 2013</w:t>
      </w:r>
      <w:r>
        <w:rPr>
          <w:rFonts w:ascii="Times New Roman" w:hAnsi="Times New Roman"/>
          <w:noProof/>
          <w:sz w:val="24"/>
          <w:szCs w:val="24"/>
          <w:vertAlign w:val="superscript"/>
        </w:rPr>
        <w:footnoteReference w:id="2"/>
      </w:r>
      <w:r>
        <w:rPr>
          <w:rFonts w:ascii="Times New Roman" w:hAnsi="Times New Roman"/>
          <w:noProof/>
          <w:sz w:val="24"/>
          <w:szCs w:val="24"/>
        </w:rPr>
        <w:t>, tutte le procedure di comitatologia di cui nella precedente decisione "comitatologia"</w:t>
      </w:r>
      <w:r>
        <w:rPr>
          <w:rFonts w:ascii="Times New Roman" w:hAnsi="Times New Roman"/>
          <w:noProof/>
          <w:sz w:val="24"/>
          <w:szCs w:val="24"/>
          <w:vertAlign w:val="superscript"/>
        </w:rPr>
        <w:footnoteReference w:id="3"/>
      </w:r>
      <w:r>
        <w:rPr>
          <w:rFonts w:ascii="Times New Roman" w:hAnsi="Times New Roman"/>
          <w:noProof/>
          <w:sz w:val="24"/>
          <w:szCs w:val="24"/>
        </w:rPr>
        <w:t>, ad eccezione della procedura di regolamentazione con controllo, sono state automaticamente adattate alle nuove procedure previste nel regolamento "comitatologia".</w:t>
      </w:r>
    </w:p>
    <w:p>
      <w:pPr>
        <w:spacing w:line="240" w:lineRule="auto"/>
        <w:jc w:val="both"/>
        <w:rPr>
          <w:rFonts w:ascii="Times New Roman" w:hAnsi="Times New Roman"/>
          <w:noProof/>
          <w:sz w:val="24"/>
          <w:szCs w:val="24"/>
        </w:rPr>
      </w:pPr>
      <w:r>
        <w:rPr>
          <w:rFonts w:ascii="Times New Roman" w:hAnsi="Times New Roman"/>
          <w:noProof/>
          <w:sz w:val="24"/>
          <w:szCs w:val="24"/>
        </w:rPr>
        <w:t>Nel 2018 i comitati "comitatologia" hanno quindi operato nel quadro delle procedure fissate nel regolamento "comitatologia", ossia procedura consultiva (articolo 4) e d'esame (articolo 5), nonché nel quadro della procedura di regolamentazione con controllo di cui all'articolo 5 bis della decisione "comitatologia".</w:t>
      </w:r>
    </w:p>
    <w:p>
      <w:pPr>
        <w:spacing w:line="240" w:lineRule="auto"/>
        <w:jc w:val="both"/>
        <w:rPr>
          <w:rFonts w:ascii="Times New Roman" w:hAnsi="Times New Roman"/>
          <w:noProof/>
          <w:sz w:val="24"/>
          <w:szCs w:val="24"/>
        </w:rPr>
      </w:pPr>
      <w:r>
        <w:rPr>
          <w:rFonts w:ascii="Times New Roman" w:hAnsi="Times New Roman"/>
          <w:noProof/>
          <w:sz w:val="24"/>
          <w:szCs w:val="24"/>
        </w:rPr>
        <w:t>L'accordo interistituzionale "Legiferare meglio" del 13 aprile 2016</w:t>
      </w:r>
      <w:r>
        <w:rPr>
          <w:rStyle w:val="FootnoteReference"/>
          <w:rFonts w:ascii="Times New Roman" w:hAnsi="Times New Roman"/>
          <w:noProof/>
          <w:sz w:val="24"/>
          <w:szCs w:val="24"/>
        </w:rPr>
        <w:footnoteReference w:id="4"/>
      </w:r>
      <w:r>
        <w:rPr>
          <w:rFonts w:ascii="Times New Roman" w:hAnsi="Times New Roman"/>
          <w:noProof/>
          <w:sz w:val="24"/>
          <w:szCs w:val="24"/>
        </w:rPr>
        <w:t xml:space="preserve"> ricorda, al punto 27, la necessità di allineare la procedura di regolamentazione con controllo:</w:t>
      </w:r>
    </w:p>
    <w:p>
      <w:pPr>
        <w:spacing w:line="240" w:lineRule="auto"/>
        <w:jc w:val="both"/>
        <w:rPr>
          <w:rFonts w:ascii="Times New Roman" w:hAnsi="Times New Roman"/>
          <w:noProof/>
          <w:sz w:val="24"/>
          <w:szCs w:val="24"/>
        </w:rPr>
      </w:pPr>
      <w:r>
        <w:rPr>
          <w:rFonts w:ascii="Times New Roman" w:hAnsi="Times New Roman"/>
          <w:noProof/>
          <w:sz w:val="24"/>
          <w:szCs w:val="24"/>
        </w:rPr>
        <w:t>"Le tre istituzioni riconoscono la necessità di allineare tutta la legislazione vigente al quadro giuridico introdotto dal trattato di Lisbona e, in particolare, la necessità di dare alta priorità al rapido allineamento di tutti gli atti di base che ancora fanno riferimento alla procedura di regolamentazione con controllo. La Commissione proporrà detto allineamento entro la fine del 2016".</w:t>
      </w:r>
    </w:p>
    <w:p>
      <w:pPr>
        <w:spacing w:line="240" w:lineRule="auto"/>
        <w:jc w:val="both"/>
        <w:rPr>
          <w:rFonts w:ascii="Times New Roman" w:hAnsi="Times New Roman"/>
          <w:noProof/>
          <w:sz w:val="24"/>
          <w:szCs w:val="24"/>
        </w:rPr>
      </w:pPr>
      <w:r>
        <w:rPr>
          <w:rFonts w:ascii="Times New Roman" w:hAnsi="Times New Roman"/>
          <w:noProof/>
          <w:sz w:val="24"/>
          <w:szCs w:val="24"/>
        </w:rPr>
        <w:t>In linea con questo impegno, la Commissione ha adottato una proposta per allineare agli atti delegati e di esecuzione gli atti di base che prevedono il ricorso alla procedura di regolamentazione con controllo</w:t>
      </w:r>
      <w:r>
        <w:rPr>
          <w:rStyle w:val="FootnoteReference"/>
          <w:rFonts w:ascii="Times New Roman" w:hAnsi="Times New Roman"/>
          <w:noProof/>
          <w:sz w:val="24"/>
          <w:szCs w:val="24"/>
        </w:rPr>
        <w:footnoteReference w:id="5"/>
      </w:r>
      <w:r>
        <w:rPr>
          <w:rFonts w:ascii="Times New Roman" w:hAnsi="Times New Roman"/>
          <w:noProof/>
          <w:sz w:val="24"/>
          <w:szCs w:val="24"/>
        </w:rPr>
        <w:t>. Ha inoltre adottato una seconda proposta, che verte in modo specifico sull'allineamento degli atti di base nel settore della giustizia</w:t>
      </w:r>
      <w:r>
        <w:rPr>
          <w:rStyle w:val="FootnoteReference"/>
          <w:rFonts w:ascii="Times New Roman" w:hAnsi="Times New Roman"/>
          <w:noProof/>
          <w:sz w:val="24"/>
          <w:szCs w:val="24"/>
        </w:rPr>
        <w:footnoteReference w:id="6"/>
      </w:r>
      <w:r>
        <w:rPr>
          <w:rFonts w:ascii="Times New Roman" w:hAnsi="Times New Roman"/>
          <w:noProof/>
          <w:sz w:val="24"/>
          <w:szCs w:val="24"/>
        </w:rPr>
        <w:t>. I negoziati interistituzionali sul primo fascicolo si sono parzialmente conclusi. Il legislatore ha convenuto di allineare 64 degli atti di base in questione</w:t>
      </w:r>
      <w:r>
        <w:rPr>
          <w:rStyle w:val="FootnoteReference"/>
          <w:rFonts w:ascii="Times New Roman" w:hAnsi="Times New Roman"/>
          <w:noProof/>
          <w:sz w:val="24"/>
          <w:szCs w:val="24"/>
        </w:rPr>
        <w:footnoteReference w:id="7"/>
      </w:r>
      <w:r>
        <w:rPr>
          <w:rFonts w:ascii="Times New Roman" w:hAnsi="Times New Roman"/>
          <w:noProof/>
          <w:sz w:val="24"/>
          <w:szCs w:val="24"/>
        </w:rPr>
        <w:t xml:space="preserve">, mentre proseguiranno i negoziati sugli atti rimanenti e sugli atti nel settore della giustizia. Con l'allineamento della procedura di regolamentazione con controllo agli atti delegati, i rispettivi comitati non svolgeranno più alcun ruolo e i rispettivi atti delegati saranno preparati, in futuro, con l'assistenza di gruppi di esperti. </w:t>
      </w:r>
    </w:p>
    <w:p>
      <w:pPr>
        <w:spacing w:line="240" w:lineRule="auto"/>
        <w:jc w:val="both"/>
        <w:rPr>
          <w:rFonts w:ascii="Times New Roman" w:hAnsi="Times New Roman"/>
          <w:noProof/>
          <w:sz w:val="24"/>
          <w:szCs w:val="24"/>
        </w:rPr>
      </w:pPr>
      <w:r>
        <w:rPr>
          <w:rFonts w:ascii="Times New Roman" w:hAnsi="Times New Roman"/>
          <w:noProof/>
          <w:sz w:val="24"/>
          <w:szCs w:val="24"/>
        </w:rPr>
        <w:t>Il 26 febbraio 2016 la Commissione ha adottato una relazione sull'attuazione del regolamento (UE) n. 182/2011</w:t>
      </w:r>
      <w:r>
        <w:rPr>
          <w:rStyle w:val="FootnoteReference"/>
          <w:rFonts w:ascii="Times New Roman" w:hAnsi="Times New Roman"/>
          <w:noProof/>
          <w:sz w:val="24"/>
          <w:szCs w:val="24"/>
        </w:rPr>
        <w:footnoteReference w:id="8"/>
      </w:r>
      <w:r>
        <w:rPr>
          <w:rFonts w:ascii="Times New Roman" w:hAnsi="Times New Roman"/>
          <w:noProof/>
          <w:sz w:val="24"/>
          <w:szCs w:val="24"/>
        </w:rPr>
        <w:t>. In tale relazione la Commissione ha concluso che il quadro giuridico generale per la comitatologia funziona bene ma ha anche indicato, all'epoca, il problema politico degli esiti "senza parere", soprattutto in alcuni settori molto sensibili quali l'autorizzazione di organismi geneticamente modificati. Pertanto il 14 febbraio 2017 la Commissione ha adottato una proposta di regolamento del Parlamento europeo e del Consiglio recante modifica del regolamento (UE) n. 182/2011</w:t>
      </w:r>
      <w:r>
        <w:rPr>
          <w:rStyle w:val="FootnoteReference"/>
          <w:rFonts w:ascii="Times New Roman" w:hAnsi="Times New Roman"/>
          <w:noProof/>
          <w:sz w:val="24"/>
          <w:szCs w:val="24"/>
        </w:rPr>
        <w:footnoteReference w:id="9"/>
      </w:r>
      <w:r>
        <w:rPr>
          <w:rFonts w:ascii="Times New Roman" w:hAnsi="Times New Roman"/>
          <w:noProof/>
          <w:sz w:val="24"/>
          <w:szCs w:val="24"/>
        </w:rPr>
        <w:t>. Tale proposta prevede una serie di modifiche mirate per il funzionamento del comitato di appello allo scopo di affrontare le situazioni di mancanza di parere nei settori sensibili. Questo fascicolo, tuttavia, è attualmente bloccato nei negoziati interistituzionali.</w:t>
      </w:r>
    </w:p>
    <w:p>
      <w:pPr>
        <w:spacing w:line="240" w:lineRule="auto"/>
        <w:jc w:val="both"/>
        <w:rPr>
          <w:rFonts w:ascii="Times New Roman" w:hAnsi="Times New Roman"/>
          <w:noProof/>
          <w:sz w:val="24"/>
          <w:szCs w:val="24"/>
        </w:rPr>
      </w:pPr>
      <w:r>
        <w:rPr>
          <w:rFonts w:ascii="Times New Roman" w:hAnsi="Times New Roman"/>
          <w:noProof/>
          <w:sz w:val="24"/>
          <w:szCs w:val="24"/>
        </w:rPr>
        <w:t>Si sono conclusi i negoziati fra le tre istituzioni riguardo a criteri non vincolanti per l'applicazione degli articoli 290 e 291 del trattato sul funzionamento dell'Unione europea, ossia la linea di demarcazione tra atti delegati e atti di esecuzione. Il testo finale dei criteri di demarcazione è stato pubblicato nella Gazzetta ufficiale il 3 luglio 2019</w:t>
      </w:r>
      <w:r>
        <w:rPr>
          <w:rStyle w:val="FootnoteReference"/>
          <w:rFonts w:ascii="Times New Roman" w:hAnsi="Times New Roman"/>
          <w:noProof/>
          <w:sz w:val="24"/>
          <w:szCs w:val="24"/>
        </w:rPr>
        <w:footnoteReference w:id="10"/>
      </w:r>
      <w:r>
        <w:rPr>
          <w:rFonts w:ascii="Times New Roman" w:hAnsi="Times New Roman"/>
          <w:noProof/>
          <w:sz w:val="24"/>
          <w:szCs w:val="24"/>
        </w:rPr>
        <w:t xml:space="preserve">. </w:t>
      </w:r>
    </w:p>
    <w:p>
      <w:pPr>
        <w:spacing w:line="240" w:lineRule="auto"/>
        <w:jc w:val="both"/>
        <w:rPr>
          <w:rFonts w:ascii="Times New Roman" w:hAnsi="Times New Roman"/>
          <w:noProof/>
          <w:sz w:val="24"/>
          <w:szCs w:val="24"/>
        </w:rPr>
      </w:pPr>
      <w:r>
        <w:rPr>
          <w:rFonts w:ascii="Times New Roman" w:hAnsi="Times New Roman"/>
          <w:noProof/>
          <w:sz w:val="24"/>
          <w:szCs w:val="24"/>
        </w:rPr>
        <w:t>Nella sua comunicazione "Legiferare meglio per ottenere risultati migliori", del maggio 2015, la Commissione si è impegnata a far sì che i progetti di atti delegati e i progetti di atti di esecuzione importanti siano accessibili al pubblico per un periodo di feedback di quattro settimane, consentendo alle parti interessate di presentare osservazioni. Nel 2018 165 progetti di atti sono stati pubblicati per un riscontro pubblico sul sito web della Commissione "Dì la tua"</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w:t>
      </w:r>
    </w:p>
    <w:p>
      <w:pPr>
        <w:pStyle w:val="ManualHeading2"/>
        <w:rPr>
          <w:noProof/>
        </w:rPr>
      </w:pPr>
      <w:r>
        <w:t>1.2.</w:t>
      </w:r>
      <w:r>
        <w:tab/>
      </w:r>
      <w:r>
        <w:rPr>
          <w:noProof/>
        </w:rPr>
        <w:t>Evoluzione della giurisprudenza</w:t>
      </w:r>
    </w:p>
    <w:p>
      <w:pPr>
        <w:keepLines/>
        <w:spacing w:line="240" w:lineRule="auto"/>
        <w:jc w:val="both"/>
        <w:rPr>
          <w:rFonts w:ascii="Times New Roman" w:hAnsi="Times New Roman"/>
          <w:noProof/>
          <w:sz w:val="24"/>
          <w:szCs w:val="24"/>
        </w:rPr>
      </w:pPr>
      <w:r>
        <w:rPr>
          <w:rFonts w:ascii="Times New Roman" w:hAnsi="Times New Roman"/>
          <w:noProof/>
          <w:sz w:val="24"/>
          <w:szCs w:val="24"/>
        </w:rPr>
        <w:t>Nella sentenza del 13 dicembre 2018 nelle cause riunite T‑339/16, T‑352/16 e T‑391/16 il Tribunale si è pronunciato sulla questione degli elementi essenziali dell'atto di base. Il Tribunale ha esaminato se i valori limite delle emissioni di veicoli fossero considerati un elemento essenziale dell'atto di base che la Commissione non era competente a modificare, sebbene detti limiti fossero fissati in un allegato dell'atto di base. Nel caso specifico il Tribunale ha esaminato i considerando e l'articolato dell'atto di base e ha concluso che i limiti di emissione fissati in un allegato dell'atto di base costituivano un elemento essenziale "se non addirittura l'elemento centrale" dell'atto, in quanto tutte le altre disposizioni di tale atto erano finalizzate a far rispettare tali limiti e nessuna disposizione autorizzava espressamente la Commissione a modificarli.</w:t>
      </w:r>
    </w:p>
    <w:p>
      <w:pPr>
        <w:pStyle w:val="ManualHeading1"/>
        <w:rPr>
          <w:noProof/>
        </w:rPr>
      </w:pPr>
      <w:r>
        <w:rPr>
          <w:noProof/>
        </w:rPr>
        <w:br w:type="page"/>
      </w:r>
      <w:r>
        <w:t>2.</w:t>
      </w:r>
      <w:r>
        <w:tab/>
      </w:r>
      <w:r>
        <w:rPr>
          <w:noProof/>
        </w:rPr>
        <w:t>Quadro generale delle attività</w:t>
      </w:r>
    </w:p>
    <w:p>
      <w:pPr>
        <w:pStyle w:val="ManualHeading2"/>
        <w:rPr>
          <w:noProof/>
        </w:rPr>
      </w:pPr>
      <w:r>
        <w:t>2.1.</w:t>
      </w:r>
      <w:r>
        <w:tab/>
      </w:r>
      <w:r>
        <w:rPr>
          <w:noProof/>
        </w:rPr>
        <w:t>Numero di comitati e riunioni</w:t>
      </w:r>
    </w:p>
    <w:p>
      <w:pPr>
        <w:spacing w:line="240" w:lineRule="auto"/>
        <w:jc w:val="both"/>
        <w:rPr>
          <w:rFonts w:ascii="Times New Roman" w:hAnsi="Times New Roman"/>
          <w:noProof/>
          <w:sz w:val="24"/>
          <w:szCs w:val="24"/>
        </w:rPr>
      </w:pPr>
      <w:r>
        <w:rPr>
          <w:rFonts w:ascii="Times New Roman" w:hAnsi="Times New Roman"/>
          <w:noProof/>
          <w:sz w:val="24"/>
          <w:szCs w:val="24"/>
        </w:rPr>
        <w:t>È importante operare una distinzione tra i comitati "comitatologia" e gli altri organi, in particolare i "gruppi di esperti" creati dalla Commissione stessa. La Commissione si avvale delle competenze di questi ultimi</w:t>
      </w:r>
      <w:r>
        <w:rPr>
          <w:rFonts w:ascii="Times New Roman" w:hAnsi="Times New Roman"/>
          <w:noProof/>
          <w:sz w:val="24"/>
          <w:szCs w:val="24"/>
          <w:vertAlign w:val="superscript"/>
        </w:rPr>
        <w:footnoteReference w:id="12"/>
      </w:r>
      <w:r>
        <w:rPr>
          <w:rFonts w:ascii="Times New Roman" w:hAnsi="Times New Roman"/>
          <w:noProof/>
          <w:sz w:val="24"/>
          <w:szCs w:val="24"/>
        </w:rPr>
        <w:t xml:space="preserve"> per l'elaborazione e l'esecuzione delle politiche, nonché degli atti delegati, mentre è assistita dai comitati "comitatologia" nell'esercizio delle competenze di esecuzione che le sono attribuite dagli atti normativi di base. La presente relazione si occupa esclusivamente dei comitati "comitatologia". Il numero dei comitati "comitatologia" attivi nel periodo compreso tra il 1° gennaio e il 31 dicembre 2018 è stato calcolato per settore d'attività (cfr. tabella I). Sono altresì indicate, a titolo comparativo, le cifre relative all'anno precedente (al 31 dicembre 2017). Le sezioni e le altre strutture non sono conteggiate a parte in quanto appartengono a un comitato principale.</w:t>
      </w:r>
    </w:p>
    <w:p>
      <w:pPr>
        <w:keepNext/>
        <w:spacing w:line="240" w:lineRule="auto"/>
        <w:rPr>
          <w:rFonts w:ascii="Times New Roman" w:hAnsi="Times New Roman"/>
          <w:b/>
          <w:noProof/>
          <w:sz w:val="24"/>
          <w:szCs w:val="24"/>
          <w:u w:val="single"/>
        </w:rPr>
      </w:pPr>
      <w:r>
        <w:rPr>
          <w:rFonts w:ascii="Times New Roman" w:hAnsi="Times New Roman"/>
          <w:b/>
          <w:noProof/>
          <w:sz w:val="24"/>
          <w:szCs w:val="24"/>
          <w:u w:val="single"/>
        </w:rPr>
        <w:t>TABELLA I — Numero totale dei comitati</w:t>
      </w:r>
    </w:p>
    <w:tbl>
      <w:tblPr>
        <w:tblW w:w="5000" w:type="pct"/>
        <w:tblLook w:val="0000" w:firstRow="0" w:lastRow="0" w:firstColumn="0" w:lastColumn="0" w:noHBand="0" w:noVBand="0"/>
      </w:tblPr>
      <w:tblGrid>
        <w:gridCol w:w="6491"/>
        <w:gridCol w:w="1393"/>
        <w:gridCol w:w="1402"/>
      </w:tblGrid>
      <w:tr>
        <w:trPr>
          <w:trHeight w:val="510"/>
        </w:trPr>
        <w:tc>
          <w:tcPr>
            <w:tcW w:w="3280" w:type="pct"/>
            <w:tcBorders>
              <w:top w:val="single" w:sz="4" w:space="0" w:color="auto"/>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Settore di attività</w:t>
            </w:r>
          </w:p>
        </w:tc>
        <w:tc>
          <w:tcPr>
            <w:tcW w:w="85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62" w:type="pct"/>
            <w:tcBorders>
              <w:top w:val="single" w:sz="4" w:space="0" w:color="auto"/>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   (Agricoltura e sviluppo rurale)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   (Bilancio)</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   (Azione per il clima)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   (Reti di comunicazione, contenuti e tecnologie)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   (Cooperazione internazionale e sviluppo)</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   (Informatica)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   (Istruzione e cultura)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   (Affari economici e finanziari)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   (Aiuto umanitario e protezione civile)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   (Occupazione, affari sociali e inclusione)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   (Energia)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   (Ambiente)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   (Eurostat)</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   (Stabilità finanziaria, servizi finanziari e Unione dei mercati dei capitali)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   (Servizio degli strumenti di politica estera)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   (Mercato interno, industria, imprenditoria e PMI)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   (Migrazione e affari interni)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   (Giustizia e consumatori)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MARE   (Affari marittimi e pesca)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   (Mobilità e trasporti)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   (Politica di vicinato e negoziati di allargamento)</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   (Ufficio europeo per la lotta antifrode)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   (Politica regionale e urbana)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   (Ricerca e innovazione)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   (Salute e sicurezza alimentare)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   (Segretariato generale)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   (Fiscalità e unione doganale)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   (Commercio)</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TOTALE: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267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275</w:t>
            </w:r>
          </w:p>
        </w:tc>
      </w:tr>
    </w:tbl>
    <w:p>
      <w:pPr>
        <w:spacing w:line="240" w:lineRule="auto"/>
        <w:jc w:val="both"/>
        <w:rPr>
          <w:rFonts w:ascii="Times New Roman" w:hAnsi="Times New Roman"/>
          <w:i/>
          <w:noProof/>
          <w:sz w:val="18"/>
          <w:szCs w:val="18"/>
        </w:rPr>
      </w:pPr>
      <w:r>
        <w:rPr>
          <w:rFonts w:ascii="Times New Roman" w:hAnsi="Times New Roman"/>
          <w:noProof/>
          <w:sz w:val="18"/>
          <w:szCs w:val="18"/>
        </w:rPr>
        <w:t xml:space="preserve">* </w:t>
      </w:r>
      <w:r>
        <w:rPr>
          <w:rFonts w:ascii="Times New Roman" w:hAnsi="Times New Roman"/>
          <w:i/>
          <w:iCs/>
          <w:noProof/>
          <w:sz w:val="18"/>
          <w:szCs w:val="18"/>
        </w:rPr>
        <w:t>Compreso il comitato di appello (per le esigenze del registro dei documenti dei comitati, il comitato di appello è registrato quale comitato sotto la responsabilità dell'SG; in pratica, è gestito da tutti i servizi interessati).</w:t>
      </w:r>
    </w:p>
    <w:p>
      <w:pPr>
        <w:spacing w:line="240" w:lineRule="auto"/>
        <w:jc w:val="both"/>
        <w:rPr>
          <w:rFonts w:ascii="Times New Roman" w:hAnsi="Times New Roman"/>
          <w:noProof/>
          <w:sz w:val="24"/>
          <w:szCs w:val="24"/>
        </w:rPr>
      </w:pPr>
      <w:r>
        <w:rPr>
          <w:rFonts w:ascii="Times New Roman" w:hAnsi="Times New Roman"/>
          <w:noProof/>
          <w:sz w:val="24"/>
          <w:szCs w:val="24"/>
        </w:rPr>
        <w:t>Nel 2018 i comitati "comitatologia" potevano essere classificati, in generale, secondo il tipo di procedura nell'ambito della quale operavano (procedura consultiva, procedura d'esame, procedura di regolamentazione con controllo — cfr. tabella II). Alcuni comitati che operavano nell'ambito di procedure multiple sono stati separati da quelli operanti nell'ambito di un'unica procedura.</w:t>
      </w:r>
    </w:p>
    <w:p>
      <w:pPr>
        <w:keepNext/>
        <w:spacing w:line="240" w:lineRule="auto"/>
        <w:rPr>
          <w:rFonts w:ascii="Times New Roman" w:hAnsi="Times New Roman"/>
          <w:b/>
          <w:smallCaps/>
          <w:noProof/>
          <w:sz w:val="24"/>
          <w:szCs w:val="24"/>
          <w:u w:val="single"/>
        </w:rPr>
      </w:pPr>
      <w:r>
        <w:rPr>
          <w:rFonts w:ascii="Times New Roman" w:hAnsi="Times New Roman"/>
          <w:b/>
          <w:noProof/>
          <w:sz w:val="24"/>
          <w:szCs w:val="24"/>
          <w:u w:val="single"/>
        </w:rPr>
        <w:t xml:space="preserve">TABELLA II — </w:t>
      </w:r>
      <w:r>
        <w:rPr>
          <w:rFonts w:ascii="Times New Roman" w:hAnsi="Times New Roman"/>
          <w:b/>
          <w:smallCaps/>
          <w:noProof/>
          <w:sz w:val="24"/>
          <w:szCs w:val="24"/>
          <w:u w:val="single"/>
        </w:rPr>
        <w:t>Numero di comitati suddivisi per procedura</w:t>
      </w:r>
    </w:p>
    <w:tbl>
      <w:tblPr>
        <w:tblW w:w="5171" w:type="pct"/>
        <w:tblInd w:w="-318" w:type="dxa"/>
        <w:tblLook w:val="0000" w:firstRow="0" w:lastRow="0" w:firstColumn="0" w:lastColumn="0" w:noHBand="0" w:noVBand="0"/>
      </w:tblPr>
      <w:tblGrid>
        <w:gridCol w:w="1418"/>
        <w:gridCol w:w="1635"/>
        <w:gridCol w:w="1637"/>
        <w:gridCol w:w="1637"/>
        <w:gridCol w:w="1642"/>
        <w:gridCol w:w="1635"/>
      </w:tblGrid>
      <w:tr>
        <w:trPr>
          <w:trHeight w:val="510"/>
        </w:trPr>
        <w:tc>
          <w:tcPr>
            <w:tcW w:w="739" w:type="pct"/>
            <w:vMerge w:val="restart"/>
            <w:tcBorders>
              <w:top w:val="single" w:sz="4" w:space="0" w:color="auto"/>
              <w:left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3409" w:type="pct"/>
            <w:gridSpan w:val="4"/>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Tipo di procedura</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r>
      <w:tr>
        <w:trPr>
          <w:trHeight w:val="510"/>
        </w:trPr>
        <w:tc>
          <w:tcPr>
            <w:tcW w:w="739" w:type="pct"/>
            <w:vMerge/>
            <w:tcBorders>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p>
        </w:tc>
        <w:tc>
          <w:tcPr>
            <w:tcW w:w="851"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Procedura consultiva</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Procedura d'esame</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Procedura di regolamentazione con controllo</w:t>
            </w:r>
          </w:p>
        </w:tc>
        <w:tc>
          <w:tcPr>
            <w:tcW w:w="855"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Comitati che applicano più procedure</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TOTALE:</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9</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30</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8</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MOVE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8</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14</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TOTALE: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100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21</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130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274</w:t>
            </w:r>
          </w:p>
        </w:tc>
      </w:tr>
    </w:tbl>
    <w:p>
      <w:pPr>
        <w:spacing w:line="240" w:lineRule="auto"/>
        <w:jc w:val="both"/>
        <w:rPr>
          <w:rFonts w:ascii="Times New Roman" w:hAnsi="Times New Roman"/>
          <w:noProof/>
          <w:sz w:val="18"/>
          <w:szCs w:val="18"/>
        </w:rPr>
      </w:pPr>
      <w:r>
        <w:rPr>
          <w:rFonts w:ascii="Times New Roman" w:hAnsi="Times New Roman"/>
          <w:noProof/>
          <w:sz w:val="18"/>
          <w:szCs w:val="18"/>
        </w:rPr>
        <w:t xml:space="preserve">* </w:t>
      </w:r>
      <w:r>
        <w:rPr>
          <w:rFonts w:ascii="Times New Roman" w:hAnsi="Times New Roman"/>
          <w:i/>
          <w:iCs/>
          <w:noProof/>
          <w:sz w:val="18"/>
          <w:szCs w:val="18"/>
        </w:rPr>
        <w:t>Compreso il comitato di appello.</w:t>
      </w:r>
    </w:p>
    <w:p>
      <w:pPr>
        <w:spacing w:line="240" w:lineRule="auto"/>
        <w:jc w:val="both"/>
        <w:rPr>
          <w:rFonts w:ascii="Times New Roman" w:hAnsi="Times New Roman"/>
          <w:noProof/>
          <w:sz w:val="24"/>
          <w:szCs w:val="24"/>
        </w:rPr>
      </w:pPr>
      <w:r>
        <w:rPr>
          <w:rFonts w:ascii="Times New Roman" w:hAnsi="Times New Roman"/>
          <w:noProof/>
          <w:sz w:val="24"/>
          <w:szCs w:val="24"/>
        </w:rPr>
        <w:t xml:space="preserve">Il numero di comitati non è l'unico indicatore dell'attività a livello di comitatologia. Anche il </w:t>
      </w:r>
      <w:r>
        <w:rPr>
          <w:rFonts w:ascii="Times New Roman" w:hAnsi="Times New Roman"/>
          <w:i/>
          <w:noProof/>
          <w:sz w:val="24"/>
          <w:szCs w:val="24"/>
        </w:rPr>
        <w:t>numero delle riunioni</w:t>
      </w:r>
      <w:r>
        <w:rPr>
          <w:rFonts w:ascii="Times New Roman" w:hAnsi="Times New Roman"/>
          <w:noProof/>
          <w:sz w:val="24"/>
          <w:szCs w:val="24"/>
        </w:rPr>
        <w:t xml:space="preserve"> tenutesi nel 2018 e il </w:t>
      </w:r>
      <w:r>
        <w:rPr>
          <w:rFonts w:ascii="Times New Roman" w:hAnsi="Times New Roman"/>
          <w:i/>
          <w:noProof/>
          <w:sz w:val="24"/>
          <w:szCs w:val="24"/>
        </w:rPr>
        <w:t>numero delle procedure scritte</w:t>
      </w:r>
      <w:r>
        <w:rPr>
          <w:rFonts w:ascii="Times New Roman" w:hAnsi="Times New Roman"/>
          <w:i/>
          <w:noProof/>
          <w:sz w:val="24"/>
          <w:szCs w:val="24"/>
          <w:vertAlign w:val="superscript"/>
        </w:rPr>
        <w:footnoteReference w:id="13"/>
      </w:r>
      <w:r>
        <w:rPr>
          <w:rFonts w:ascii="Times New Roman" w:hAnsi="Times New Roman"/>
          <w:noProof/>
          <w:sz w:val="24"/>
          <w:szCs w:val="24"/>
        </w:rPr>
        <w:t xml:space="preserve"> cui si è fatto ricorso lo stesso anno riflettono l'intensità del lavoro in generale, sia a livello settoriale sia nell'ambito dei singoli comitati (tabella III).</w:t>
      </w:r>
    </w:p>
    <w:p>
      <w:pPr>
        <w:keepNext/>
        <w:spacing w:line="240" w:lineRule="auto"/>
        <w:rPr>
          <w:rFonts w:ascii="Times New Roman" w:hAnsi="Times New Roman"/>
          <w:b/>
          <w:noProof/>
          <w:sz w:val="24"/>
          <w:szCs w:val="24"/>
          <w:u w:val="single"/>
        </w:rPr>
      </w:pPr>
      <w:r>
        <w:rPr>
          <w:noProof/>
        </w:rPr>
        <w:br w:type="page"/>
      </w:r>
      <w:r>
        <w:rPr>
          <w:rFonts w:ascii="Times New Roman" w:hAnsi="Times New Roman"/>
          <w:b/>
          <w:noProof/>
          <w:sz w:val="24"/>
          <w:szCs w:val="24"/>
          <w:u w:val="single"/>
        </w:rPr>
        <w:t xml:space="preserve">TABELLA III — </w:t>
      </w:r>
      <w:r>
        <w:rPr>
          <w:rFonts w:ascii="Times New Roman" w:hAnsi="Times New Roman"/>
          <w:b/>
          <w:smallCaps/>
          <w:noProof/>
          <w:sz w:val="24"/>
          <w:szCs w:val="24"/>
          <w:u w:val="single"/>
        </w:rPr>
        <w:t>Numero di riunioni e di procedure scritte</w:t>
      </w:r>
    </w:p>
    <w:tbl>
      <w:tblPr>
        <w:tblW w:w="5000" w:type="pct"/>
        <w:tblLook w:val="0000" w:firstRow="0" w:lastRow="0" w:firstColumn="0" w:lastColumn="0" w:noHBand="0" w:noVBand="0"/>
      </w:tblPr>
      <w:tblGrid>
        <w:gridCol w:w="1596"/>
        <w:gridCol w:w="1536"/>
        <w:gridCol w:w="1538"/>
        <w:gridCol w:w="1540"/>
        <w:gridCol w:w="1538"/>
        <w:gridCol w:w="1538"/>
      </w:tblGrid>
      <w:tr>
        <w:trPr>
          <w:trHeight w:val="510"/>
        </w:trPr>
        <w:tc>
          <w:tcPr>
            <w:tcW w:w="860" w:type="pct"/>
            <w:vMerge w:val="restart"/>
            <w:tcBorders>
              <w:top w:val="single" w:sz="4" w:space="0" w:color="auto"/>
              <w:left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val="restart"/>
            <w:tcBorders>
              <w:top w:val="single" w:sz="4" w:space="0" w:color="auto"/>
              <w:left w:val="nil"/>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Numero di comitati </w:t>
            </w:r>
          </w:p>
        </w:tc>
        <w:tc>
          <w:tcPr>
            <w:tcW w:w="1657"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Riunioni</w:t>
            </w:r>
          </w:p>
        </w:tc>
        <w:tc>
          <w:tcPr>
            <w:tcW w:w="1656"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Procedure scritte</w:t>
            </w:r>
          </w:p>
        </w:tc>
      </w:tr>
      <w:tr>
        <w:trPr>
          <w:trHeight w:val="510"/>
        </w:trPr>
        <w:tc>
          <w:tcPr>
            <w:tcW w:w="860" w:type="pct"/>
            <w:vMerge/>
            <w:tcBorders>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tcBorders>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9"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218</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494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430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TOTALE: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616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620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1 024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880</w:t>
            </w:r>
          </w:p>
        </w:tc>
      </w:tr>
    </w:tbl>
    <w:p>
      <w:pPr>
        <w:spacing w:line="240" w:lineRule="auto"/>
        <w:jc w:val="both"/>
        <w:rPr>
          <w:rFonts w:ascii="Times New Roman" w:hAnsi="Times New Roman"/>
          <w:i/>
          <w:noProof/>
          <w:sz w:val="18"/>
          <w:szCs w:val="18"/>
        </w:rPr>
      </w:pPr>
      <w:r>
        <w:rPr>
          <w:rFonts w:ascii="Times New Roman" w:hAnsi="Times New Roman"/>
          <w:i/>
          <w:noProof/>
          <w:sz w:val="18"/>
          <w:szCs w:val="18"/>
        </w:rPr>
        <w:t>* Riunioni/procedure scritte del comitato di appello</w:t>
      </w:r>
    </w:p>
    <w:p>
      <w:pPr>
        <w:spacing w:line="240" w:lineRule="auto"/>
        <w:jc w:val="both"/>
        <w:rPr>
          <w:rFonts w:ascii="Times New Roman" w:hAnsi="Times New Roman"/>
          <w:b/>
          <w:noProof/>
          <w:sz w:val="24"/>
          <w:szCs w:val="24"/>
        </w:rPr>
      </w:pPr>
    </w:p>
    <w:p>
      <w:pPr>
        <w:pStyle w:val="ManualHeading2"/>
        <w:rPr>
          <w:noProof/>
        </w:rPr>
      </w:pPr>
      <w:r>
        <w:t>2.2.</w:t>
      </w:r>
      <w:r>
        <w:tab/>
      </w:r>
      <w:r>
        <w:rPr>
          <w:noProof/>
        </w:rPr>
        <w:t>Numero di pareri e atti/misure di esecuzione</w:t>
      </w:r>
    </w:p>
    <w:p>
      <w:pPr>
        <w:spacing w:line="240" w:lineRule="auto"/>
        <w:jc w:val="both"/>
        <w:rPr>
          <w:rFonts w:ascii="Times New Roman" w:hAnsi="Times New Roman"/>
          <w:noProof/>
          <w:sz w:val="24"/>
          <w:szCs w:val="24"/>
        </w:rPr>
      </w:pPr>
      <w:r>
        <w:rPr>
          <w:rFonts w:ascii="Times New Roman" w:hAnsi="Times New Roman"/>
          <w:noProof/>
          <w:sz w:val="24"/>
          <w:szCs w:val="24"/>
        </w:rPr>
        <w:t xml:space="preserve">Come nei casi precedenti, la presente relazione fornisce dati generali sui </w:t>
      </w:r>
      <w:r>
        <w:rPr>
          <w:rFonts w:ascii="Times New Roman" w:hAnsi="Times New Roman"/>
          <w:i/>
          <w:noProof/>
          <w:sz w:val="24"/>
          <w:szCs w:val="24"/>
        </w:rPr>
        <w:t>pareri</w:t>
      </w:r>
      <w:r>
        <w:rPr>
          <w:rFonts w:ascii="Times New Roman" w:hAnsi="Times New Roman"/>
          <w:noProof/>
          <w:sz w:val="24"/>
          <w:szCs w:val="24"/>
        </w:rPr>
        <w:t xml:space="preserve"> formali emessi dai comitati e sulle </w:t>
      </w:r>
      <w:r>
        <w:rPr>
          <w:rFonts w:ascii="Times New Roman" w:hAnsi="Times New Roman"/>
          <w:i/>
          <w:noProof/>
          <w:sz w:val="24"/>
          <w:szCs w:val="24"/>
        </w:rPr>
        <w:t>misure/atti di esecuzione</w:t>
      </w:r>
      <w:r>
        <w:rPr>
          <w:rFonts w:ascii="Times New Roman" w:hAnsi="Times New Roman"/>
          <w:noProof/>
          <w:sz w:val="24"/>
          <w:szCs w:val="24"/>
        </w:rPr>
        <w:t xml:space="preserve"> adottati successivamente dalla Commissione</w:t>
      </w:r>
      <w:r>
        <w:rPr>
          <w:rFonts w:ascii="Times New Roman" w:hAnsi="Times New Roman"/>
          <w:noProof/>
          <w:sz w:val="24"/>
          <w:szCs w:val="24"/>
          <w:vertAlign w:val="superscript"/>
        </w:rPr>
        <w:footnoteReference w:id="14"/>
      </w:r>
      <w:r>
        <w:rPr>
          <w:rFonts w:ascii="Times New Roman" w:hAnsi="Times New Roman"/>
          <w:noProof/>
          <w:sz w:val="24"/>
          <w:szCs w:val="24"/>
        </w:rPr>
        <w:t xml:space="preserve">. Tali cifre quantificano la "produzione" tangibile dei comitati (cfr. tabella IV). </w:t>
      </w:r>
    </w:p>
    <w:p>
      <w:pPr>
        <w:spacing w:line="240" w:lineRule="auto"/>
        <w:jc w:val="both"/>
        <w:rPr>
          <w:rFonts w:ascii="Times New Roman" w:hAnsi="Times New Roman"/>
          <w:noProof/>
          <w:sz w:val="24"/>
          <w:szCs w:val="24"/>
        </w:rPr>
      </w:pPr>
      <w:r>
        <w:rPr>
          <w:rFonts w:ascii="Times New Roman" w:hAnsi="Times New Roman"/>
          <w:noProof/>
          <w:sz w:val="24"/>
          <w:szCs w:val="24"/>
        </w:rPr>
        <w:t>A norma dell'articolo 11 del regolamento "comitatologia" il Parlamento europeo e il Consiglio dispongono di un diritto di controllo. Nel 2018 il Parlamento europeo ha adottato nove risoluzioni sulla base dell'articolo 11 del regolamento "comitatologia"; il Consiglio, invece, non ha adottato risoluzioni di questo tipo.</w:t>
      </w:r>
    </w:p>
    <w:p>
      <w:pPr>
        <w:spacing w:line="240" w:lineRule="auto"/>
        <w:jc w:val="both"/>
        <w:rPr>
          <w:rFonts w:ascii="Times New Roman" w:hAnsi="Times New Roman"/>
          <w:noProof/>
          <w:sz w:val="24"/>
          <w:szCs w:val="24"/>
        </w:rPr>
      </w:pPr>
    </w:p>
    <w:p>
      <w:pPr>
        <w:keepNext/>
        <w:spacing w:line="240" w:lineRule="auto"/>
        <w:rPr>
          <w:rFonts w:ascii="Times New Roman" w:hAnsi="Times New Roman"/>
          <w:b/>
          <w:smallCaps/>
          <w:noProof/>
          <w:sz w:val="24"/>
          <w:szCs w:val="24"/>
          <w:u w:val="single"/>
        </w:rPr>
      </w:pPr>
      <w:r>
        <w:rPr>
          <w:rFonts w:ascii="Times New Roman" w:hAnsi="Times New Roman"/>
          <w:b/>
          <w:noProof/>
          <w:sz w:val="24"/>
          <w:szCs w:val="24"/>
          <w:u w:val="single"/>
        </w:rPr>
        <w:t>TABELLA IV — Numero di pareri e atti/misure di esecuzione adottati</w:t>
      </w:r>
    </w:p>
    <w:tbl>
      <w:tblPr>
        <w:tblW w:w="5000" w:type="pct"/>
        <w:tblLook w:val="0000" w:firstRow="0" w:lastRow="0" w:firstColumn="0" w:lastColumn="0" w:noHBand="0" w:noVBand="0"/>
      </w:tblPr>
      <w:tblGrid>
        <w:gridCol w:w="1027"/>
        <w:gridCol w:w="1375"/>
        <w:gridCol w:w="1378"/>
        <w:gridCol w:w="1378"/>
        <w:gridCol w:w="1380"/>
        <w:gridCol w:w="1376"/>
        <w:gridCol w:w="1372"/>
      </w:tblGrid>
      <w:tr>
        <w:trPr>
          <w:trHeight w:val="510"/>
        </w:trPr>
        <w:tc>
          <w:tcPr>
            <w:tcW w:w="510"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1497"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Pareri</w:t>
            </w:r>
            <w:r>
              <w:rPr>
                <w:rStyle w:val="FootnoteReference"/>
                <w:rFonts w:ascii="Times New Roman" w:hAnsi="Times New Roman"/>
                <w:b/>
                <w:noProof/>
                <w:sz w:val="18"/>
                <w:szCs w:val="18"/>
              </w:rPr>
              <w:footnoteReference w:id="15"/>
            </w:r>
          </w:p>
        </w:tc>
        <w:tc>
          <w:tcPr>
            <w:tcW w:w="1499"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Atti di esecuzione</w:t>
            </w:r>
            <w:r>
              <w:rPr>
                <w:rFonts w:ascii="Times New Roman" w:hAnsi="Times New Roman"/>
                <w:b/>
                <w:noProof/>
                <w:sz w:val="18"/>
                <w:szCs w:val="18"/>
              </w:rPr>
              <w:br/>
              <w:t>adottati</w:t>
            </w:r>
          </w:p>
        </w:tc>
        <w:tc>
          <w:tcPr>
            <w:tcW w:w="1494"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 Procedura di regolamentazione con controllo - misure</w:t>
            </w:r>
            <w:r>
              <w:rPr>
                <w:rFonts w:ascii="Times New Roman" w:hAnsi="Times New Roman"/>
                <w:b/>
                <w:noProof/>
                <w:sz w:val="18"/>
                <w:szCs w:val="18"/>
              </w:rPr>
              <w:br/>
              <w:t>adottate</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6"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159</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803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629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753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603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r>
              <w:rPr>
                <w:rFonts w:ascii="Times New Roman" w:hAnsi="Times New Roman"/>
                <w:noProof/>
                <w:sz w:val="18"/>
                <w:szCs w:val="18"/>
              </w:rPr>
              <w: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TOTALE: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1906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1633</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1687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1456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113</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90</w:t>
            </w:r>
          </w:p>
        </w:tc>
      </w:tr>
    </w:tbl>
    <w:p>
      <w:pPr>
        <w:spacing w:line="240" w:lineRule="auto"/>
        <w:ind w:left="240" w:hanging="240"/>
        <w:jc w:val="both"/>
        <w:rPr>
          <w:rFonts w:ascii="Times New Roman" w:hAnsi="Times New Roman"/>
          <w:i/>
          <w:noProof/>
          <w:sz w:val="18"/>
          <w:szCs w:val="18"/>
        </w:rPr>
      </w:pPr>
      <w:r>
        <w:rPr>
          <w:rFonts w:ascii="Times New Roman" w:hAnsi="Times New Roman"/>
          <w:i/>
          <w:noProof/>
          <w:sz w:val="18"/>
          <w:szCs w:val="18"/>
        </w:rPr>
        <w:t>*   Inclusi i pareri formulati dal comitato di appello e gli atti adottati.</w:t>
      </w:r>
      <w:r>
        <w:rPr>
          <w:rFonts w:ascii="Times New Roman" w:hAnsi="Times New Roman"/>
          <w:i/>
          <w:noProof/>
          <w:sz w:val="18"/>
          <w:szCs w:val="18"/>
        </w:rPr>
        <w:tab/>
      </w:r>
      <w:r>
        <w:rPr>
          <w:rFonts w:ascii="Times New Roman" w:hAnsi="Times New Roman"/>
          <w:i/>
          <w:noProof/>
          <w:sz w:val="18"/>
          <w:szCs w:val="18"/>
        </w:rPr>
        <w:br/>
      </w:r>
    </w:p>
    <w:p>
      <w:pPr>
        <w:pStyle w:val="ManualHeading2"/>
        <w:rPr>
          <w:noProof/>
        </w:rPr>
      </w:pPr>
      <w:r>
        <w:t>2.3.</w:t>
      </w:r>
      <w:r>
        <w:tab/>
      </w:r>
      <w:r>
        <w:rPr>
          <w:noProof/>
        </w:rPr>
        <w:t>Riunioni del comitato di appello</w:t>
      </w:r>
    </w:p>
    <w:p>
      <w:pPr>
        <w:spacing w:line="240" w:lineRule="auto"/>
        <w:jc w:val="both"/>
        <w:rPr>
          <w:rFonts w:ascii="Times New Roman" w:hAnsi="Times New Roman"/>
          <w:noProof/>
          <w:sz w:val="24"/>
          <w:szCs w:val="24"/>
        </w:rPr>
      </w:pPr>
      <w:r>
        <w:rPr>
          <w:rFonts w:ascii="Times New Roman" w:hAnsi="Times New Roman"/>
          <w:noProof/>
          <w:sz w:val="24"/>
          <w:szCs w:val="24"/>
        </w:rPr>
        <w:t>Il comitato di appello si è riunito sei volte nel corso del 2018 e ha discusso dodici progetti di atti di esecuzione (nel settore della salute e della tutela dei consumatori) rinviati dalla Commissione. In tutti i dodici casi il comitato di appello non ha emesso alcun parere. In mancanza di pareri nel 2018 la Commissione ha deciso di adottare undici atti di esecuzione.</w:t>
      </w:r>
    </w:p>
    <w:p>
      <w:pPr>
        <w:pStyle w:val="ManualHeading2"/>
        <w:rPr>
          <w:noProof/>
        </w:rPr>
      </w:pPr>
      <w:r>
        <w:t>2.4.</w:t>
      </w:r>
      <w:r>
        <w:tab/>
      </w:r>
      <w:r>
        <w:rPr>
          <w:noProof/>
        </w:rPr>
        <w:t xml:space="preserve">Ricorso alla procedura di regolamentazione con controllo </w:t>
      </w:r>
    </w:p>
    <w:p>
      <w:pPr>
        <w:spacing w:line="240" w:lineRule="auto"/>
        <w:jc w:val="both"/>
        <w:rPr>
          <w:rFonts w:ascii="Times New Roman" w:hAnsi="Times New Roman"/>
          <w:noProof/>
          <w:sz w:val="24"/>
          <w:szCs w:val="24"/>
        </w:rPr>
      </w:pPr>
      <w:r>
        <w:rPr>
          <w:rFonts w:ascii="Times New Roman" w:hAnsi="Times New Roman"/>
          <w:noProof/>
          <w:sz w:val="24"/>
          <w:szCs w:val="24"/>
        </w:rPr>
        <w:t>Come menzionato nella sezione 1, la riforma della comitatologia del 2011 non ha interessato la procedura di regolamentazione con controllo, che non può più essere usata per la nuova legislazione ma è tuttora presente in molti atti di base esistenti e continuerà ad essere applicata finché tali atti non saranno allineati. Nel 2018 il numero di misure adottate secondo tale procedura è stato pari a 90 (cfr. tabella V). Il diritto di veto è stato utilizzato una volta, dal Parlamento europeo. A titolo di raffronto, anche nel 2017 il diritto di veto è stato utilizzato una sola volta.</w:t>
      </w:r>
    </w:p>
    <w:p>
      <w:pPr>
        <w:keepNext/>
        <w:spacing w:line="240" w:lineRule="auto"/>
        <w:rPr>
          <w:rFonts w:ascii="Times New Roman" w:hAnsi="Times New Roman"/>
          <w:b/>
          <w:smallCaps/>
          <w:noProof/>
          <w:sz w:val="24"/>
          <w:szCs w:val="24"/>
          <w:u w:val="single"/>
        </w:rPr>
      </w:pPr>
      <w:r>
        <w:rPr>
          <w:rFonts w:ascii="Times New Roman" w:hAnsi="Times New Roman"/>
          <w:b/>
          <w:noProof/>
          <w:sz w:val="24"/>
          <w:szCs w:val="24"/>
          <w:u w:val="single"/>
        </w:rPr>
        <w:t>TABELLA V — Numero di misure adottate secondo la procedura di regolamentazione con controllo</w:t>
      </w:r>
      <w:r>
        <w:rPr>
          <w:rFonts w:ascii="Times New Roman" w:hAnsi="Times New Roman"/>
          <w:b/>
          <w:smallCaps/>
          <w:noProof/>
          <w:sz w:val="24"/>
          <w:szCs w:val="24"/>
          <w:u w:val="single"/>
        </w:rPr>
        <w:t xml:space="preserve"> </w:t>
      </w:r>
    </w:p>
    <w:tbl>
      <w:tblPr>
        <w:tblW w:w="5000" w:type="pct"/>
        <w:tblLook w:val="0000" w:firstRow="0" w:lastRow="0" w:firstColumn="0" w:lastColumn="0" w:noHBand="0" w:noVBand="0"/>
      </w:tblPr>
      <w:tblGrid>
        <w:gridCol w:w="1747"/>
        <w:gridCol w:w="2513"/>
        <w:gridCol w:w="2515"/>
        <w:gridCol w:w="2511"/>
      </w:tblGrid>
      <w:tr>
        <w:trPr>
          <w:trHeight w:val="597"/>
        </w:trPr>
        <w:tc>
          <w:tcPr>
            <w:tcW w:w="923"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Procedura di regolamentazione con controllo - misure</w:t>
            </w:r>
            <w:r>
              <w:rPr>
                <w:rFonts w:ascii="Times New Roman" w:hAnsi="Times New Roman"/>
                <w:b/>
                <w:noProof/>
                <w:sz w:val="18"/>
                <w:szCs w:val="18"/>
              </w:rPr>
              <w:br/>
              <w:t>adottate</w:t>
            </w:r>
          </w:p>
        </w:tc>
        <w:tc>
          <w:tcPr>
            <w:tcW w:w="1360"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Veto del Parlamento europeo all'adozione di progetti di misure </w:t>
            </w: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Veto del Consiglio all'adozione di progetti di misure </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ind w:left="720"/>
              <w:rPr>
                <w:rFonts w:ascii="Times New Roman" w:hAnsi="Times New Roman"/>
                <w:b/>
                <w:bCs/>
                <w:noProof/>
                <w:color w:val="000000"/>
                <w:sz w:val="18"/>
                <w:szCs w:val="18"/>
              </w:rPr>
            </w:pPr>
            <w:r>
              <w:rPr>
                <w:rFonts w:ascii="Times New Roman" w:hAnsi="Times New Roman"/>
                <w:b/>
                <w:noProof/>
                <w:sz w:val="18"/>
                <w:szCs w:val="18"/>
              </w:rPr>
              <w:t>TOTALE: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90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0</w:t>
            </w:r>
          </w:p>
        </w:tc>
      </w:tr>
    </w:tbl>
    <w:p>
      <w:pPr>
        <w:spacing w:line="240" w:lineRule="auto"/>
        <w:jc w:val="both"/>
        <w:rPr>
          <w:rFonts w:ascii="Times New Roman" w:hAnsi="Times New Roman"/>
          <w:b/>
          <w:noProof/>
          <w:sz w:val="24"/>
          <w:szCs w:val="24"/>
        </w:rPr>
      </w:pPr>
    </w:p>
    <w:p>
      <w:pPr>
        <w:pStyle w:val="ManualHeading1"/>
        <w:rPr>
          <w:noProof/>
        </w:rPr>
      </w:pPr>
      <w:r>
        <w:t>3.</w:t>
      </w:r>
      <w:r>
        <w:tab/>
      </w:r>
      <w:r>
        <w:rPr>
          <w:noProof/>
        </w:rPr>
        <w:t>Informazioni dettagliate sulle attività dei comitati</w:t>
      </w:r>
    </w:p>
    <w:p>
      <w:pPr>
        <w:spacing w:line="240" w:lineRule="auto"/>
        <w:jc w:val="both"/>
        <w:rPr>
          <w:rFonts w:ascii="Times New Roman" w:hAnsi="Times New Roman"/>
          <w:noProof/>
          <w:sz w:val="24"/>
          <w:szCs w:val="24"/>
        </w:rPr>
      </w:pPr>
      <w:r>
        <w:rPr>
          <w:rFonts w:ascii="Times New Roman" w:hAnsi="Times New Roman"/>
          <w:noProof/>
          <w:sz w:val="24"/>
          <w:szCs w:val="24"/>
        </w:rPr>
        <w:t>Nel documento di lavoro che accompagna la presente relazione figurano dati particolareggiati sui lavori dei singoli comitati nel 2018, ripartiti in funzione dei servizi della Commissione competenti.</w:t>
      </w:r>
    </w:p>
    <w:p>
      <w:pPr>
        <w:pStyle w:val="ManualHeading1"/>
        <w:rPr>
          <w:noProof/>
        </w:rPr>
      </w:pPr>
      <w:r>
        <w:t>4.</w:t>
      </w:r>
      <w:r>
        <w:tab/>
      </w:r>
      <w:r>
        <w:rPr>
          <w:noProof/>
        </w:rPr>
        <w:t>Conclusione</w:t>
      </w:r>
    </w:p>
    <w:p>
      <w:pPr>
        <w:rPr>
          <w:rFonts w:ascii="Times New Roman" w:hAnsi="Times New Roman"/>
          <w:noProof/>
          <w:sz w:val="24"/>
          <w:szCs w:val="24"/>
        </w:rPr>
      </w:pPr>
      <w:r>
        <w:rPr>
          <w:rFonts w:ascii="Times New Roman" w:hAnsi="Times New Roman"/>
          <w:noProof/>
          <w:sz w:val="24"/>
          <w:szCs w:val="24"/>
        </w:rPr>
        <w:t xml:space="preserve">Il Parlamento europeo e il Consiglio sono invitati a prendere atto della presente relazione.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r>
        <w:rPr>
          <w:rStyle w:val="Strong"/>
          <w:b w:val="0"/>
        </w:rPr>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2">
    <w:p>
      <w:pPr>
        <w:pStyle w:val="FootnoteText"/>
      </w:pPr>
      <w:r>
        <w:rPr>
          <w:rStyle w:val="FootnoteReference"/>
        </w:rPr>
        <w:footnoteRef/>
      </w:r>
      <w:r>
        <w:tab/>
        <w:t>Relazione della Commissione sui lavori dei comitati nel 2013 [COM(2014) 572 final].</w:t>
      </w:r>
    </w:p>
  </w:footnote>
  <w:footnote w:id="3">
    <w:p>
      <w:pPr>
        <w:pStyle w:val="FootnoteText"/>
      </w:pPr>
      <w:r>
        <w:rPr>
          <w:rStyle w:val="FootnoteReference"/>
        </w:rPr>
        <w:footnoteRef/>
      </w:r>
      <w:r>
        <w:tab/>
        <w:t>Decisione 1999/468/CE del Consiglio, del 28 giugno 1999, recante modalità per l'esercizio delle competenze di esecuzione conferite alla Commissione (GU L 184 del 17.7.1999, pag. 23), modificata dalla decisione 2006/512/CE (GU L 200 del 22.7.2006, pag. 11) (versione consolidata nella GU C 255 del 21.10.2006, pag. 4).</w:t>
      </w:r>
    </w:p>
  </w:footnote>
  <w:footnote w:id="4">
    <w:p>
      <w:pPr>
        <w:pStyle w:val="FootnoteText"/>
      </w:pPr>
      <w:r>
        <w:rPr>
          <w:rStyle w:val="FootnoteReference"/>
        </w:rPr>
        <w:footnoteRef/>
      </w:r>
      <w:r>
        <w:tab/>
        <w:t xml:space="preserve">Accordo interistituzionale "Legiferare meglio", del 13 aprile 2016, tra il Parlamento europeo, il Consiglio dell'Unione europea e la Commissione europea (GU L 123 del 12.5.2016, pag. 1). </w:t>
      </w:r>
    </w:p>
  </w:footnote>
  <w:footnote w:id="5">
    <w:p>
      <w:pPr>
        <w:pStyle w:val="FootnoteText"/>
        <w:ind w:left="709" w:hanging="709"/>
      </w:pPr>
      <w:r>
        <w:rPr>
          <w:rStyle w:val="FootnoteReference"/>
        </w:rPr>
        <w:footnoteRef/>
      </w:r>
      <w:r>
        <w:tab/>
        <w:t>Proposta di regolamento del Parlamento europeo e del Consiglio che adatta agli articoli 290 e 291 del trattato sul funzionamento dell'Unione europea una serie di atti giuridici che prevedono il ricorso alla procedura di regolamentazione con controllo [COM(2016) 799].</w:t>
      </w:r>
    </w:p>
  </w:footnote>
  <w:footnote w:id="6">
    <w:p>
      <w:pPr>
        <w:pStyle w:val="FootnoteText"/>
      </w:pPr>
      <w:r>
        <w:rPr>
          <w:rStyle w:val="FootnoteReference"/>
        </w:rPr>
        <w:footnoteRef/>
      </w:r>
      <w:r>
        <w:tab/>
        <w:t>Proposta di regolamento del Parlamento europeo e del Consiglio che adatta all'articolo 290 del trattato sul funzionamento dell'Unione europea una serie di atti giuridici nel settore della giustizia che prevedono il ricorso alla procedura di regolamentazione con controllo [COM(2016)798].</w:t>
      </w:r>
    </w:p>
  </w:footnote>
  <w:footnote w:id="7">
    <w:p>
      <w:pPr>
        <w:pStyle w:val="FootnoteText"/>
      </w:pPr>
      <w:r>
        <w:rPr>
          <w:rStyle w:val="FootnoteReference"/>
        </w:rPr>
        <w:footnoteRef/>
      </w:r>
      <w:r>
        <w:tab/>
        <w:t>Regolamento (UE) 2019/1243 del Parlamento europeo e del Consiglio, del 20 giugno 2019, che adatta agli articoli 290 e 291 del trattato sul funzionamento dell'Unione europea una serie di atti giuridici che prevedono il ricorso alla procedura di regolamentazione con controllo (GU L 198 del 25.7.2019, pag. 241).</w:t>
      </w:r>
    </w:p>
  </w:footnote>
  <w:footnote w:id="8">
    <w:p>
      <w:pPr>
        <w:pStyle w:val="FootnoteText"/>
      </w:pPr>
      <w:r>
        <w:rPr>
          <w:rStyle w:val="FootnoteReference"/>
        </w:rPr>
        <w:footnoteRef/>
      </w:r>
      <w:r>
        <w:t xml:space="preserve"> </w:t>
      </w:r>
      <w:r>
        <w:tab/>
        <w:t>Relazione della Commissione al Parlamento europeo e al Consiglio sull'attuazione del regolamento (UE) n. 182/2011 [COM(2016) 92].</w:t>
      </w:r>
    </w:p>
  </w:footnote>
  <w:footnote w:id="9">
    <w:p>
      <w:pPr>
        <w:pStyle w:val="FootnoteText"/>
      </w:pPr>
      <w:r>
        <w:rPr>
          <w:rStyle w:val="FootnoteReference"/>
        </w:rPr>
        <w:footnoteRef/>
      </w:r>
      <w:r>
        <w:t xml:space="preserve"> </w:t>
      </w:r>
      <w:r>
        <w:tab/>
        <w:t>Proposta di regolamento del Parlamento europeo e del Consiglio recante modifica del regolamento (UE) n. 182/2011 che stabilisce le regole e i principi generali relativi alle modalità di controllo da parte degli Stati membri dell'esercizio delle competenze di esecuzione attribuite alla Commissione [COM(2017) 85 final].</w:t>
      </w:r>
    </w:p>
  </w:footnote>
  <w:footnote w:id="10">
    <w:p>
      <w:pPr>
        <w:pStyle w:val="FootnoteText"/>
      </w:pPr>
      <w:r>
        <w:rPr>
          <w:rStyle w:val="FootnoteReference"/>
        </w:rPr>
        <w:footnoteRef/>
      </w:r>
      <w:r>
        <w:t xml:space="preserve"> </w:t>
      </w:r>
      <w:r>
        <w:tab/>
        <w:t>Accordo interistituzionale "Criteri non vincolanti per l'applicazione degli articoli 290 e 291 del trattato sul funzionamento dell'Unione europea" (GU C 223 del 3.7.2019, pag. 1).</w:t>
      </w:r>
    </w:p>
  </w:footnote>
  <w:footnote w:id="11">
    <w:p>
      <w:pPr>
        <w:pStyle w:val="FootnoteText"/>
      </w:pPr>
      <w:r>
        <w:rPr>
          <w:rStyle w:val="FootnoteReference"/>
        </w:rPr>
        <w:footnoteRef/>
      </w:r>
      <w:r>
        <w:t xml:space="preserve"> </w:t>
      </w:r>
      <w:r>
        <w:tab/>
      </w:r>
      <w:hyperlink r:id="rId1" w:history="1">
        <w:r>
          <w:rPr>
            <w:rStyle w:val="Hyperlink"/>
          </w:rPr>
          <w:t>https://ec.europa.eu/info/law/better-regulation/have-your-say_it</w:t>
        </w:r>
      </w:hyperlink>
      <w:r>
        <w:t xml:space="preserve"> </w:t>
      </w:r>
    </w:p>
  </w:footnote>
  <w:footnote w:id="12">
    <w:p>
      <w:pPr>
        <w:pStyle w:val="FootnoteText"/>
      </w:pPr>
      <w:r>
        <w:rPr>
          <w:rStyle w:val="FootnoteReference"/>
        </w:rPr>
        <w:footnoteRef/>
      </w:r>
      <w:r>
        <w:tab/>
        <w:t xml:space="preserve">Per maggiori dettagli, cfr. </w:t>
      </w:r>
      <w:hyperlink r:id="rId2" w:history="1">
        <w:r>
          <w:rPr>
            <w:rStyle w:val="Hyperlink"/>
          </w:rPr>
          <w:t>https://ec.europa.eu/transparency/regexpert/index.cfm?Lang=IT</w:t>
        </w:r>
      </w:hyperlink>
      <w:r>
        <w:t xml:space="preserve">. </w:t>
      </w:r>
    </w:p>
  </w:footnote>
  <w:footnote w:id="13">
    <w:p>
      <w:pPr>
        <w:pStyle w:val="FootnoteText"/>
      </w:pPr>
      <w:r>
        <w:rPr>
          <w:rStyle w:val="FootnoteReference"/>
        </w:rPr>
        <w:footnoteRef/>
      </w:r>
      <w:r>
        <w:tab/>
        <w:t>Il comitato può esprimere il suo voto durante una regolare riunione o, in casi debitamente giustificati, con procedura scritta, conformemente all'articolo 3, paragrafo 5, del regolamento "comitatologia".</w:t>
      </w:r>
    </w:p>
  </w:footnote>
  <w:footnote w:id="14">
    <w:p>
      <w:pPr>
        <w:pStyle w:val="FootnoteText"/>
      </w:pPr>
      <w:r>
        <w:rPr>
          <w:rStyle w:val="FootnoteReference"/>
        </w:rPr>
        <w:footnoteRef/>
      </w:r>
      <w:r>
        <w:tab/>
        <w:t>Si noti che in un determinato anno possono esistere discrepanze tra il numero di pareri e il numero di misure/atti di esecuzione; i motivi sono illustrati nell'introduzione al documento di lavoro dei servizi della Commissione.</w:t>
      </w:r>
    </w:p>
  </w:footnote>
  <w:footnote w:id="15">
    <w:p>
      <w:pPr>
        <w:pStyle w:val="FootnoteText"/>
      </w:pPr>
      <w:r>
        <w:rPr>
          <w:rStyle w:val="FootnoteReference"/>
        </w:rPr>
        <w:footnoteRef/>
      </w:r>
      <w:r>
        <w:t xml:space="preserve"> </w:t>
      </w:r>
      <w:r>
        <w:tab/>
        <w:t>Un voto che determina una situazione di "mancanza di parere" è conteggiato nel numero totale di pareri.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3">
    <w:nsid w:val="24E930D7"/>
    <w:multiLevelType w:val="multilevel"/>
    <w:tmpl w:val="EFD2E05E"/>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5">
    <w:nsid w:val="3A5459E8"/>
    <w:multiLevelType w:val="singleLevel"/>
    <w:tmpl w:val="2188C922"/>
    <w:lvl w:ilvl="0">
      <w:start w:val="1"/>
      <w:numFmt w:val="bullet"/>
      <w:pStyle w:val="Tiret1"/>
      <w:lvlText w:val="–"/>
      <w:lvlJc w:val="left"/>
      <w:pPr>
        <w:tabs>
          <w:tab w:val="num" w:pos="1417"/>
        </w:tabs>
        <w:ind w:left="1417" w:hanging="567"/>
      </w:pPr>
    </w:lvl>
  </w:abstractNum>
  <w:abstractNum w:abstractNumId="6">
    <w:nsid w:val="3BA736C9"/>
    <w:multiLevelType w:val="singleLevel"/>
    <w:tmpl w:val="F00A6C0C"/>
    <w:lvl w:ilvl="0">
      <w:start w:val="1"/>
      <w:numFmt w:val="bullet"/>
      <w:pStyle w:val="Tiret0"/>
      <w:lvlText w:val="–"/>
      <w:lvlJc w:val="left"/>
      <w:pPr>
        <w:tabs>
          <w:tab w:val="num" w:pos="850"/>
        </w:tabs>
        <w:ind w:left="850" w:hanging="850"/>
      </w:pPr>
    </w:lvl>
  </w:abstractNum>
  <w:abstractNum w:abstractNumId="7">
    <w:nsid w:val="3C90278F"/>
    <w:multiLevelType w:val="singleLevel"/>
    <w:tmpl w:val="0FE08974"/>
    <w:name w:val="Tiret 1"/>
    <w:lvl w:ilvl="0">
      <w:start w:val="1"/>
      <w:numFmt w:val="bullet"/>
      <w:pStyle w:val="Tiret3"/>
      <w:lvlText w:val="–"/>
      <w:lvlJc w:val="left"/>
      <w:pPr>
        <w:tabs>
          <w:tab w:val="num" w:pos="2551"/>
        </w:tabs>
        <w:ind w:left="2551" w:hanging="567"/>
      </w:pPr>
    </w:lvl>
  </w:abstractNum>
  <w:abstractNum w:abstractNumId="8">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7,134676E-02"/>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48842C30"/>
    <w:multiLevelType w:val="singleLevel"/>
    <w:tmpl w:val="4FA60B90"/>
    <w:name w:val="List Dash"/>
    <w:lvl w:ilvl="0">
      <w:start w:val="1"/>
      <w:numFmt w:val="bullet"/>
      <w:pStyle w:val="Bullet4"/>
      <w:lvlText w:val=""/>
      <w:lvlJc w:val="left"/>
      <w:pPr>
        <w:tabs>
          <w:tab w:val="num" w:pos="3118"/>
        </w:tabs>
        <w:ind w:left="3118" w:hanging="567"/>
      </w:pPr>
      <w:rPr>
        <w:rFonts w:ascii="Symbol" w:hAnsi="Symbol" w:hint="default"/>
      </w:rPr>
    </w:lvl>
  </w:abstractNum>
  <w:abstractNum w:abstractNumId="11">
    <w:nsid w:val="54593082"/>
    <w:multiLevelType w:val="singleLevel"/>
    <w:tmpl w:val="EDE069AC"/>
    <w:name w:val="Tir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568864DC"/>
    <w:multiLevelType w:val="singleLevel"/>
    <w:tmpl w:val="485EBDAC"/>
    <w:name w:val="Tiret 3"/>
    <w:lvl w:ilvl="0">
      <w:start w:val="1"/>
      <w:numFmt w:val="bullet"/>
      <w:pStyle w:val="Tiret4"/>
      <w:lvlText w:val="–"/>
      <w:lvlJc w:val="left"/>
      <w:pPr>
        <w:tabs>
          <w:tab w:val="num" w:pos="3118"/>
        </w:tabs>
        <w:ind w:left="3118" w:hanging="567"/>
      </w:pPr>
    </w:lvl>
  </w:abstractNum>
  <w:abstractNum w:abstractNumId="13">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4">
    <w:nsid w:val="5F342530"/>
    <w:multiLevelType w:val="singleLevel"/>
    <w:tmpl w:val="D5444702"/>
    <w:name w:val="List Dash 2"/>
    <w:lvl w:ilvl="0">
      <w:start w:val="1"/>
      <w:numFmt w:val="bullet"/>
      <w:pStyle w:val="Bullet3"/>
      <w:lvlText w:val=""/>
      <w:lvlJc w:val="left"/>
      <w:pPr>
        <w:tabs>
          <w:tab w:val="num" w:pos="2551"/>
        </w:tabs>
        <w:ind w:left="2551" w:hanging="567"/>
      </w:pPr>
      <w:rPr>
        <w:rFonts w:ascii="Symbol" w:hAnsi="Symbol" w:hint="default"/>
      </w:rPr>
    </w:lvl>
  </w:abstractNum>
  <w:abstractNum w:abstractNumId="15">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17">
    <w:nsid w:val="62970F71"/>
    <w:multiLevelType w:val="singleLevel"/>
    <w:tmpl w:val="5AFA8C72"/>
    <w:name w:val="Bullet 4"/>
    <w:lvl w:ilvl="0">
      <w:start w:val="1"/>
      <w:numFmt w:val="bullet"/>
      <w:pStyle w:val="Tiret2"/>
      <w:lvlText w:val="–"/>
      <w:lvlJc w:val="left"/>
      <w:pPr>
        <w:tabs>
          <w:tab w:val="num" w:pos="1984"/>
        </w:tabs>
        <w:ind w:left="1984" w:hanging="567"/>
      </w:pPr>
    </w:lvl>
  </w:abstractNum>
  <w:abstractNum w:abstractNumId="18">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9">
    <w:nsid w:val="69995580"/>
    <w:multiLevelType w:val="singleLevel"/>
    <w:tmpl w:val="75CC7CBA"/>
    <w:lvl w:ilvl="0">
      <w:start w:val="1"/>
      <w:numFmt w:val="decimal"/>
      <w:pStyle w:val="Considrant"/>
      <w:lvlText w:val="(%1)"/>
      <w:lvlJc w:val="left"/>
      <w:pPr>
        <w:tabs>
          <w:tab w:val="num" w:pos="709"/>
        </w:tabs>
        <w:ind w:left="709" w:hanging="709"/>
      </w:pPr>
    </w:lvl>
  </w:abstractNum>
  <w:abstractNum w:abstractNumId="2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21">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711167E2"/>
    <w:multiLevelType w:val="multilevel"/>
    <w:tmpl w:val="C3843A7A"/>
    <w:name w:val="List Dash 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26F71"/>
    <w:multiLevelType w:val="multilevel"/>
    <w:tmpl w:val="8320DD02"/>
    <w:name w:val="Bullet 0"/>
    <w:lvl w:ilvl="0">
      <w:start w:val="1"/>
      <w:numFmt w:val="decimal"/>
      <w:pStyle w:val="Heading1"/>
      <w:lvlText w:val="%1."/>
      <w:lvlJc w:val="left"/>
      <w:pPr>
        <w:tabs>
          <w:tab w:val="num" w:pos="850"/>
        </w:tabs>
        <w:ind w:left="850" w:hanging="850"/>
      </w:pPr>
      <w:rPr>
        <w:color w:val="auto"/>
      </w:r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BE95D7F"/>
    <w:multiLevelType w:val="multilevel"/>
    <w:tmpl w:val="F126F780"/>
    <w:name w:val="List Bulle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lvl w:ilvl="0">
      <w:start w:val="1"/>
      <w:numFmt w:val="bullet"/>
      <w:pStyle w:val="ListBullet4"/>
      <w:lvlText w:val=""/>
      <w:lvlJc w:val="left"/>
      <w:pPr>
        <w:tabs>
          <w:tab w:val="num" w:pos="1134"/>
        </w:tabs>
        <w:ind w:left="1134" w:hanging="283"/>
      </w:pPr>
      <w:rPr>
        <w:rFonts w:ascii="Symbol" w:hAnsi="Symbol"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8"/>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7"/>
  </w:num>
  <w:num w:numId="13">
    <w:abstractNumId w:val="7"/>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6"/>
  </w:num>
  <w:num w:numId="20">
    <w:abstractNumId w:val="14"/>
  </w:num>
  <w:num w:numId="21">
    <w:abstractNumId w:val="10"/>
  </w:num>
  <w:num w:numId="22">
    <w:abstractNumId w:val="19"/>
    <w:lvlOverride w:ilvl="0">
      <w:startOverride w:val="1"/>
    </w:lvlOverride>
  </w:num>
  <w:num w:numId="23">
    <w:abstractNumId w:val="20"/>
  </w:num>
  <w:num w:numId="24">
    <w:abstractNumId w:val="9"/>
  </w:num>
  <w:num w:numId="25">
    <w:abstractNumId w:val="18"/>
  </w:num>
  <w:num w:numId="26">
    <w:abstractNumId w:val="13"/>
  </w:num>
  <w:num w:numId="27">
    <w:abstractNumId w:val="24"/>
  </w:num>
  <w:num w:numId="28">
    <w:abstractNumId w:val="27"/>
  </w:num>
  <w:num w:numId="29">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hideSpellingErrors/>
  <w:hideGrammaticalErrors/>
  <w:revisionView w:markup="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47C096C-073A-49B4-865B-013ECD025CA4"/>
    <w:docVar w:name="LW_COVERPAGE_TYPE" w:val="1"/>
    <w:docVar w:name="LW_CROSSREFERENCE" w:val="{SWD(2019) 441 final}"/>
    <w:docVar w:name="LW_DocType" w:val="NORMAL"/>
    <w:docVar w:name="LW_EMISSION" w:val="16.12.2019"/>
    <w:docVar w:name="LW_EMISSION_ISODATE" w:val="2019-12-16"/>
    <w:docVar w:name="LW_EMISSION_LOCATION" w:val="BRX"/>
    <w:docVar w:name="LW_EMISSION_PREFIX" w:val="Bruxelles, "/>
    <w:docVar w:name="LW_EMISSION_SUFFIX" w:val=" "/>
    <w:docVar w:name="LW_ID_DOCTYPE_NONLW" w:val="CP-003"/>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6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UI LAVORI DEI COMITATI NEL 2018"/>
    <w:docVar w:name="LW_TYPE.DOC.CP" w:val="RELAZIONE DELLA COMMISSION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0514">
      <w:bodyDiv w:val="1"/>
      <w:marLeft w:val="0"/>
      <w:marRight w:val="0"/>
      <w:marTop w:val="0"/>
      <w:marBottom w:val="0"/>
      <w:divBdr>
        <w:top w:val="none" w:sz="0" w:space="0" w:color="auto"/>
        <w:left w:val="none" w:sz="0" w:space="0" w:color="auto"/>
        <w:bottom w:val="none" w:sz="0" w:space="0" w:color="auto"/>
        <w:right w:val="none" w:sz="0" w:space="0" w:color="auto"/>
      </w:divBdr>
    </w:div>
    <w:div w:id="906571101">
      <w:bodyDiv w:val="1"/>
      <w:marLeft w:val="0"/>
      <w:marRight w:val="0"/>
      <w:marTop w:val="0"/>
      <w:marBottom w:val="0"/>
      <w:divBdr>
        <w:top w:val="none" w:sz="0" w:space="0" w:color="auto"/>
        <w:left w:val="none" w:sz="0" w:space="0" w:color="auto"/>
        <w:bottom w:val="none" w:sz="0" w:space="0" w:color="auto"/>
        <w:right w:val="none" w:sz="0" w:space="0" w:color="auto"/>
      </w:divBdr>
    </w:div>
    <w:div w:id="1463501970">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20236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expert/index.cfm?Lang=IT" TargetMode="External"/><Relationship Id="rId1" Type="http://schemas.openxmlformats.org/officeDocument/2006/relationships/hyperlink" Target="https://ec.europa.eu/info/law/better-regulation/have-your-say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C880-B6B5-4D90-873F-46390D33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11284</Characters>
  <Application>Microsoft Office Word</Application>
  <DocSecurity>0</DocSecurity>
  <Lines>1025</Lines>
  <Paragraphs>978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12717</CharactersWithSpaces>
  <SharedDoc>false</SharedDoc>
  <HLinks>
    <vt:vector size="6" baseType="variant">
      <vt:variant>
        <vt:i4>6225942</vt:i4>
      </vt:variant>
      <vt:variant>
        <vt:i4>0</vt:i4>
      </vt:variant>
      <vt:variant>
        <vt:i4>0</vt:i4>
      </vt:variant>
      <vt:variant>
        <vt:i4>5</vt:i4>
      </vt:variant>
      <vt:variant>
        <vt:lpwstr>http://ec.europa.eu/transparency/regexpert/index.cfm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2019-11-28T11:04:00Z</dcterms:created>
  <dcterms:modified xsi:type="dcterms:W3CDTF">2019-12-12T10:10:00Z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CP-003</vt:lpwstr>
  </property>
</Properties>
</file>