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215221A-DFC9-4ADE-9AC1-A049980C533F" style="width:450.4pt;height:306.4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VERSLAG VAN DE COMMISSIE</w:t>
      </w:r>
    </w:p>
    <w:p>
      <w:pPr>
        <w:pStyle w:val="Titreobjet"/>
        <w:rPr>
          <w:noProof/>
        </w:rPr>
      </w:pPr>
      <w:r>
        <w:rPr>
          <w:noProof/>
        </w:rPr>
        <w:t>OVER DE WERKING VAN DE COMITÉS IN 2018</w:t>
      </w:r>
    </w:p>
    <w:p>
      <w:pPr>
        <w:spacing w:line="240" w:lineRule="auto"/>
        <w:jc w:val="both"/>
        <w:rPr>
          <w:rFonts w:ascii="Times New Roman" w:hAnsi="Times New Roman"/>
          <w:noProof/>
          <w:sz w:val="24"/>
          <w:szCs w:val="24"/>
        </w:rPr>
      </w:pPr>
      <w:r>
        <w:rPr>
          <w:rFonts w:ascii="Times New Roman" w:hAnsi="Times New Roman"/>
          <w:noProof/>
          <w:sz w:val="24"/>
          <w:szCs w:val="24"/>
        </w:rPr>
        <w:t>Overeenkomstig artikel 10, lid 2, van Verordening (EU) nr. 182/2011 tot vaststelling van de algemene voorschriften en beginselen die van toepassing zijn op de wijze waarop de lidstaten de uitoefening van de uitvoeringsbevoegdheden door de Commissie controleren</w:t>
      </w:r>
      <w:r>
        <w:rPr>
          <w:rFonts w:ascii="Times New Roman" w:hAnsi="Times New Roman"/>
          <w:noProof/>
          <w:sz w:val="24"/>
          <w:szCs w:val="24"/>
          <w:vertAlign w:val="superscript"/>
        </w:rPr>
        <w:footnoteReference w:id="1"/>
      </w:r>
      <w:r>
        <w:rPr>
          <w:rFonts w:ascii="Times New Roman" w:hAnsi="Times New Roman"/>
          <w:noProof/>
          <w:sz w:val="24"/>
          <w:szCs w:val="24"/>
        </w:rPr>
        <w:t xml:space="preserve"> (hierna de “comitéprocedureverordening” genoemd), presenteert de Commissie het jaarverslag over de werking van de comités in 2018.</w:t>
      </w:r>
    </w:p>
    <w:p>
      <w:pPr>
        <w:spacing w:line="240" w:lineRule="auto"/>
        <w:jc w:val="both"/>
        <w:rPr>
          <w:rFonts w:ascii="Times New Roman" w:hAnsi="Times New Roman"/>
          <w:noProof/>
          <w:sz w:val="24"/>
          <w:szCs w:val="24"/>
        </w:rPr>
      </w:pPr>
      <w:r>
        <w:rPr>
          <w:rFonts w:ascii="Times New Roman" w:hAnsi="Times New Roman"/>
          <w:noProof/>
          <w:sz w:val="24"/>
          <w:szCs w:val="24"/>
        </w:rPr>
        <w:t>Dit verslag bevat een overzicht van de ontwikkelingen in het comitéproceduresysteem in 2018 en een samenvatting van de activiteiten van de comités. Het gaat vergezeld van een werkdocument van de diensten van de Commissie met gedetailleerde statistieken over de werkzaamheden van de afzonderlijke comités.</w:t>
      </w:r>
    </w:p>
    <w:p>
      <w:pPr>
        <w:pStyle w:val="ManualHeading1"/>
        <w:rPr>
          <w:noProof/>
        </w:rPr>
      </w:pPr>
      <w:r>
        <w:t>1.</w:t>
      </w:r>
      <w:r>
        <w:tab/>
      </w:r>
      <w:r>
        <w:rPr>
          <w:noProof/>
        </w:rPr>
        <w:t>Overzicht van de ontwikkelingen in het comitéproceduresysteem in 2018</w:t>
      </w:r>
    </w:p>
    <w:p>
      <w:pPr>
        <w:pStyle w:val="ManualHeading2"/>
        <w:rPr>
          <w:noProof/>
        </w:rPr>
      </w:pPr>
      <w:r>
        <w:t>1.1.</w:t>
      </w:r>
      <w:r>
        <w:tab/>
      </w:r>
      <w:r>
        <w:rPr>
          <w:noProof/>
        </w:rPr>
        <w:t>Algemene ontwikkeling</w:t>
      </w:r>
    </w:p>
    <w:p>
      <w:pPr>
        <w:spacing w:line="240" w:lineRule="auto"/>
        <w:jc w:val="both"/>
        <w:rPr>
          <w:rFonts w:ascii="Times New Roman" w:hAnsi="Times New Roman"/>
          <w:b/>
          <w:noProof/>
          <w:sz w:val="24"/>
          <w:szCs w:val="24"/>
        </w:rPr>
      </w:pPr>
      <w:r>
        <w:rPr>
          <w:rFonts w:ascii="Times New Roman" w:hAnsi="Times New Roman"/>
          <w:noProof/>
          <w:sz w:val="24"/>
          <w:szCs w:val="24"/>
        </w:rPr>
        <w:t>Zoals in het jaarverslag over 2013</w:t>
      </w:r>
      <w:r>
        <w:rPr>
          <w:rFonts w:ascii="Times New Roman" w:hAnsi="Times New Roman"/>
          <w:noProof/>
          <w:sz w:val="24"/>
          <w:szCs w:val="24"/>
          <w:vertAlign w:val="superscript"/>
        </w:rPr>
        <w:footnoteReference w:id="2"/>
      </w:r>
      <w:r>
        <w:rPr>
          <w:rFonts w:ascii="Times New Roman" w:hAnsi="Times New Roman"/>
          <w:noProof/>
          <w:sz w:val="24"/>
          <w:szCs w:val="24"/>
        </w:rPr>
        <w:t xml:space="preserve"> wordt beschreven, zijn alle in het “oude” comitéprocedurebesluit</w:t>
      </w:r>
      <w:r>
        <w:rPr>
          <w:rFonts w:ascii="Times New Roman" w:hAnsi="Times New Roman"/>
          <w:noProof/>
          <w:sz w:val="24"/>
          <w:szCs w:val="24"/>
          <w:vertAlign w:val="superscript"/>
        </w:rPr>
        <w:footnoteReference w:id="3"/>
      </w:r>
      <w:r>
        <w:rPr>
          <w:rFonts w:ascii="Times New Roman" w:hAnsi="Times New Roman"/>
          <w:noProof/>
          <w:sz w:val="24"/>
          <w:szCs w:val="24"/>
        </w:rPr>
        <w:t xml:space="preserve"> vastgelegde comitéprocedures, met uitzondering van de regelgevingsprocedure met toetsing (RPT), automatisch aangepast aan de nieuwe comitéprocedures waarin de comitéprocedureverordening voorziet.</w:t>
      </w:r>
    </w:p>
    <w:p>
      <w:pPr>
        <w:spacing w:line="240" w:lineRule="auto"/>
        <w:jc w:val="both"/>
        <w:rPr>
          <w:rFonts w:ascii="Times New Roman" w:hAnsi="Times New Roman"/>
          <w:noProof/>
          <w:sz w:val="24"/>
          <w:szCs w:val="24"/>
        </w:rPr>
      </w:pPr>
      <w:r>
        <w:rPr>
          <w:rFonts w:ascii="Times New Roman" w:hAnsi="Times New Roman"/>
          <w:noProof/>
          <w:sz w:val="24"/>
          <w:szCs w:val="24"/>
        </w:rPr>
        <w:t>In 2018 werkten de zogeheten comitologiecomités bijgevolg volgens de in de comitéprocedureverordening vastgelegde procedures, te weten de raadplegingsprocedure (artikel 4) en de onderzoeksprocedure (artikel 5), naast de in artikel 5 bis van het comitéprocedurebesluit vastgelegde regelgevingsprocedure met toetsing.</w:t>
      </w:r>
    </w:p>
    <w:p>
      <w:pPr>
        <w:spacing w:line="240" w:lineRule="auto"/>
        <w:jc w:val="both"/>
        <w:rPr>
          <w:rFonts w:ascii="Times New Roman" w:hAnsi="Times New Roman"/>
          <w:noProof/>
          <w:sz w:val="24"/>
          <w:szCs w:val="24"/>
        </w:rPr>
      </w:pPr>
      <w:r>
        <w:rPr>
          <w:rFonts w:ascii="Times New Roman" w:hAnsi="Times New Roman"/>
          <w:noProof/>
          <w:sz w:val="24"/>
          <w:szCs w:val="24"/>
        </w:rPr>
        <w:t>In punt 27 van het Interinstitutioneel Akkoord van 13 april 2016 over beter wetgeven</w:t>
      </w:r>
      <w:r>
        <w:rPr>
          <w:rStyle w:val="FootnoteReference"/>
          <w:rFonts w:ascii="Times New Roman" w:hAnsi="Times New Roman"/>
          <w:noProof/>
          <w:sz w:val="24"/>
          <w:szCs w:val="24"/>
        </w:rPr>
        <w:footnoteReference w:id="4"/>
      </w:r>
      <w:r>
        <w:rPr>
          <w:rFonts w:ascii="Times New Roman" w:hAnsi="Times New Roman"/>
          <w:noProof/>
          <w:sz w:val="24"/>
          <w:szCs w:val="24"/>
        </w:rPr>
        <w:t xml:space="preserve"> wordt gewezen op de noodzaak om de regelgevingsprocedure met toetsing aan te passen:</w:t>
      </w:r>
    </w:p>
    <w:p>
      <w:pPr>
        <w:spacing w:line="240" w:lineRule="auto"/>
        <w:jc w:val="both"/>
        <w:rPr>
          <w:rFonts w:ascii="Times New Roman" w:hAnsi="Times New Roman"/>
          <w:noProof/>
          <w:sz w:val="24"/>
          <w:szCs w:val="24"/>
        </w:rPr>
      </w:pPr>
      <w:r>
        <w:rPr>
          <w:rFonts w:ascii="Times New Roman" w:hAnsi="Times New Roman"/>
          <w:noProof/>
          <w:sz w:val="24"/>
          <w:szCs w:val="24"/>
        </w:rPr>
        <w:t>“De drie instellingen erkennen de noodzaak om alle bestaande wetgeving aan te passen aan het bij het Verdrag van Lissabon ingevoerde rechtskader, en met name de noodzaak om hoge prioriteit te verlenen aan de snelle aanpassing van alle basishandelingen die nog verwijzen naar de regelgevingsprocedure met toetsing. De Commissie dient uiterlijk eind 2016 voorstellen in met betrekking tot die laatstgenoemde aanpassing.”</w:t>
      </w:r>
    </w:p>
    <w:p>
      <w:pPr>
        <w:spacing w:line="240" w:lineRule="auto"/>
        <w:jc w:val="both"/>
        <w:rPr>
          <w:rFonts w:ascii="Times New Roman" w:hAnsi="Times New Roman"/>
          <w:noProof/>
          <w:sz w:val="24"/>
          <w:szCs w:val="24"/>
        </w:rPr>
      </w:pPr>
      <w:r>
        <w:rPr>
          <w:rFonts w:ascii="Times New Roman" w:hAnsi="Times New Roman"/>
          <w:noProof/>
          <w:sz w:val="24"/>
          <w:szCs w:val="24"/>
        </w:rPr>
        <w:t xml:space="preserve">Overeenkomstig de verbintenis daartoe heeft de Commissie een voorstel vastgesteld om de basishandelingen die verwijzen naar de regelgevingsprocedure met toetsing, aan te passen aan </w:t>
      </w:r>
      <w:r>
        <w:rPr>
          <w:rFonts w:ascii="Times New Roman" w:hAnsi="Times New Roman"/>
          <w:noProof/>
          <w:sz w:val="24"/>
          <w:szCs w:val="24"/>
        </w:rPr>
        <w:lastRenderedPageBreak/>
        <w:t>de verdragsbepalingen inzake gedelegeerde handelingen en uitvoeringshandelingen</w:t>
      </w:r>
      <w:r>
        <w:rPr>
          <w:rStyle w:val="FootnoteReference"/>
          <w:rFonts w:ascii="Times New Roman" w:hAnsi="Times New Roman"/>
          <w:noProof/>
          <w:sz w:val="24"/>
          <w:szCs w:val="24"/>
        </w:rPr>
        <w:footnoteReference w:id="5"/>
      </w:r>
      <w:r>
        <w:rPr>
          <w:rFonts w:ascii="Times New Roman" w:hAnsi="Times New Roman"/>
          <w:noProof/>
          <w:sz w:val="24"/>
          <w:szCs w:val="24"/>
        </w:rPr>
        <w:t>. Ook heeft zij een tweede voorstel vastgesteld, dat specifiek betrekking heeft op de aanpassing van de basishandelingen op het gebied van justitie</w:t>
      </w:r>
      <w:r>
        <w:rPr>
          <w:rStyle w:val="FootnoteReference"/>
          <w:rFonts w:ascii="Times New Roman" w:hAnsi="Times New Roman"/>
          <w:noProof/>
          <w:sz w:val="24"/>
          <w:szCs w:val="24"/>
        </w:rPr>
        <w:footnoteReference w:id="6"/>
      </w:r>
      <w:r>
        <w:rPr>
          <w:rFonts w:ascii="Times New Roman" w:hAnsi="Times New Roman"/>
          <w:noProof/>
          <w:sz w:val="24"/>
          <w:szCs w:val="24"/>
        </w:rPr>
        <w:t>. De interinstitutionele onderhandelingen over het eerste dossier zijn gedeeltelijk afgerond. De wetgever heeft ingestemd met de aanpassing van 64 van de betrokken basishandelingen</w:t>
      </w:r>
      <w:r>
        <w:rPr>
          <w:rStyle w:val="FootnoteReference"/>
          <w:rFonts w:ascii="Times New Roman" w:hAnsi="Times New Roman"/>
          <w:noProof/>
          <w:sz w:val="24"/>
          <w:szCs w:val="24"/>
        </w:rPr>
        <w:footnoteReference w:id="7"/>
      </w:r>
      <w:r>
        <w:rPr>
          <w:rFonts w:ascii="Times New Roman" w:hAnsi="Times New Roman"/>
          <w:noProof/>
          <w:sz w:val="24"/>
          <w:szCs w:val="24"/>
        </w:rPr>
        <w:t>, terwijl de onderhandelingen over de resterende handelingen en over de handelingen op het gebied van justitie zullen worden voortgezet. Wanneer een handeling waarin naar de regelgevingsprocedure met toetsing wordt verwezen, wordt aangepast aan de bepalingen inzake gedelegeerde handelingen, speelt het desbetreffende comité geen rol meer en worden de betrokken gedelegeerde handelingen vervolgens opgesteld met de hulp van deskundigengroepen.</w:t>
      </w:r>
    </w:p>
    <w:p>
      <w:pPr>
        <w:spacing w:line="240" w:lineRule="auto"/>
        <w:jc w:val="both"/>
        <w:rPr>
          <w:rFonts w:ascii="Times New Roman" w:hAnsi="Times New Roman"/>
          <w:noProof/>
          <w:sz w:val="24"/>
          <w:szCs w:val="24"/>
        </w:rPr>
      </w:pPr>
      <w:r>
        <w:rPr>
          <w:rFonts w:ascii="Times New Roman" w:hAnsi="Times New Roman"/>
          <w:noProof/>
          <w:sz w:val="24"/>
          <w:szCs w:val="24"/>
        </w:rPr>
        <w:t>De Commissie heeft op 26 februari 2016 een verslag over de tenuitvoerlegging van Verordening (EU) nr. 182/2011</w:t>
      </w:r>
      <w:r>
        <w:rPr>
          <w:rStyle w:val="FootnoteReference"/>
          <w:rFonts w:ascii="Times New Roman" w:hAnsi="Times New Roman"/>
          <w:noProof/>
          <w:sz w:val="24"/>
          <w:szCs w:val="24"/>
        </w:rPr>
        <w:footnoteReference w:id="8"/>
      </w:r>
      <w:r>
        <w:rPr>
          <w:rFonts w:ascii="Times New Roman" w:hAnsi="Times New Roman"/>
          <w:noProof/>
          <w:sz w:val="24"/>
          <w:szCs w:val="24"/>
        </w:rPr>
        <w:t xml:space="preserve"> vastgesteld. In dat verslag kwam de Commissie tot de conclusie dat het algemene rechtskader voor de comitéprocedure goed functioneert. Er werd echter ook gewezen op het feit dat de stemmingsuitkomst “geen advies” tot politieke problemen kan leiden, vooral op een aantal zeer gevoelige gebieden zoals de toelating van genetisch gemodificeerde organismen. De Commissie heeft vervolgens op 14 februari 2017 een voorstel voor een verordening van het Europees Parlement en de Raad tot wijziging van Verordening (EU) nr. 182/2011 vastgesteld</w:t>
      </w:r>
      <w:r>
        <w:rPr>
          <w:rStyle w:val="FootnoteReference"/>
          <w:rFonts w:ascii="Times New Roman" w:hAnsi="Times New Roman"/>
          <w:noProof/>
          <w:sz w:val="24"/>
          <w:szCs w:val="24"/>
        </w:rPr>
        <w:footnoteReference w:id="9"/>
      </w:r>
      <w:r>
        <w:rPr>
          <w:rFonts w:ascii="Times New Roman" w:hAnsi="Times New Roman"/>
          <w:noProof/>
          <w:sz w:val="24"/>
          <w:szCs w:val="24"/>
        </w:rPr>
        <w:t>. Dit voorstel bepleit een aantal gerichte wijzigingen van de procedures in het comité van beroep om de “geen advies”-resultaten op gevoelige gebieden aan te pakken. Dit dossier is momenteel echter geblokkeerd in de interinstitutionele onderhandelingen.</w:t>
      </w:r>
    </w:p>
    <w:p>
      <w:pPr>
        <w:spacing w:line="240" w:lineRule="auto"/>
        <w:jc w:val="both"/>
        <w:rPr>
          <w:rFonts w:ascii="Times New Roman" w:hAnsi="Times New Roman"/>
          <w:noProof/>
          <w:sz w:val="24"/>
          <w:szCs w:val="24"/>
        </w:rPr>
      </w:pPr>
      <w:r>
        <w:rPr>
          <w:rFonts w:ascii="Times New Roman" w:hAnsi="Times New Roman"/>
          <w:noProof/>
          <w:sz w:val="24"/>
          <w:szCs w:val="24"/>
        </w:rPr>
        <w:t>De onderhandelingen tussen de drie instellingen zijn afgerond wat betreft niet-bindende criteria voor de toepassing van de artikelen 290 en 291 van het Verdrag betreffende de werking van de Europese Unie, dat wil zeggen de afbakening van gedelegeerde handelingen en uitvoeringshandelingen. De definitieve tekst van de afbakeningscriteria is op 3 juli 2019 in het Publicatieblad bekendgemaakt</w:t>
      </w:r>
      <w:r>
        <w:rPr>
          <w:rStyle w:val="FootnoteReference"/>
          <w:rFonts w:ascii="Times New Roman" w:hAnsi="Times New Roman"/>
          <w:noProof/>
          <w:sz w:val="24"/>
          <w:szCs w:val="24"/>
        </w:rPr>
        <w:footnoteReference w:id="10"/>
      </w:r>
      <w:r>
        <w:rPr>
          <w:rFonts w:ascii="Times New Roman" w:hAnsi="Times New Roman"/>
          <w:noProof/>
          <w:sz w:val="24"/>
          <w:szCs w:val="24"/>
        </w:rPr>
        <w:t>.</w:t>
      </w:r>
    </w:p>
    <w:p>
      <w:pPr>
        <w:spacing w:line="240" w:lineRule="auto"/>
        <w:jc w:val="both"/>
        <w:rPr>
          <w:rFonts w:ascii="Times New Roman" w:hAnsi="Times New Roman"/>
          <w:noProof/>
          <w:sz w:val="24"/>
          <w:szCs w:val="24"/>
        </w:rPr>
      </w:pPr>
      <w:r>
        <w:rPr>
          <w:rFonts w:ascii="Times New Roman" w:hAnsi="Times New Roman"/>
          <w:noProof/>
          <w:sz w:val="24"/>
          <w:szCs w:val="24"/>
        </w:rPr>
        <w:t>In haar mededeling “Betere regelgeving voor betere resultaten – Een EU-agenda” van mei 2015 verbond de Commissie zich ertoe om de ontwerpen van gedelegeerde handelingen en de ontwerpen van belangrijke uitvoeringshandelingen gedurende vier weken voor feedback openbaar te maken, zodat belanghebbenden hun opmerkingen kenbaar kunnen maken. In 2018 werden 165 dergelijke ontwerpen openbaar gemaakt met het oog op feedback van het publiek op de website “Geef uw mening”</w:t>
      </w:r>
      <w:r>
        <w:rPr>
          <w:rStyle w:val="FootnoteReference"/>
          <w:rFonts w:ascii="Times New Roman" w:hAnsi="Times New Roman"/>
          <w:noProof/>
          <w:sz w:val="24"/>
          <w:szCs w:val="24"/>
        </w:rPr>
        <w:footnoteReference w:id="11"/>
      </w:r>
      <w:r>
        <w:rPr>
          <w:rFonts w:ascii="Times New Roman" w:hAnsi="Times New Roman"/>
          <w:noProof/>
          <w:sz w:val="24"/>
          <w:szCs w:val="24"/>
        </w:rPr>
        <w:t xml:space="preserve"> van de Commissie.</w:t>
      </w:r>
    </w:p>
    <w:p>
      <w:pPr>
        <w:pStyle w:val="ManualHeading2"/>
        <w:rPr>
          <w:noProof/>
        </w:rPr>
      </w:pPr>
      <w:r>
        <w:t>1.2.</w:t>
      </w:r>
      <w:r>
        <w:tab/>
      </w:r>
      <w:r>
        <w:rPr>
          <w:noProof/>
        </w:rPr>
        <w:t>Ontwikkeling van de rechtspraak</w:t>
      </w:r>
    </w:p>
    <w:p>
      <w:pPr>
        <w:spacing w:line="240" w:lineRule="auto"/>
        <w:jc w:val="both"/>
        <w:rPr>
          <w:rFonts w:ascii="Times New Roman" w:hAnsi="Times New Roman"/>
          <w:noProof/>
          <w:sz w:val="24"/>
          <w:szCs w:val="24"/>
        </w:rPr>
      </w:pPr>
      <w:r>
        <w:rPr>
          <w:rFonts w:ascii="Times New Roman" w:hAnsi="Times New Roman"/>
          <w:noProof/>
          <w:sz w:val="24"/>
          <w:szCs w:val="24"/>
        </w:rPr>
        <w:t>Het Gerecht heeft in zijn arrest van 13 december 2018 in de gevoegde zaken T-339/16, T-352/16 en T-391/16 de kwestie van de essentiële onderdelen van de basishandeling behandeld. Het Gerecht onderzocht of de emissiegrenswaarden voor auto’s moesten worden beschouwd als een essentieel onderdeel van de basishandeling dat de Commissie niet mocht wijzigen, ook al waren die grenswaarden vastgesteld in een bijlage bij de basishandeling. In de onderhavige zaak beoordeelde het Gerecht de overwegingen en het dispositief van de basishandeling en stelde het vast dat de in de bijlage bij de basishandeling opgenomen emissiegrenswaarden een essentieel onderdeel en “zelfs het centrale onderdeel” van de handeling vormen, aangezien alle andere bepalingen van de handeling alleen bedoeld zijn om ervoor te zorgen dat die grenswaarden worden nageleefd, en geen enkele bepaling de Commissie uitdrukkelijk de bevoegdheid verleent om de grenswaarden te wijzigen.</w:t>
      </w:r>
    </w:p>
    <w:p>
      <w:pPr>
        <w:pStyle w:val="ManualHeading1"/>
        <w:rPr>
          <w:noProof/>
        </w:rPr>
      </w:pPr>
      <w:r>
        <w:t>2.</w:t>
      </w:r>
      <w:r>
        <w:tab/>
      </w:r>
      <w:r>
        <w:rPr>
          <w:noProof/>
        </w:rPr>
        <w:t>Overzicht van de activiteiten</w:t>
      </w:r>
    </w:p>
    <w:p>
      <w:pPr>
        <w:pStyle w:val="ManualHeading2"/>
        <w:rPr>
          <w:noProof/>
        </w:rPr>
      </w:pPr>
      <w:r>
        <w:t>2.1.</w:t>
      </w:r>
      <w:r>
        <w:tab/>
      </w:r>
      <w:r>
        <w:rPr>
          <w:noProof/>
        </w:rPr>
        <w:t>Aantal comités en vergaderingen</w:t>
      </w:r>
    </w:p>
    <w:p>
      <w:pPr>
        <w:spacing w:line="240" w:lineRule="auto"/>
        <w:jc w:val="both"/>
        <w:rPr>
          <w:rFonts w:ascii="Times New Roman" w:hAnsi="Times New Roman"/>
          <w:noProof/>
          <w:sz w:val="24"/>
          <w:szCs w:val="24"/>
        </w:rPr>
      </w:pPr>
      <w:r>
        <w:rPr>
          <w:rFonts w:ascii="Times New Roman" w:hAnsi="Times New Roman"/>
          <w:noProof/>
          <w:sz w:val="24"/>
          <w:szCs w:val="24"/>
        </w:rPr>
        <w:t>Het is belangrijk een onderscheid te maken tussen enerzijds de comitologiecomités en anderzijds andere entiteiten, met name de door de Commissie zelf ingestelde “deskundigengroepen”. De deskundigengroepen bieden de Commissie expertise</w:t>
      </w:r>
      <w:r>
        <w:rPr>
          <w:rFonts w:ascii="Times New Roman" w:hAnsi="Times New Roman"/>
          <w:noProof/>
          <w:sz w:val="24"/>
          <w:szCs w:val="24"/>
          <w:vertAlign w:val="superscript"/>
        </w:rPr>
        <w:footnoteReference w:id="12"/>
      </w:r>
      <w:r>
        <w:rPr>
          <w:rFonts w:ascii="Times New Roman" w:hAnsi="Times New Roman"/>
          <w:noProof/>
          <w:sz w:val="24"/>
          <w:szCs w:val="24"/>
        </w:rPr>
        <w:t xml:space="preserve"> bij het formuleren en uitvoeren van het beleid en het opstellen van gedelegeerde handelingen, terwijl de comitologiecomités de Commissie bijstaan bij de uitoefening van de uitvoeringsbevoegdheden die haar bij wettelijke basisrechtshandelingen zijn toegekend. In dit verslag worden alleen de comitologiecomités behandeld. Het aantal actieve comitologiecomités in de periode van 1 januari tot en met 31 december 2018 is berekend per beleidsterrein (zie tabel I). Ter vergelijking worden ook de gegevens van het vorige jaar (stand van zaken op 31 december 2017) vermeld. Subcomités en verschillende samenstellingen van comités worden niet afzonderlijk geteld, aangezien die onder een bepaald comité vallen.</w:t>
      </w:r>
    </w:p>
    <w:p>
      <w:pPr>
        <w:keepNext/>
        <w:spacing w:line="240" w:lineRule="auto"/>
        <w:rPr>
          <w:rFonts w:ascii="Times New Roman" w:hAnsi="Times New Roman"/>
          <w:b/>
          <w:noProof/>
          <w:sz w:val="28"/>
          <w:szCs w:val="24"/>
          <w:u w:val="single"/>
        </w:rPr>
      </w:pPr>
      <w:r>
        <w:rPr>
          <w:rFonts w:ascii="Times New Roman" w:hAnsi="Times New Roman"/>
          <w:b/>
          <w:noProof/>
          <w:sz w:val="24"/>
          <w:u w:val="single"/>
        </w:rPr>
        <w:t xml:space="preserve">TABEL I – </w:t>
      </w:r>
      <w:r>
        <w:rPr>
          <w:rFonts w:ascii="Times New Roman" w:hAnsi="Times New Roman"/>
          <w:b/>
          <w:smallCaps/>
          <w:noProof/>
          <w:sz w:val="24"/>
          <w:u w:val="single"/>
        </w:rPr>
        <w:t>Totaal aantal comités</w:t>
      </w:r>
    </w:p>
    <w:tbl>
      <w:tblPr>
        <w:tblW w:w="5000" w:type="pct"/>
        <w:tblLook w:val="0000" w:firstRow="0" w:lastRow="0" w:firstColumn="0" w:lastColumn="0" w:noHBand="0" w:noVBand="0"/>
      </w:tblPr>
      <w:tblGrid>
        <w:gridCol w:w="6601"/>
        <w:gridCol w:w="1338"/>
        <w:gridCol w:w="1347"/>
      </w:tblGrid>
      <w:tr>
        <w:trPr>
          <w:trHeight w:val="510"/>
        </w:trPr>
        <w:tc>
          <w:tcPr>
            <w:tcW w:w="3280" w:type="pct"/>
            <w:tcBorders>
              <w:top w:val="single" w:sz="4" w:space="0" w:color="auto"/>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Beleidsterrein</w:t>
            </w:r>
          </w:p>
        </w:tc>
        <w:tc>
          <w:tcPr>
            <w:tcW w:w="858"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2017</w:t>
            </w:r>
          </w:p>
        </w:tc>
        <w:tc>
          <w:tcPr>
            <w:tcW w:w="862" w:type="pct"/>
            <w:tcBorders>
              <w:top w:val="single" w:sz="4" w:space="0" w:color="auto"/>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2018</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AGRI (Landbouw en Plattelandsontwikkeling)</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12</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BUDG (Begroting)</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CLIMA (Klimaatactie)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CNECT (Communicatienetwerken, Inhoud en Technologie)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DEVCO (Internationale Samenwerking en Ontwikkeling)</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DIGIT (Informatica)</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EAC (Onderwijs en Cultuur)</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ECFIN (Economische en Financiële Zaken)</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ECHO (Humanitaire Hulp en Civiele Bescherming)</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EMPL (Werkgelegenheid, Sociale Zaken en Inclusie)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ENER (Energie)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ENV (Milieu)</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30</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30</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ESTAT (Eurostat)</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FISMA (Financiële Stabiliteit, Financiële Diensten en Kapitaalmarktenunie)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FPI (Dienst Instrumenten voor het buitenlands beleid )</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GROW (Interne Markt, Industrie, Ondernemerschap en Midden- en Kleinbedrijf)</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42</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44</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HOME (Migratie en Binnenlandse Zaken)</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JUST (Justitie en Consumentenzaken)</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23</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25</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bCs/>
                <w:noProof/>
                <w:color w:val="000000"/>
                <w:sz w:val="18"/>
                <w:szCs w:val="18"/>
              </w:rPr>
            </w:pPr>
            <w:r>
              <w:rPr>
                <w:rFonts w:ascii="Times New Roman" w:hAnsi="Times New Roman"/>
                <w:b/>
                <w:noProof/>
                <w:sz w:val="18"/>
                <w:szCs w:val="18"/>
              </w:rPr>
              <w:t>MARE (Maritieme Zaken en Visserij)</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3</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3</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MOVE (Mobiliteit en Vervoer)</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31</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31</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NEAR (Nabuurschapsbeleid en Uitbreidingsonderhandelingen)</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OLAF (Europees Bureau voor fraudebestrijding)</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REGIO (Regionaal Beleid en Stadsontwikkeling)</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RTD (Onderzoek en Innovatie)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r>
      <w:tr>
        <w:trPr>
          <w:trHeight w:val="255"/>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SANTE (Gezondheid en Voedselveiligheid)</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r>
      <w:tr>
        <w:trPr>
          <w:trHeight w:val="255"/>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SG (Secretariaat-generaal)</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r>
      <w:tr>
        <w:trPr>
          <w:trHeight w:val="255"/>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TAXUD (Belastingen en Douane-unie)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w:t>
            </w:r>
          </w:p>
        </w:tc>
      </w:tr>
      <w:tr>
        <w:trPr>
          <w:trHeight w:val="255"/>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TRADE (Handel)</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14</w:t>
            </w:r>
          </w:p>
        </w:tc>
      </w:tr>
      <w:tr>
        <w:trPr>
          <w:trHeight w:val="255"/>
        </w:trPr>
        <w:tc>
          <w:tcPr>
            <w:tcW w:w="328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right"/>
              <w:rPr>
                <w:rFonts w:ascii="Times New Roman" w:hAnsi="Times New Roman"/>
                <w:b/>
                <w:bCs/>
                <w:noProof/>
                <w:color w:val="000000"/>
                <w:sz w:val="18"/>
                <w:szCs w:val="18"/>
              </w:rPr>
            </w:pPr>
            <w:r>
              <w:rPr>
                <w:rFonts w:ascii="Times New Roman" w:hAnsi="Times New Roman"/>
                <w:b/>
                <w:bCs/>
                <w:noProof/>
                <w:sz w:val="18"/>
                <w:szCs w:val="18"/>
              </w:rPr>
              <w:t>TOTAAL:</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267</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275</w:t>
            </w:r>
          </w:p>
        </w:tc>
      </w:tr>
    </w:tbl>
    <w:p>
      <w:pPr>
        <w:spacing w:line="240" w:lineRule="auto"/>
        <w:jc w:val="both"/>
        <w:rPr>
          <w:rFonts w:ascii="Times New Roman" w:hAnsi="Times New Roman"/>
          <w:i/>
          <w:noProof/>
          <w:sz w:val="18"/>
          <w:szCs w:val="18"/>
        </w:rPr>
      </w:pPr>
      <w:r>
        <w:rPr>
          <w:rFonts w:ascii="Times New Roman" w:hAnsi="Times New Roman"/>
          <w:i/>
          <w:noProof/>
          <w:sz w:val="18"/>
          <w:szCs w:val="18"/>
        </w:rPr>
        <w:t>* Met inbegrip van het comité van beroep (in het comitologieregister wordt het comité van beroep aangemerkt als comité onder de verantwoordelijkheid van het secretariaat-generaal; in de praktijk wordt het door alle betrokken diensten beheerd).</w:t>
      </w:r>
    </w:p>
    <w:p>
      <w:pPr>
        <w:keepLines/>
        <w:spacing w:line="240" w:lineRule="auto"/>
        <w:jc w:val="both"/>
        <w:rPr>
          <w:rFonts w:ascii="Times New Roman" w:hAnsi="Times New Roman"/>
          <w:noProof/>
          <w:sz w:val="28"/>
          <w:szCs w:val="24"/>
        </w:rPr>
      </w:pPr>
      <w:r>
        <w:rPr>
          <w:rFonts w:ascii="Times New Roman" w:hAnsi="Times New Roman"/>
          <w:noProof/>
          <w:sz w:val="24"/>
        </w:rPr>
        <w:t>In 2018 konden de comitologiecomités in het algemeen worden uitgesplitst volgens het soort procedure dat zij volgden (raadplegingsprocedure, onderzoeksprocedure, regelgevingsprocedure met toetsing — zie tabel II). Een aantal comités heeft meerdere procedures toegepast. Deze comités worden apart vermeld naast de comités die slechts één procedure hebben toegepast.</w:t>
      </w:r>
    </w:p>
    <w:p>
      <w:pPr>
        <w:keepNext/>
        <w:spacing w:line="240" w:lineRule="auto"/>
        <w:rPr>
          <w:rFonts w:ascii="Times New Roman" w:hAnsi="Times New Roman"/>
          <w:b/>
          <w:smallCaps/>
          <w:noProof/>
          <w:sz w:val="28"/>
          <w:szCs w:val="24"/>
          <w:u w:val="single"/>
        </w:rPr>
      </w:pPr>
      <w:r>
        <w:rPr>
          <w:rFonts w:ascii="Times New Roman" w:hAnsi="Times New Roman"/>
          <w:b/>
          <w:noProof/>
          <w:sz w:val="24"/>
          <w:u w:val="single"/>
        </w:rPr>
        <w:t xml:space="preserve">TABEL II - </w:t>
      </w:r>
      <w:r>
        <w:rPr>
          <w:rFonts w:ascii="Times New Roman" w:hAnsi="Times New Roman"/>
          <w:b/>
          <w:smallCaps/>
          <w:noProof/>
          <w:sz w:val="24"/>
          <w:u w:val="single"/>
        </w:rPr>
        <w:t>Aantal comités volgens procedure</w:t>
      </w:r>
    </w:p>
    <w:tbl>
      <w:tblPr>
        <w:tblW w:w="5171" w:type="pct"/>
        <w:tblInd w:w="-318" w:type="dxa"/>
        <w:tblLook w:val="0000" w:firstRow="0" w:lastRow="0" w:firstColumn="0" w:lastColumn="0" w:noHBand="0" w:noVBand="0"/>
      </w:tblPr>
      <w:tblGrid>
        <w:gridCol w:w="1062"/>
        <w:gridCol w:w="2047"/>
        <w:gridCol w:w="1926"/>
        <w:gridCol w:w="2006"/>
        <w:gridCol w:w="1285"/>
        <w:gridCol w:w="1278"/>
      </w:tblGrid>
      <w:tr>
        <w:trPr>
          <w:trHeight w:val="510"/>
        </w:trPr>
        <w:tc>
          <w:tcPr>
            <w:tcW w:w="739" w:type="pct"/>
            <w:vMerge w:val="restart"/>
            <w:tcBorders>
              <w:top w:val="single" w:sz="4" w:space="0" w:color="auto"/>
              <w:left w:val="single" w:sz="4" w:space="0" w:color="auto"/>
              <w:right w:val="single" w:sz="4" w:space="0" w:color="auto"/>
            </w:tcBorders>
            <w:shd w:val="clear" w:color="auto" w:fill="FFFF99"/>
            <w:noWrap/>
            <w:vAlign w:val="bottom"/>
          </w:tcPr>
          <w:p>
            <w:pPr>
              <w:spacing w:after="0" w:line="240" w:lineRule="auto"/>
              <w:rPr>
                <w:rFonts w:ascii="Times New Roman" w:hAnsi="Times New Roman"/>
                <w:noProof/>
                <w:color w:val="000000"/>
                <w:sz w:val="18"/>
                <w:szCs w:val="18"/>
              </w:rPr>
            </w:pPr>
            <w:r>
              <w:rPr>
                <w:rFonts w:ascii="Times New Roman" w:hAnsi="Times New Roman"/>
                <w:noProof/>
                <w:sz w:val="18"/>
                <w:szCs w:val="18"/>
              </w:rPr>
              <w:t> </w:t>
            </w:r>
          </w:p>
        </w:tc>
        <w:tc>
          <w:tcPr>
            <w:tcW w:w="3409" w:type="pct"/>
            <w:gridSpan w:val="4"/>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Soort procedure</w:t>
            </w:r>
          </w:p>
        </w:tc>
        <w:tc>
          <w:tcPr>
            <w:tcW w:w="852"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p>
        </w:tc>
      </w:tr>
      <w:tr>
        <w:trPr>
          <w:trHeight w:val="510"/>
        </w:trPr>
        <w:tc>
          <w:tcPr>
            <w:tcW w:w="739" w:type="pct"/>
            <w:vMerge/>
            <w:tcBorders>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noProof/>
                <w:color w:val="000000"/>
                <w:sz w:val="18"/>
                <w:szCs w:val="18"/>
              </w:rPr>
            </w:pPr>
          </w:p>
        </w:tc>
        <w:tc>
          <w:tcPr>
            <w:tcW w:w="851"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Raadplegingsprocedure</w:t>
            </w:r>
          </w:p>
        </w:tc>
        <w:tc>
          <w:tcPr>
            <w:tcW w:w="852"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Onderzoeksprocedure</w:t>
            </w:r>
          </w:p>
        </w:tc>
        <w:tc>
          <w:tcPr>
            <w:tcW w:w="852"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Regelgevingsprocedure met toetsing</w:t>
            </w:r>
          </w:p>
        </w:tc>
        <w:tc>
          <w:tcPr>
            <w:tcW w:w="855"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Verscheidene procedures</w:t>
            </w:r>
          </w:p>
        </w:tc>
        <w:tc>
          <w:tcPr>
            <w:tcW w:w="852"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TOTAAL:</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AGRI</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6</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11</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BUDG</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CLIMA</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4</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CNECT</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4</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DEVCO</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DIGIT</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EAC</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ECFIN</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ECHO</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EMPL</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ENER</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13</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ENV</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9</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16</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30</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ESTAT</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4</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FISMA</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8</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FPI</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4</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GROW</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4</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26</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44</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HOME</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12</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JUST</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4</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25</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MARE</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bCs/>
                <w:noProof/>
                <w:color w:val="000000"/>
                <w:sz w:val="18"/>
                <w:szCs w:val="18"/>
              </w:rPr>
            </w:pPr>
            <w:r>
              <w:rPr>
                <w:rFonts w:ascii="Times New Roman" w:hAnsi="Times New Roman"/>
                <w:b/>
                <w:noProof/>
                <w:sz w:val="18"/>
                <w:szCs w:val="18"/>
              </w:rPr>
              <w:t>MOVE</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Cs/>
                <w:noProof/>
                <w:sz w:val="18"/>
                <w:szCs w:val="18"/>
              </w:rPr>
            </w:pPr>
            <w:r>
              <w:rPr>
                <w:rFonts w:ascii="Times New Roman" w:hAnsi="Times New Roman"/>
                <w:bCs/>
                <w:noProof/>
                <w:sz w:val="18"/>
                <w:szCs w:val="18"/>
              </w:rPr>
              <w:t>3</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Cs/>
                <w:noProof/>
                <w:sz w:val="18"/>
                <w:szCs w:val="18"/>
              </w:rPr>
            </w:pPr>
            <w:r>
              <w:rPr>
                <w:rFonts w:ascii="Times New Roman" w:hAnsi="Times New Roman"/>
                <w:bCs/>
                <w:noProof/>
                <w:sz w:val="18"/>
                <w:szCs w:val="18"/>
              </w:rPr>
              <w:t>8</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Cs/>
                <w:noProof/>
                <w:sz w:val="18"/>
                <w:szCs w:val="18"/>
              </w:rPr>
            </w:pPr>
            <w:r>
              <w:rPr>
                <w:rFonts w:ascii="Times New Roman" w:hAnsi="Times New Roman"/>
                <w:bCs/>
                <w:noProof/>
                <w:sz w:val="18"/>
                <w:szCs w:val="18"/>
              </w:rPr>
              <w:t>4</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16</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31</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NEAR</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OLAF</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REGIO</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RTD</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6</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SANTE</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10</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17</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SG</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TAXUD</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10</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13</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TRADE</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4</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14</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right"/>
              <w:rPr>
                <w:rFonts w:ascii="Times New Roman" w:hAnsi="Times New Roman"/>
                <w:b/>
                <w:bCs/>
                <w:noProof/>
                <w:color w:val="000000"/>
                <w:sz w:val="18"/>
                <w:szCs w:val="18"/>
              </w:rPr>
            </w:pPr>
            <w:r>
              <w:rPr>
                <w:rFonts w:ascii="Times New Roman" w:hAnsi="Times New Roman"/>
                <w:b/>
                <w:bCs/>
                <w:noProof/>
                <w:sz w:val="18"/>
                <w:szCs w:val="18"/>
              </w:rPr>
              <w:t>TOTAAL:</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23</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100</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21</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130</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274</w:t>
            </w:r>
          </w:p>
        </w:tc>
      </w:tr>
    </w:tbl>
    <w:p>
      <w:pPr>
        <w:spacing w:line="240" w:lineRule="auto"/>
        <w:jc w:val="both"/>
        <w:rPr>
          <w:rFonts w:ascii="Times New Roman" w:hAnsi="Times New Roman"/>
          <w:noProof/>
          <w:sz w:val="18"/>
          <w:szCs w:val="18"/>
        </w:rPr>
      </w:pPr>
      <w:r>
        <w:rPr>
          <w:rFonts w:ascii="Times New Roman" w:hAnsi="Times New Roman"/>
          <w:i/>
          <w:noProof/>
          <w:sz w:val="18"/>
          <w:szCs w:val="18"/>
        </w:rPr>
        <w:t>* Met inbegrip van het comité van beroep.</w:t>
      </w:r>
    </w:p>
    <w:p>
      <w:pPr>
        <w:spacing w:line="240" w:lineRule="auto"/>
        <w:jc w:val="both"/>
        <w:rPr>
          <w:rFonts w:ascii="Times New Roman" w:hAnsi="Times New Roman"/>
          <w:noProof/>
          <w:sz w:val="28"/>
          <w:szCs w:val="24"/>
        </w:rPr>
      </w:pPr>
      <w:r>
        <w:rPr>
          <w:rFonts w:ascii="Times New Roman" w:hAnsi="Times New Roman"/>
          <w:noProof/>
          <w:sz w:val="24"/>
        </w:rPr>
        <w:t xml:space="preserve">Het aantal comités is niet de enige indicator voor het beoordelen van de activiteit in het kader van de comitéprocedure. Uit het </w:t>
      </w:r>
      <w:r>
        <w:rPr>
          <w:rFonts w:ascii="Times New Roman" w:hAnsi="Times New Roman"/>
          <w:i/>
          <w:noProof/>
          <w:sz w:val="24"/>
        </w:rPr>
        <w:t>aantal vergaderingen</w:t>
      </w:r>
      <w:r>
        <w:rPr>
          <w:rFonts w:ascii="Times New Roman" w:hAnsi="Times New Roman"/>
          <w:noProof/>
          <w:sz w:val="24"/>
        </w:rPr>
        <w:t xml:space="preserve"> en het </w:t>
      </w:r>
      <w:r>
        <w:rPr>
          <w:rFonts w:ascii="Times New Roman" w:hAnsi="Times New Roman"/>
          <w:i/>
          <w:noProof/>
          <w:sz w:val="24"/>
        </w:rPr>
        <w:t>aantal schriftelijke procedures</w:t>
      </w:r>
      <w:r>
        <w:rPr>
          <w:rFonts w:ascii="Times New Roman" w:hAnsi="Times New Roman"/>
          <w:noProof/>
          <w:sz w:val="24"/>
          <w:vertAlign w:val="superscript"/>
        </w:rPr>
        <w:footnoteReference w:id="13"/>
      </w:r>
      <w:r>
        <w:rPr>
          <w:rFonts w:ascii="Times New Roman" w:hAnsi="Times New Roman"/>
          <w:noProof/>
          <w:sz w:val="24"/>
        </w:rPr>
        <w:t xml:space="preserve"> in 2018 blijkt eveneens hoe actief de verschillende comités in het algemeen zijn geweest, op sectorniveau en individueel (zie tabel III).</w:t>
      </w:r>
    </w:p>
    <w:p>
      <w:pPr>
        <w:keepNext/>
        <w:spacing w:line="240" w:lineRule="auto"/>
        <w:rPr>
          <w:rFonts w:ascii="Times New Roman" w:hAnsi="Times New Roman"/>
          <w:b/>
          <w:noProof/>
          <w:sz w:val="28"/>
          <w:szCs w:val="24"/>
          <w:u w:val="single"/>
        </w:rPr>
      </w:pPr>
      <w:r>
        <w:rPr>
          <w:noProof/>
        </w:rPr>
        <w:br w:type="page"/>
      </w:r>
      <w:r>
        <w:rPr>
          <w:rFonts w:ascii="Times New Roman" w:hAnsi="Times New Roman"/>
          <w:b/>
          <w:noProof/>
          <w:sz w:val="24"/>
          <w:u w:val="single"/>
        </w:rPr>
        <w:t xml:space="preserve">TABEL III – </w:t>
      </w:r>
      <w:r>
        <w:rPr>
          <w:rFonts w:ascii="Times New Roman" w:hAnsi="Times New Roman"/>
          <w:b/>
          <w:smallCaps/>
          <w:noProof/>
          <w:sz w:val="24"/>
          <w:u w:val="single"/>
        </w:rPr>
        <w:t>Aantal vergaderingen en schriftelijke procedures</w:t>
      </w:r>
    </w:p>
    <w:tbl>
      <w:tblPr>
        <w:tblW w:w="5000" w:type="pct"/>
        <w:tblLook w:val="0000" w:firstRow="0" w:lastRow="0" w:firstColumn="0" w:lastColumn="0" w:noHBand="0" w:noVBand="0"/>
      </w:tblPr>
      <w:tblGrid>
        <w:gridCol w:w="1596"/>
        <w:gridCol w:w="1536"/>
        <w:gridCol w:w="1538"/>
        <w:gridCol w:w="1540"/>
        <w:gridCol w:w="1538"/>
        <w:gridCol w:w="1538"/>
      </w:tblGrid>
      <w:tr>
        <w:trPr>
          <w:trHeight w:val="510"/>
        </w:trPr>
        <w:tc>
          <w:tcPr>
            <w:tcW w:w="860" w:type="pct"/>
            <w:vMerge w:val="restart"/>
            <w:tcBorders>
              <w:top w:val="single" w:sz="4" w:space="0" w:color="auto"/>
              <w:left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7" w:type="pct"/>
            <w:vMerge w:val="restart"/>
            <w:tcBorders>
              <w:top w:val="single" w:sz="4" w:space="0" w:color="auto"/>
              <w:left w:val="nil"/>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 xml:space="preserve">Aantal comités </w:t>
            </w:r>
          </w:p>
        </w:tc>
        <w:tc>
          <w:tcPr>
            <w:tcW w:w="1657" w:type="pct"/>
            <w:gridSpan w:val="2"/>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Vergaderingen</w:t>
            </w:r>
          </w:p>
        </w:tc>
        <w:tc>
          <w:tcPr>
            <w:tcW w:w="1656" w:type="pct"/>
            <w:gridSpan w:val="2"/>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Schriftelijke procedures</w:t>
            </w:r>
          </w:p>
        </w:tc>
      </w:tr>
      <w:tr>
        <w:trPr>
          <w:trHeight w:val="510"/>
        </w:trPr>
        <w:tc>
          <w:tcPr>
            <w:tcW w:w="860" w:type="pct"/>
            <w:vMerge/>
            <w:tcBorders>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7" w:type="pct"/>
            <w:vMerge/>
            <w:tcBorders>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2017</w:t>
            </w:r>
          </w:p>
        </w:tc>
        <w:tc>
          <w:tcPr>
            <w:tcW w:w="829"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2018</w:t>
            </w:r>
          </w:p>
        </w:tc>
        <w:tc>
          <w:tcPr>
            <w:tcW w:w="828"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2017</w:t>
            </w:r>
          </w:p>
        </w:tc>
        <w:tc>
          <w:tcPr>
            <w:tcW w:w="828"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2018</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AGRI</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90</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95</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16</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BUDG</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CLIMA</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CNECT</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15</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12</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DEVCO</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18</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9</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16</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DIGIT</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EAC</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ECFIN</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ECHO</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EMPL</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ENER</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ENV</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29</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12</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ESTAT</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FISMA</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18</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16</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FPI</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GROW</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70</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16</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HOME</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28</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39</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29</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22</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JUST</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MARE</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MOVE</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54</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53</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35</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31</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NEAR</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9</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19</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bCs/>
                <w:noProof/>
                <w:color w:val="000000"/>
                <w:sz w:val="18"/>
                <w:szCs w:val="18"/>
              </w:rPr>
            </w:pPr>
            <w:r>
              <w:rPr>
                <w:rFonts w:ascii="Times New Roman" w:hAnsi="Times New Roman"/>
                <w:b/>
                <w:noProof/>
                <w:sz w:val="18"/>
                <w:szCs w:val="18"/>
              </w:rPr>
              <w:t>OLAF</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Cs/>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REGIO</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RTD</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57</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53</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246</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218</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SANTE</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108</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494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430</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SG</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TAXUD</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33</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36</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29</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21</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TRADE</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27</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29</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38</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24</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right"/>
              <w:rPr>
                <w:rFonts w:ascii="Times New Roman" w:hAnsi="Times New Roman"/>
                <w:b/>
                <w:bCs/>
                <w:noProof/>
                <w:color w:val="000000"/>
                <w:sz w:val="18"/>
                <w:szCs w:val="18"/>
              </w:rPr>
            </w:pPr>
            <w:r>
              <w:rPr>
                <w:rFonts w:ascii="Times New Roman" w:hAnsi="Times New Roman"/>
                <w:b/>
                <w:noProof/>
                <w:sz w:val="18"/>
                <w:szCs w:val="18"/>
              </w:rPr>
              <w:t>TOTAAL:</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bCs/>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616</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620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1 024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880</w:t>
            </w:r>
          </w:p>
        </w:tc>
      </w:tr>
    </w:tbl>
    <w:p>
      <w:pPr>
        <w:spacing w:line="240" w:lineRule="auto"/>
        <w:jc w:val="both"/>
        <w:rPr>
          <w:rFonts w:ascii="Times New Roman" w:hAnsi="Times New Roman"/>
          <w:i/>
          <w:noProof/>
          <w:sz w:val="18"/>
          <w:szCs w:val="18"/>
        </w:rPr>
      </w:pPr>
      <w:r>
        <w:rPr>
          <w:rFonts w:ascii="Times New Roman" w:hAnsi="Times New Roman"/>
          <w:i/>
          <w:noProof/>
          <w:sz w:val="18"/>
          <w:szCs w:val="18"/>
        </w:rPr>
        <w:t>* Vergaderingen/schriftelijke procedure van het comité van beroep</w:t>
      </w:r>
    </w:p>
    <w:p>
      <w:pPr>
        <w:pStyle w:val="ManualHeading2"/>
        <w:rPr>
          <w:noProof/>
        </w:rPr>
      </w:pPr>
      <w:r>
        <w:t>2.2.</w:t>
      </w:r>
      <w:r>
        <w:tab/>
      </w:r>
      <w:r>
        <w:rPr>
          <w:noProof/>
        </w:rPr>
        <w:t>Aantal adviezen en uitvoeringshandelingen/-maatregelen</w:t>
      </w:r>
    </w:p>
    <w:p>
      <w:pPr>
        <w:spacing w:line="240" w:lineRule="auto"/>
        <w:jc w:val="both"/>
        <w:rPr>
          <w:rFonts w:ascii="Times New Roman" w:hAnsi="Times New Roman"/>
          <w:noProof/>
          <w:sz w:val="24"/>
          <w:szCs w:val="24"/>
        </w:rPr>
      </w:pPr>
      <w:r>
        <w:rPr>
          <w:rFonts w:ascii="Times New Roman" w:hAnsi="Times New Roman"/>
          <w:noProof/>
          <w:sz w:val="24"/>
          <w:szCs w:val="24"/>
        </w:rPr>
        <w:t xml:space="preserve">Zoals gebruikelijk worden in dit verslag totaalcijfers vermeld over de formele </w:t>
      </w:r>
      <w:r>
        <w:rPr>
          <w:rFonts w:ascii="Times New Roman" w:hAnsi="Times New Roman"/>
          <w:i/>
          <w:noProof/>
          <w:sz w:val="24"/>
          <w:szCs w:val="24"/>
        </w:rPr>
        <w:t>adviezen</w:t>
      </w:r>
      <w:r>
        <w:rPr>
          <w:rFonts w:ascii="Times New Roman" w:hAnsi="Times New Roman"/>
          <w:noProof/>
          <w:sz w:val="24"/>
          <w:szCs w:val="24"/>
        </w:rPr>
        <w:t xml:space="preserve"> van de comités en de later door de Commissie vastgestelde </w:t>
      </w:r>
      <w:r>
        <w:rPr>
          <w:rFonts w:ascii="Times New Roman" w:hAnsi="Times New Roman"/>
          <w:i/>
          <w:noProof/>
          <w:sz w:val="24"/>
          <w:szCs w:val="24"/>
        </w:rPr>
        <w:t xml:space="preserve">uitvoeringshandelingen en </w:t>
      </w:r>
      <w:r>
        <w:rPr>
          <w:rFonts w:ascii="Times New Roman" w:hAnsi="Times New Roman"/>
          <w:i/>
          <w:noProof/>
          <w:sz w:val="24"/>
          <w:szCs w:val="24"/>
        </w:rPr>
        <w:noBreakHyphen/>
        <w:t>maatregelen</w:t>
      </w:r>
      <w:r>
        <w:rPr>
          <w:rFonts w:ascii="Times New Roman" w:hAnsi="Times New Roman"/>
          <w:noProof/>
          <w:sz w:val="24"/>
          <w:szCs w:val="24"/>
          <w:vertAlign w:val="superscript"/>
        </w:rPr>
        <w:footnoteReference w:id="14"/>
      </w:r>
      <w:r>
        <w:rPr>
          <w:rFonts w:ascii="Times New Roman" w:hAnsi="Times New Roman"/>
          <w:noProof/>
          <w:sz w:val="24"/>
          <w:szCs w:val="24"/>
        </w:rPr>
        <w:t xml:space="preserve">. Deze gegevens geven de concrete output van de comités weer (zie tabel IV). </w:t>
      </w:r>
    </w:p>
    <w:p>
      <w:pPr>
        <w:spacing w:line="240" w:lineRule="auto"/>
        <w:jc w:val="both"/>
        <w:rPr>
          <w:rFonts w:ascii="Times New Roman" w:hAnsi="Times New Roman"/>
          <w:noProof/>
          <w:sz w:val="24"/>
          <w:szCs w:val="24"/>
        </w:rPr>
      </w:pPr>
      <w:r>
        <w:rPr>
          <w:rFonts w:ascii="Times New Roman" w:hAnsi="Times New Roman"/>
          <w:noProof/>
          <w:sz w:val="24"/>
          <w:szCs w:val="24"/>
        </w:rPr>
        <w:t>Het Europees Parlement en de Raad hebben het recht van controle uit hoofde van artikel 11 van de comitéprocedureverordening. In 2018 heeft het Europees Parlement negen resoluties aangenomen op grond van artikel 11 van de comitéprocedureverordening. De Raad heeft dergelijke resoluties niet aangenomen.</w:t>
      </w:r>
    </w:p>
    <w:p>
      <w:pPr>
        <w:keepNext/>
        <w:spacing w:line="240" w:lineRule="auto"/>
        <w:rPr>
          <w:rFonts w:ascii="Times New Roman" w:hAnsi="Times New Roman"/>
          <w:b/>
          <w:smallCaps/>
          <w:noProof/>
          <w:sz w:val="24"/>
          <w:szCs w:val="24"/>
          <w:u w:val="single"/>
        </w:rPr>
      </w:pPr>
      <w:r>
        <w:rPr>
          <w:rFonts w:ascii="Times New Roman" w:hAnsi="Times New Roman"/>
          <w:b/>
          <w:noProof/>
          <w:sz w:val="24"/>
          <w:szCs w:val="24"/>
          <w:u w:val="single"/>
        </w:rPr>
        <w:t xml:space="preserve">TABEL IV – </w:t>
      </w:r>
      <w:r>
        <w:rPr>
          <w:rFonts w:ascii="Times New Roman" w:hAnsi="Times New Roman"/>
          <w:b/>
          <w:smallCaps/>
          <w:noProof/>
          <w:sz w:val="24"/>
          <w:szCs w:val="24"/>
          <w:u w:val="single"/>
        </w:rPr>
        <w:t>Aantal adviezen en vastgestelde uitvoeringshandelingen/-maatregelen</w:t>
      </w:r>
    </w:p>
    <w:tbl>
      <w:tblPr>
        <w:tblW w:w="5000" w:type="pct"/>
        <w:tblLook w:val="0000" w:firstRow="0" w:lastRow="0" w:firstColumn="0" w:lastColumn="0" w:noHBand="0" w:noVBand="0"/>
      </w:tblPr>
      <w:tblGrid>
        <w:gridCol w:w="1037"/>
        <w:gridCol w:w="1374"/>
        <w:gridCol w:w="1376"/>
        <w:gridCol w:w="1376"/>
        <w:gridCol w:w="1378"/>
        <w:gridCol w:w="1374"/>
        <w:gridCol w:w="1371"/>
      </w:tblGrid>
      <w:tr>
        <w:trPr>
          <w:trHeight w:val="510"/>
        </w:trPr>
        <w:tc>
          <w:tcPr>
            <w:tcW w:w="510" w:type="pct"/>
            <w:tcBorders>
              <w:top w:val="single" w:sz="4" w:space="0" w:color="auto"/>
              <w:left w:val="single" w:sz="4" w:space="0" w:color="auto"/>
              <w:bottom w:val="single" w:sz="4" w:space="0" w:color="auto"/>
              <w:right w:val="single" w:sz="4" w:space="0" w:color="auto"/>
            </w:tcBorders>
            <w:shd w:val="clear" w:color="auto" w:fill="FFFF99"/>
            <w:noWrap/>
            <w:vAlign w:val="bottom"/>
          </w:tcPr>
          <w:p>
            <w:pPr>
              <w:keepNext/>
              <w:spacing w:after="0" w:line="240" w:lineRule="auto"/>
              <w:rPr>
                <w:rFonts w:ascii="Times New Roman" w:hAnsi="Times New Roman"/>
                <w:noProof/>
                <w:color w:val="000000"/>
                <w:sz w:val="18"/>
                <w:szCs w:val="18"/>
              </w:rPr>
            </w:pPr>
          </w:p>
        </w:tc>
        <w:tc>
          <w:tcPr>
            <w:tcW w:w="1497" w:type="pct"/>
            <w:gridSpan w:val="2"/>
            <w:tcBorders>
              <w:top w:val="single" w:sz="4" w:space="0" w:color="auto"/>
              <w:left w:val="nil"/>
              <w:bottom w:val="single" w:sz="4" w:space="0" w:color="auto"/>
              <w:right w:val="single" w:sz="4" w:space="0" w:color="auto"/>
            </w:tcBorders>
            <w:shd w:val="clear" w:color="auto" w:fill="FFFF99"/>
            <w:vAlign w:val="center"/>
          </w:tcPr>
          <w:p>
            <w:pPr>
              <w:keepNext/>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Adviezen</w:t>
            </w:r>
            <w:r>
              <w:rPr>
                <w:rStyle w:val="FootnoteReference"/>
                <w:rFonts w:ascii="Times New Roman" w:hAnsi="Times New Roman"/>
                <w:b/>
                <w:noProof/>
                <w:sz w:val="18"/>
                <w:szCs w:val="18"/>
              </w:rPr>
              <w:footnoteReference w:id="15"/>
            </w:r>
          </w:p>
        </w:tc>
        <w:tc>
          <w:tcPr>
            <w:tcW w:w="1499" w:type="pct"/>
            <w:gridSpan w:val="2"/>
            <w:tcBorders>
              <w:top w:val="single" w:sz="4" w:space="0" w:color="auto"/>
              <w:left w:val="nil"/>
              <w:bottom w:val="single" w:sz="4" w:space="0" w:color="auto"/>
              <w:right w:val="single" w:sz="4" w:space="0" w:color="auto"/>
            </w:tcBorders>
            <w:shd w:val="clear" w:color="auto" w:fill="FFFF99"/>
            <w:vAlign w:val="center"/>
          </w:tcPr>
          <w:p>
            <w:pPr>
              <w:keepNext/>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Vastgestelde uitvoeringshandelingen</w:t>
            </w:r>
          </w:p>
        </w:tc>
        <w:tc>
          <w:tcPr>
            <w:tcW w:w="1494" w:type="pct"/>
            <w:gridSpan w:val="2"/>
            <w:tcBorders>
              <w:top w:val="single" w:sz="4" w:space="0" w:color="auto"/>
              <w:left w:val="nil"/>
              <w:bottom w:val="single" w:sz="4" w:space="0" w:color="auto"/>
              <w:right w:val="single" w:sz="4" w:space="0" w:color="auto"/>
            </w:tcBorders>
            <w:shd w:val="clear" w:color="auto" w:fill="FFFF99"/>
            <w:vAlign w:val="center"/>
          </w:tcPr>
          <w:p>
            <w:pPr>
              <w:keepNext/>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Regelgevingsprocedure met toetsing – vastgestelde maatregelen</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2017</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2018</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2017</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2018</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2017</w:t>
            </w:r>
          </w:p>
        </w:tc>
        <w:tc>
          <w:tcPr>
            <w:tcW w:w="746"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noProof/>
                <w:color w:val="000000"/>
                <w:sz w:val="18"/>
                <w:szCs w:val="18"/>
                <w:highlight w:val="cyan"/>
              </w:rPr>
            </w:pPr>
            <w:r>
              <w:rPr>
                <w:rFonts w:ascii="Times New Roman" w:hAnsi="Times New Roman"/>
                <w:b/>
                <w:noProof/>
                <w:sz w:val="18"/>
                <w:szCs w:val="18"/>
              </w:rPr>
              <w:t>2018</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AGRI</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142</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146</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137</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145</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5</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BUDG</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CLIMA</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14</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14</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1</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CNECT</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19</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19</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18</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15</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DEVCO</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53</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67</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54</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66</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DIGIT</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EAC</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ECFIN</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ECHO</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EMPL</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ENER</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ENV</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31</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31</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16</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14</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18</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11</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ESTAT</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9</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9</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3</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FISMA</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22</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18</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6</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FPI</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GROW</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104</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77</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83</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53</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24</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15</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HOME</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76</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74</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68</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61</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JUST</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MARE</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20</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15</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MOVE</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59</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61</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50</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57</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11</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NEAR</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74</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86</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74</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86</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bCs/>
                <w:noProof/>
                <w:color w:val="000000"/>
                <w:sz w:val="18"/>
                <w:szCs w:val="18"/>
              </w:rPr>
            </w:pPr>
            <w:r>
              <w:rPr>
                <w:rFonts w:ascii="Times New Roman" w:hAnsi="Times New Roman"/>
                <w:b/>
                <w:noProof/>
                <w:sz w:val="18"/>
                <w:szCs w:val="18"/>
              </w:rPr>
              <w:t>OLAF</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Cs/>
                <w:noProof/>
                <w:color w:val="000000"/>
                <w:sz w:val="18"/>
                <w:szCs w:val="18"/>
                <w:highlight w:val="cyan"/>
              </w:rPr>
            </w:pPr>
            <w:r>
              <w:rPr>
                <w:rFonts w:ascii="Times New Roman" w:hAnsi="Times New Roman"/>
                <w:bCs/>
                <w:noProof/>
                <w:sz w:val="18"/>
                <w:szCs w:val="18"/>
              </w:rPr>
              <w:t>0</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REGIO</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RTD</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248</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225</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176</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159</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SANTE</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803</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629</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753</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603</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56</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38</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SG</w:t>
            </w:r>
            <w:r>
              <w:rPr>
                <w:rFonts w:ascii="Times New Roman" w:hAnsi="Times New Roman"/>
                <w:noProof/>
                <w:sz w:val="18"/>
                <w:szCs w:val="18"/>
              </w:rPr>
              <w:t>*</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16</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12</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TAXUD</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79</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56</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85</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57</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TRADE</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86</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59</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86</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52</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right"/>
              <w:rPr>
                <w:rFonts w:ascii="Times New Roman" w:hAnsi="Times New Roman"/>
                <w:b/>
                <w:bCs/>
                <w:noProof/>
                <w:color w:val="000000"/>
                <w:sz w:val="18"/>
                <w:szCs w:val="18"/>
              </w:rPr>
            </w:pPr>
            <w:r>
              <w:rPr>
                <w:rFonts w:ascii="Times New Roman" w:hAnsi="Times New Roman"/>
                <w:b/>
                <w:noProof/>
                <w:sz w:val="18"/>
                <w:szCs w:val="18"/>
              </w:rPr>
              <w:t>TOTAAL:</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1906</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1633</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1687</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1456</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113</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
                <w:bCs/>
                <w:noProof/>
                <w:color w:val="000000"/>
                <w:sz w:val="18"/>
                <w:szCs w:val="18"/>
                <w:highlight w:val="cyan"/>
              </w:rPr>
            </w:pPr>
            <w:r>
              <w:rPr>
                <w:rFonts w:ascii="Times New Roman" w:hAnsi="Times New Roman"/>
                <w:b/>
                <w:bCs/>
                <w:noProof/>
                <w:sz w:val="18"/>
                <w:szCs w:val="18"/>
              </w:rPr>
              <w:t>90</w:t>
            </w:r>
          </w:p>
        </w:tc>
      </w:tr>
    </w:tbl>
    <w:p>
      <w:pPr>
        <w:spacing w:line="240" w:lineRule="auto"/>
        <w:ind w:left="240" w:hanging="240"/>
        <w:jc w:val="both"/>
        <w:rPr>
          <w:rFonts w:ascii="Times New Roman" w:hAnsi="Times New Roman"/>
          <w:i/>
          <w:noProof/>
          <w:sz w:val="18"/>
          <w:szCs w:val="18"/>
        </w:rPr>
      </w:pPr>
      <w:r>
        <w:rPr>
          <w:rFonts w:ascii="Times New Roman" w:hAnsi="Times New Roman"/>
          <w:i/>
          <w:noProof/>
          <w:sz w:val="18"/>
          <w:szCs w:val="18"/>
        </w:rPr>
        <w:t>* Met inbegrip van adviezen van het comité van beroep en vastgestelde handelingen.</w:t>
      </w:r>
    </w:p>
    <w:p>
      <w:pPr>
        <w:pStyle w:val="ManualHeading2"/>
        <w:rPr>
          <w:noProof/>
        </w:rPr>
      </w:pPr>
      <w:r>
        <w:t>2.3.</w:t>
      </w:r>
      <w:r>
        <w:tab/>
      </w:r>
      <w:r>
        <w:rPr>
          <w:noProof/>
        </w:rPr>
        <w:t>Vergaderingen van het comité van beroep</w:t>
      </w:r>
    </w:p>
    <w:p>
      <w:pPr>
        <w:spacing w:line="240" w:lineRule="auto"/>
        <w:jc w:val="both"/>
        <w:rPr>
          <w:rFonts w:ascii="Times New Roman" w:hAnsi="Times New Roman"/>
          <w:noProof/>
          <w:sz w:val="24"/>
          <w:szCs w:val="24"/>
        </w:rPr>
      </w:pPr>
      <w:r>
        <w:rPr>
          <w:rFonts w:ascii="Times New Roman" w:hAnsi="Times New Roman"/>
          <w:noProof/>
          <w:sz w:val="24"/>
          <w:szCs w:val="24"/>
        </w:rPr>
        <w:t>Het comité van beroep heeft in de loop van 2018 zes keer vergaderd en twaalf ontwerpuitvoeringshandelingen besproken (op het gebied van gezondheids- en consumentenbeleid, mobiliteit en vervoer) die door de Commissie waren voorgelegd. Het comité van beroep heeft in geen van de twaalf gevallen een advies uitgebracht. De Commissie heeft in 2018 na dit uitblijven van advies besloten elf uitvoeringshandelingen vast te stellen.</w:t>
      </w:r>
    </w:p>
    <w:p>
      <w:pPr>
        <w:pStyle w:val="ManualHeading2"/>
        <w:rPr>
          <w:noProof/>
        </w:rPr>
      </w:pPr>
      <w:r>
        <w:t>2.4.</w:t>
      </w:r>
      <w:r>
        <w:tab/>
      </w:r>
      <w:r>
        <w:rPr>
          <w:noProof/>
        </w:rPr>
        <w:t>Gebruik van de regelgevingsprocedure met toetsing</w:t>
      </w:r>
    </w:p>
    <w:p>
      <w:pPr>
        <w:spacing w:line="240" w:lineRule="auto"/>
        <w:jc w:val="both"/>
        <w:rPr>
          <w:rFonts w:ascii="Times New Roman" w:hAnsi="Times New Roman"/>
          <w:noProof/>
          <w:sz w:val="24"/>
          <w:szCs w:val="24"/>
        </w:rPr>
      </w:pPr>
      <w:r>
        <w:rPr>
          <w:rFonts w:ascii="Times New Roman" w:hAnsi="Times New Roman"/>
          <w:noProof/>
          <w:sz w:val="24"/>
          <w:szCs w:val="24"/>
        </w:rPr>
        <w:t>Zoals in punt 1 al werd vermeld, heeft de hervorming van de comitéprocedure van 2011 geen gevolgen gehad voor de regelgevingsprocedure met toetsing. Deze procedure kan in het kader van nieuwe wetgeving niet meer worden gebruikt, maar is nog steeds onderdeel van een groot aantal bestaande basishandelingen. Zolang die niet zijn aangepast, zal de procedure krachtens die handelingen verder worden toegepast. In 2018 werden 90 maatregelen vastgesteld overeenkomstig de regelgevingsprocedure met toetsing (zie tabel V). Het vetorecht werd eenmaal gebruikt, door het Europees Parlement. Ter vergelijking: in 2017 werd het vetorecht eveneens één keer gebruikt.</w:t>
      </w:r>
    </w:p>
    <w:p>
      <w:pPr>
        <w:keepNext/>
        <w:spacing w:line="240" w:lineRule="auto"/>
        <w:rPr>
          <w:rFonts w:ascii="Times New Roman" w:hAnsi="Times New Roman"/>
          <w:b/>
          <w:smallCaps/>
          <w:noProof/>
          <w:sz w:val="28"/>
          <w:szCs w:val="24"/>
          <w:u w:val="single"/>
        </w:rPr>
      </w:pPr>
      <w:r>
        <w:rPr>
          <w:rFonts w:ascii="Times New Roman" w:hAnsi="Times New Roman"/>
          <w:b/>
          <w:noProof/>
          <w:sz w:val="24"/>
          <w:u w:val="single"/>
        </w:rPr>
        <w:t xml:space="preserve">TABEL V – </w:t>
      </w:r>
      <w:r>
        <w:rPr>
          <w:rFonts w:ascii="Times New Roman" w:hAnsi="Times New Roman"/>
          <w:b/>
          <w:smallCaps/>
          <w:noProof/>
          <w:sz w:val="24"/>
          <w:u w:val="single"/>
        </w:rPr>
        <w:t>Aantal volgens de regelgevingsprocedure met toetsing vastgestelde maatregelen</w:t>
      </w:r>
    </w:p>
    <w:tbl>
      <w:tblPr>
        <w:tblW w:w="5000" w:type="pct"/>
        <w:tblLook w:val="0000" w:firstRow="0" w:lastRow="0" w:firstColumn="0" w:lastColumn="0" w:noHBand="0" w:noVBand="0"/>
      </w:tblPr>
      <w:tblGrid>
        <w:gridCol w:w="1757"/>
        <w:gridCol w:w="2509"/>
        <w:gridCol w:w="2512"/>
        <w:gridCol w:w="2508"/>
      </w:tblGrid>
      <w:tr>
        <w:trPr>
          <w:trHeight w:val="597"/>
        </w:trPr>
        <w:tc>
          <w:tcPr>
            <w:tcW w:w="923"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noProof/>
                <w:color w:val="000000"/>
                <w:sz w:val="18"/>
                <w:szCs w:val="18"/>
              </w:rPr>
            </w:pPr>
          </w:p>
        </w:tc>
        <w:tc>
          <w:tcPr>
            <w:tcW w:w="1359" w:type="pct"/>
            <w:tcBorders>
              <w:top w:val="single" w:sz="4" w:space="0" w:color="auto"/>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Regelgevingsprocedure met toetsing – vastgestelde maatregelen</w:t>
            </w:r>
          </w:p>
        </w:tc>
        <w:tc>
          <w:tcPr>
            <w:tcW w:w="1360" w:type="pct"/>
            <w:tcBorders>
              <w:top w:val="single" w:sz="4" w:space="0" w:color="auto"/>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Veto van het Europees Parlement tegen vaststelling van ontwerpmaatregelen</w:t>
            </w:r>
          </w:p>
        </w:tc>
        <w:tc>
          <w:tcPr>
            <w:tcW w:w="1359" w:type="pct"/>
            <w:tcBorders>
              <w:top w:val="single" w:sz="4" w:space="0" w:color="auto"/>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Veto van de Raad tegen vaststelling van ontwerpmaatregelen</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AGRI</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BUDG</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CLIMA</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CNECT</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DEVCO</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DIGIT</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EAC</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ECFIN</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ECHO</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EMPL</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ENER</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ENV</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ESTAT</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FISMA</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FPI</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GROW</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15</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HOME</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JUST</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MARE</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MOVE</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NEAR</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bCs/>
                <w:noProof/>
                <w:color w:val="000000"/>
                <w:sz w:val="18"/>
                <w:szCs w:val="18"/>
              </w:rPr>
            </w:pPr>
            <w:r>
              <w:rPr>
                <w:rFonts w:ascii="Times New Roman" w:hAnsi="Times New Roman"/>
                <w:b/>
                <w:noProof/>
                <w:sz w:val="18"/>
                <w:szCs w:val="18"/>
              </w:rPr>
              <w:t>OLAF</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REGIO</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RTD</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SANTE</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38</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SG</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TAXUD</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TRADE</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ind w:left="720"/>
              <w:rPr>
                <w:rFonts w:ascii="Times New Roman" w:hAnsi="Times New Roman"/>
                <w:b/>
                <w:bCs/>
                <w:noProof/>
                <w:color w:val="000000"/>
                <w:sz w:val="18"/>
                <w:szCs w:val="18"/>
              </w:rPr>
            </w:pPr>
            <w:r>
              <w:rPr>
                <w:rFonts w:ascii="Times New Roman" w:hAnsi="Times New Roman"/>
                <w:b/>
                <w:noProof/>
                <w:sz w:val="18"/>
                <w:szCs w:val="18"/>
              </w:rPr>
              <w:t>TOTAAL:</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90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0</w:t>
            </w:r>
          </w:p>
        </w:tc>
      </w:tr>
    </w:tbl>
    <w:p>
      <w:pPr>
        <w:pStyle w:val="ManualHeading1"/>
        <w:rPr>
          <w:noProof/>
        </w:rPr>
      </w:pPr>
      <w:r>
        <w:t>3.</w:t>
      </w:r>
      <w:r>
        <w:tab/>
      </w:r>
      <w:r>
        <w:rPr>
          <w:noProof/>
        </w:rPr>
        <w:t>Gedetailleerde informatie over de activiteiten van de comités</w:t>
      </w:r>
    </w:p>
    <w:p>
      <w:pPr>
        <w:spacing w:line="240" w:lineRule="auto"/>
        <w:jc w:val="both"/>
        <w:rPr>
          <w:rFonts w:ascii="Times New Roman" w:hAnsi="Times New Roman"/>
          <w:noProof/>
          <w:sz w:val="24"/>
          <w:szCs w:val="24"/>
        </w:rPr>
      </w:pPr>
      <w:r>
        <w:rPr>
          <w:rFonts w:ascii="Times New Roman" w:hAnsi="Times New Roman"/>
          <w:noProof/>
          <w:sz w:val="24"/>
          <w:szCs w:val="24"/>
        </w:rPr>
        <w:t>Het bij dit verslag gevoegde werkdocument bevat gedetailleerde informatie over de werkzaamheden van de afzonderlijke comités in 2018, uitgesplitst naar de verschillende betrokken diensten van de Commissie.</w:t>
      </w:r>
    </w:p>
    <w:p>
      <w:pPr>
        <w:pStyle w:val="ManualHeading1"/>
        <w:rPr>
          <w:noProof/>
        </w:rPr>
      </w:pPr>
      <w:r>
        <w:t>4.</w:t>
      </w:r>
      <w:r>
        <w:tab/>
      </w:r>
      <w:r>
        <w:rPr>
          <w:noProof/>
        </w:rPr>
        <w:t>Conclusie</w:t>
      </w:r>
    </w:p>
    <w:p>
      <w:pPr>
        <w:rPr>
          <w:rFonts w:ascii="Times New Roman" w:hAnsi="Times New Roman"/>
          <w:noProof/>
          <w:sz w:val="24"/>
          <w:szCs w:val="24"/>
        </w:rPr>
      </w:pPr>
      <w:r>
        <w:rPr>
          <w:rFonts w:ascii="Times New Roman" w:hAnsi="Times New Roman"/>
          <w:noProof/>
          <w:sz w:val="24"/>
          <w:szCs w:val="24"/>
        </w:rPr>
        <w:t>Het Europees Parlement en de Raad wordt verzocht nota te nemen van dit verslag.</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r>
      <w:r>
        <w:rPr>
          <w:rStyle w:val="Strong"/>
          <w:b w:val="0"/>
        </w:rPr>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 w:id="2">
    <w:p>
      <w:pPr>
        <w:pStyle w:val="FootnoteText"/>
      </w:pPr>
      <w:r>
        <w:rPr>
          <w:rStyle w:val="FootnoteReference"/>
        </w:rPr>
        <w:footnoteRef/>
      </w:r>
      <w:r>
        <w:tab/>
        <w:t>Verslag van de Commissie over de werking van de comités in 2013 (COM(2014) 572 final).</w:t>
      </w:r>
    </w:p>
  </w:footnote>
  <w:footnote w:id="3">
    <w:p>
      <w:pPr>
        <w:pStyle w:val="FootnoteText"/>
      </w:pPr>
      <w:r>
        <w:rPr>
          <w:rStyle w:val="FootnoteReference"/>
        </w:rPr>
        <w:footnoteRef/>
      </w:r>
      <w:r>
        <w:tab/>
        <w:t>Besluit 1999/468/EG van de Raad van 28 juni 1999 tot vaststelling van de voorwaarden voor de uitoefening van de aan de Commissie verleende uitvoeringsbevoegdheden (PB L 184 van 17.7.1999, blz. 23), zoals gewijzigd bij Besluit 2006/512/EG (PB L 200 van 22.7.2006, blz. 11) (geconsolideerde versie te vinden in PB C 255 van 21.10.2006, blz. 4).</w:t>
      </w:r>
    </w:p>
  </w:footnote>
  <w:footnote w:id="4">
    <w:p>
      <w:pPr>
        <w:pStyle w:val="FootnoteText"/>
      </w:pPr>
      <w:r>
        <w:rPr>
          <w:rStyle w:val="FootnoteReference"/>
        </w:rPr>
        <w:footnoteRef/>
      </w:r>
      <w:r>
        <w:tab/>
        <w:t>Interinstitutioneel Akkoord tussen het Europees Parlement, de Raad van de Europese Unie en de Europese Commissie van 13 april 2016 over beter wetgeven (PB L 123 van 12.5.2016, blz. 1).</w:t>
      </w:r>
    </w:p>
  </w:footnote>
  <w:footnote w:id="5">
    <w:p>
      <w:pPr>
        <w:pStyle w:val="FootnoteText"/>
        <w:ind w:left="709" w:hanging="709"/>
      </w:pPr>
      <w:r>
        <w:rPr>
          <w:rStyle w:val="FootnoteReference"/>
        </w:rPr>
        <w:footnoteRef/>
      </w:r>
      <w:r>
        <w:tab/>
        <w:t>Voorstel voor een verordening van het Europees Parlement en de Raad tot aanpassing van een aantal rechtshandelingen die verwijzen naar de regelgevingsprocedure met toetsing, aan de artikelen 290 en 291 van het Verdrag betreffende de werking van de Europese Unie (COM(2016) 799).</w:t>
      </w:r>
    </w:p>
  </w:footnote>
  <w:footnote w:id="6">
    <w:p>
      <w:pPr>
        <w:pStyle w:val="FootnoteText"/>
      </w:pPr>
      <w:r>
        <w:rPr>
          <w:rStyle w:val="FootnoteReference"/>
        </w:rPr>
        <w:footnoteRef/>
      </w:r>
      <w:r>
        <w:tab/>
        <w:t>Voorstel voor een verordening van het Europees Parlement en de Raad tot aanpassing van een aantal rechtshandelingen op het gebied van justitie die verwijzen naar de regelgevingsprocedure met toetsing, aan artikel 290 van het Verdrag betreffende de werking van de Europese Unie (COM(2016) 798).</w:t>
      </w:r>
    </w:p>
  </w:footnote>
  <w:footnote w:id="7">
    <w:p>
      <w:pPr>
        <w:pStyle w:val="FootnoteText"/>
      </w:pPr>
      <w:r>
        <w:rPr>
          <w:rStyle w:val="FootnoteReference"/>
        </w:rPr>
        <w:footnoteRef/>
      </w:r>
      <w:r>
        <w:tab/>
        <w:t>Verordening (EU) 2019/1243 van het Europees Parlement en de Raad van 20 juni 2019 tot aanpassing van een aantal rechtshandelingen die voorzien in het gebruik van de regelgevingsprocedure met toetsing, aan de artikelen 290 en 291 van het Verdrag betreffende de werking van de Europese Unie (PB L 198 van 25.7.2019, blz. 241).</w:t>
      </w:r>
    </w:p>
  </w:footnote>
  <w:footnote w:id="8">
    <w:p>
      <w:pPr>
        <w:pStyle w:val="FootnoteText"/>
      </w:pPr>
      <w:r>
        <w:rPr>
          <w:rStyle w:val="FootnoteReference"/>
        </w:rPr>
        <w:footnoteRef/>
      </w:r>
      <w:r>
        <w:tab/>
        <w:t>Verslag van de Commissie aan het Europees Parlement en de Raad over de tenuitvoerlegging van Verordening (EU) nr. 182/2011 (COM(2016) 92).</w:t>
      </w:r>
    </w:p>
  </w:footnote>
  <w:footnote w:id="9">
    <w:p>
      <w:pPr>
        <w:pStyle w:val="FootnoteText"/>
      </w:pPr>
      <w:r>
        <w:rPr>
          <w:rStyle w:val="FootnoteReference"/>
        </w:rPr>
        <w:footnoteRef/>
      </w:r>
      <w:r>
        <w:tab/>
        <w:t>Voorstel voor een verordening van het Europees Parlement en de Raad tot wijziging van Verordening (EU) nr. 182/2011 tot vaststelling van de algemene voorschriften en beginselen die van toepassing zijn op de wijze waarop de lidstaten de uitoefening van de uitvoeringsbevoegdheden door de Commissie controleren (COM(2017) 85).</w:t>
      </w:r>
    </w:p>
  </w:footnote>
  <w:footnote w:id="10">
    <w:p>
      <w:pPr>
        <w:pStyle w:val="FootnoteText"/>
      </w:pPr>
      <w:r>
        <w:rPr>
          <w:rStyle w:val="FootnoteReference"/>
        </w:rPr>
        <w:footnoteRef/>
      </w:r>
      <w:r>
        <w:tab/>
        <w:t>Interinstitutioneel akkoord betreffende niet-bindende criteria voor de toepassing van de artikelen 290 en 291 van het Verdrag betreffende de werking van de Europese Unie (PB C 223 van 3.7.2019, blz. 1).</w:t>
      </w:r>
    </w:p>
  </w:footnote>
  <w:footnote w:id="11">
    <w:p>
      <w:pPr>
        <w:pStyle w:val="FootnoteText"/>
      </w:pPr>
      <w:r>
        <w:rPr>
          <w:rStyle w:val="FootnoteReference"/>
        </w:rPr>
        <w:footnoteRef/>
      </w:r>
      <w:r>
        <w:tab/>
      </w:r>
      <w:hyperlink r:id="rId1" w:history="1">
        <w:r>
          <w:rPr>
            <w:rStyle w:val="Hyperlink"/>
          </w:rPr>
          <w:t>https://ec.europa.eu/info/law/better-regulation/have-your-say_nl</w:t>
        </w:r>
      </w:hyperlink>
    </w:p>
  </w:footnote>
  <w:footnote w:id="12">
    <w:p>
      <w:pPr>
        <w:pStyle w:val="FootnoteText"/>
      </w:pPr>
      <w:r>
        <w:rPr>
          <w:rStyle w:val="FootnoteReference"/>
        </w:rPr>
        <w:footnoteRef/>
      </w:r>
      <w:r>
        <w:tab/>
        <w:t xml:space="preserve">Nadere informatie is te vinden op: </w:t>
      </w:r>
      <w:hyperlink r:id="rId2" w:history="1">
        <w:r>
          <w:rPr>
            <w:rStyle w:val="Hyperlink"/>
          </w:rPr>
          <w:t>https://ec.europa.eu/transparency/regexpert/index.cfm?Lang=NL</w:t>
        </w:r>
      </w:hyperlink>
      <w:r>
        <w:t xml:space="preserve">. </w:t>
      </w:r>
    </w:p>
  </w:footnote>
  <w:footnote w:id="13">
    <w:p>
      <w:pPr>
        <w:pStyle w:val="FootnoteText"/>
      </w:pPr>
      <w:r>
        <w:rPr>
          <w:rStyle w:val="FootnoteReference"/>
        </w:rPr>
        <w:footnoteRef/>
      </w:r>
      <w:r>
        <w:tab/>
        <w:t>De stemming in een comité kan tijdens een gewone vergadering plaatsvinden of, in naar behoren gemotiveerde gevallen, via een schriftelijke procedure, overeenkomstig artikel 3, lid 5, van de comitéprocedureverordening.</w:t>
      </w:r>
    </w:p>
  </w:footnote>
  <w:footnote w:id="14">
    <w:p>
      <w:pPr>
        <w:pStyle w:val="FootnoteText"/>
      </w:pPr>
      <w:r>
        <w:rPr>
          <w:rStyle w:val="FootnoteReference"/>
        </w:rPr>
        <w:footnoteRef/>
      </w:r>
      <w:r>
        <w:tab/>
        <w:t xml:space="preserve">Er kunnen overigens verschillen bestaan tussen het aantal adviezen en het aantal uitvoeringshandelingen en </w:t>
      </w:r>
      <w:r>
        <w:noBreakHyphen/>
        <w:t>maatregelen in een bepaald jaar. De redenen hiervoor worden in de inleiding bij het werkdocument van de diensten van de Commissie uiteengezet.</w:t>
      </w:r>
    </w:p>
  </w:footnote>
  <w:footnote w:id="15">
    <w:p>
      <w:pPr>
        <w:pStyle w:val="FootnoteText"/>
      </w:pPr>
      <w:r>
        <w:rPr>
          <w:rStyle w:val="FootnoteReference"/>
        </w:rPr>
        <w:footnoteRef/>
      </w:r>
      <w:r>
        <w:tab/>
        <w:t>Een stemuitslag die tot “geen advies” leidt, wordt bij het totale aantal adviezen meegeteld.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lvl w:ilvl="0">
      <w:start w:val="1"/>
      <w:numFmt w:val="decimal"/>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E43525"/>
    <w:multiLevelType w:val="multilevel"/>
    <w:tmpl w:val="76202BFE"/>
    <w:lvl w:ilvl="0">
      <w:start w:val="1"/>
      <w:numFmt w:val="decimal"/>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DD5905"/>
    <w:multiLevelType w:val="singleLevel"/>
    <w:tmpl w:val="6CB4B73E"/>
    <w:lvl w:ilvl="0">
      <w:start w:val="1"/>
      <w:numFmt w:val="bullet"/>
      <w:pStyle w:val="ListBullet2"/>
      <w:lvlText w:val=""/>
      <w:lvlJc w:val="left"/>
      <w:pPr>
        <w:tabs>
          <w:tab w:val="num" w:pos="1134"/>
        </w:tabs>
        <w:ind w:left="1134" w:hanging="283"/>
      </w:pPr>
      <w:rPr>
        <w:rFonts w:ascii="Symbol" w:hAnsi="Symbol" w:hint="default"/>
      </w:rPr>
    </w:lvl>
  </w:abstractNum>
  <w:abstractNum w:abstractNumId="3">
    <w:nsid w:val="24E930D7"/>
    <w:multiLevelType w:val="multilevel"/>
    <w:tmpl w:val="EFD2E05E"/>
    <w:lvl w:ilvl="0">
      <w:start w:val="1"/>
      <w:numFmt w:val="decimal"/>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5">
    <w:nsid w:val="3A5459E8"/>
    <w:multiLevelType w:val="singleLevel"/>
    <w:tmpl w:val="2188C922"/>
    <w:lvl w:ilvl="0">
      <w:start w:val="1"/>
      <w:numFmt w:val="bullet"/>
      <w:pStyle w:val="Tiret1"/>
      <w:lvlText w:val="–"/>
      <w:lvlJc w:val="left"/>
      <w:pPr>
        <w:tabs>
          <w:tab w:val="num" w:pos="1417"/>
        </w:tabs>
        <w:ind w:left="1417" w:hanging="567"/>
      </w:pPr>
    </w:lvl>
  </w:abstractNum>
  <w:abstractNum w:abstractNumId="6">
    <w:nsid w:val="3BA736C9"/>
    <w:multiLevelType w:val="singleLevel"/>
    <w:tmpl w:val="F00A6C0C"/>
    <w:lvl w:ilvl="0">
      <w:start w:val="1"/>
      <w:numFmt w:val="bullet"/>
      <w:pStyle w:val="Tiret0"/>
      <w:lvlText w:val="–"/>
      <w:lvlJc w:val="left"/>
      <w:pPr>
        <w:tabs>
          <w:tab w:val="num" w:pos="850"/>
        </w:tabs>
        <w:ind w:left="850" w:hanging="850"/>
      </w:pPr>
    </w:lvl>
  </w:abstractNum>
  <w:abstractNum w:abstractNumId="7">
    <w:nsid w:val="3C90278F"/>
    <w:multiLevelType w:val="singleLevel"/>
    <w:tmpl w:val="0FE08974"/>
    <w:name w:val="Tiret 1"/>
    <w:lvl w:ilvl="0">
      <w:start w:val="1"/>
      <w:numFmt w:val="bullet"/>
      <w:pStyle w:val="Tiret3"/>
      <w:lvlText w:val="–"/>
      <w:lvlJc w:val="left"/>
      <w:pPr>
        <w:tabs>
          <w:tab w:val="num" w:pos="2551"/>
        </w:tabs>
        <w:ind w:left="2551" w:hanging="567"/>
      </w:pPr>
    </w:lvl>
  </w:abstractNum>
  <w:abstractNum w:abstractNumId="8">
    <w:nsid w:val="3E191884"/>
    <w:multiLevelType w:val="singleLevel"/>
    <w:tmpl w:val="3020C764"/>
    <w:lvl w:ilvl="0">
      <w:start w:val="1"/>
      <w:numFmt w:val="bullet"/>
      <w:pStyle w:val="ListBullet3"/>
      <w:lvlText w:val=""/>
      <w:lvlJc w:val="left"/>
      <w:pPr>
        <w:tabs>
          <w:tab w:val="num" w:pos="1134"/>
        </w:tabs>
        <w:ind w:left="1134" w:hanging="283"/>
      </w:pPr>
      <w:rPr>
        <w:rFonts w:ascii="Symbol" w:hAnsi="Symbol" w:hint="default"/>
      </w:rPr>
    </w:lvl>
  </w:abstractNum>
  <w:abstractNum w:abstractNumId="9">
    <w:nsid w:val="40315490"/>
    <w:multiLevelType w:val="singleLevel"/>
    <w:tmpl w:val="1F86C700"/>
    <w:name w:val="7,134676E-02"/>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0">
    <w:nsid w:val="48842C30"/>
    <w:multiLevelType w:val="singleLevel"/>
    <w:tmpl w:val="4FA60B90"/>
    <w:name w:val="List Dash"/>
    <w:lvl w:ilvl="0">
      <w:start w:val="1"/>
      <w:numFmt w:val="bullet"/>
      <w:pStyle w:val="Bullet4"/>
      <w:lvlText w:val=""/>
      <w:lvlJc w:val="left"/>
      <w:pPr>
        <w:tabs>
          <w:tab w:val="num" w:pos="3118"/>
        </w:tabs>
        <w:ind w:left="3118" w:hanging="567"/>
      </w:pPr>
      <w:rPr>
        <w:rFonts w:ascii="Symbol" w:hAnsi="Symbol" w:hint="default"/>
      </w:rPr>
    </w:lvl>
  </w:abstractNum>
  <w:abstractNum w:abstractNumId="11">
    <w:nsid w:val="54593082"/>
    <w:multiLevelType w:val="singleLevel"/>
    <w:tmpl w:val="EDE069AC"/>
    <w:name w:val="Tiret 0"/>
    <w:lvl w:ilvl="0">
      <w:start w:val="1"/>
      <w:numFmt w:val="bullet"/>
      <w:pStyle w:val="Bullet0"/>
      <w:lvlText w:val=""/>
      <w:lvlJc w:val="left"/>
      <w:pPr>
        <w:tabs>
          <w:tab w:val="num" w:pos="850"/>
        </w:tabs>
        <w:ind w:left="850" w:hanging="850"/>
      </w:pPr>
      <w:rPr>
        <w:rFonts w:ascii="Symbol" w:hAnsi="Symbol" w:hint="default"/>
      </w:rPr>
    </w:lvl>
  </w:abstractNum>
  <w:abstractNum w:abstractNumId="12">
    <w:nsid w:val="568864DC"/>
    <w:multiLevelType w:val="singleLevel"/>
    <w:tmpl w:val="485EBDAC"/>
    <w:name w:val="Tiret 3"/>
    <w:lvl w:ilvl="0">
      <w:start w:val="1"/>
      <w:numFmt w:val="bullet"/>
      <w:pStyle w:val="Tiret4"/>
      <w:lvlText w:val="–"/>
      <w:lvlJc w:val="left"/>
      <w:pPr>
        <w:tabs>
          <w:tab w:val="num" w:pos="3118"/>
        </w:tabs>
        <w:ind w:left="3118" w:hanging="567"/>
      </w:pPr>
    </w:lvl>
  </w:abstractNum>
  <w:abstractNum w:abstractNumId="13">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cs="Times New Roman"/>
      </w:rPr>
    </w:lvl>
  </w:abstractNum>
  <w:abstractNum w:abstractNumId="14">
    <w:nsid w:val="5F342530"/>
    <w:multiLevelType w:val="singleLevel"/>
    <w:tmpl w:val="D5444702"/>
    <w:name w:val="List Dash 2"/>
    <w:lvl w:ilvl="0">
      <w:start w:val="1"/>
      <w:numFmt w:val="bullet"/>
      <w:pStyle w:val="Bullet3"/>
      <w:lvlText w:val=""/>
      <w:lvlJc w:val="left"/>
      <w:pPr>
        <w:tabs>
          <w:tab w:val="num" w:pos="2551"/>
        </w:tabs>
        <w:ind w:left="2551" w:hanging="567"/>
      </w:pPr>
      <w:rPr>
        <w:rFonts w:ascii="Symbol" w:hAnsi="Symbol" w:hint="default"/>
      </w:rPr>
    </w:lvl>
  </w:abstractNum>
  <w:abstractNum w:abstractNumId="15">
    <w:nsid w:val="5F8C3B69"/>
    <w:multiLevelType w:val="multilevel"/>
    <w:tmpl w:val="9B14DAA8"/>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17">
    <w:nsid w:val="62970F71"/>
    <w:multiLevelType w:val="singleLevel"/>
    <w:tmpl w:val="5AFA8C72"/>
    <w:name w:val="Bullet 4"/>
    <w:lvl w:ilvl="0">
      <w:start w:val="1"/>
      <w:numFmt w:val="bullet"/>
      <w:pStyle w:val="Tiret2"/>
      <w:lvlText w:val="–"/>
      <w:lvlJc w:val="left"/>
      <w:pPr>
        <w:tabs>
          <w:tab w:val="num" w:pos="1984"/>
        </w:tabs>
        <w:ind w:left="1984" w:hanging="567"/>
      </w:pPr>
    </w:lvl>
  </w:abstractNum>
  <w:abstractNum w:abstractNumId="18">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19">
    <w:nsid w:val="69995580"/>
    <w:multiLevelType w:val="singleLevel"/>
    <w:tmpl w:val="75CC7CBA"/>
    <w:lvl w:ilvl="0">
      <w:start w:val="1"/>
      <w:numFmt w:val="decimal"/>
      <w:pStyle w:val="Considrant"/>
      <w:lvlText w:val="(%1)"/>
      <w:lvlJc w:val="left"/>
      <w:pPr>
        <w:tabs>
          <w:tab w:val="num" w:pos="709"/>
        </w:tabs>
        <w:ind w:left="709" w:hanging="709"/>
      </w:pPr>
    </w:lvl>
  </w:abstractNum>
  <w:abstractNum w:abstractNumId="2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21">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711167E2"/>
    <w:multiLevelType w:val="multilevel"/>
    <w:tmpl w:val="C3843A7A"/>
    <w:name w:val="List Dash 1"/>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C26F71"/>
    <w:multiLevelType w:val="multilevel"/>
    <w:tmpl w:val="8320DD02"/>
    <w:name w:val="Bullet 0"/>
    <w:lvl w:ilvl="0">
      <w:start w:val="1"/>
      <w:numFmt w:val="decimal"/>
      <w:pStyle w:val="Heading1"/>
      <w:lvlText w:val="%1."/>
      <w:lvlJc w:val="left"/>
      <w:pPr>
        <w:tabs>
          <w:tab w:val="num" w:pos="850"/>
        </w:tabs>
        <w:ind w:left="850" w:hanging="850"/>
      </w:pPr>
      <w:rPr>
        <w:color w:val="auto"/>
      </w:r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cs="Times New Roman"/>
      </w:rPr>
    </w:lvl>
  </w:abstractNum>
  <w:abstractNum w:abstractNumId="25">
    <w:nsid w:val="79C96D36"/>
    <w:multiLevelType w:val="multilevel"/>
    <w:tmpl w:val="BE983CE4"/>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BE95D7F"/>
    <w:multiLevelType w:val="multilevel"/>
    <w:tmpl w:val="F126F780"/>
    <w:name w:val="List Bulle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7">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cs="Times New Roman"/>
      </w:rPr>
    </w:lvl>
  </w:abstractNum>
  <w:abstractNum w:abstractNumId="28">
    <w:nsid w:val="7F7154E1"/>
    <w:multiLevelType w:val="singleLevel"/>
    <w:tmpl w:val="E3F6D2C6"/>
    <w:lvl w:ilvl="0">
      <w:start w:val="1"/>
      <w:numFmt w:val="bullet"/>
      <w:pStyle w:val="ListBullet4"/>
      <w:lvlText w:val=""/>
      <w:lvlJc w:val="left"/>
      <w:pPr>
        <w:tabs>
          <w:tab w:val="num" w:pos="1134"/>
        </w:tabs>
        <w:ind w:left="1134" w:hanging="283"/>
      </w:pPr>
      <w:rPr>
        <w:rFonts w:ascii="Symbol" w:hAnsi="Symbol"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28"/>
  </w:num>
  <w:num w:numId="7">
    <w:abstractNumId w:val="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7"/>
  </w:num>
  <w:num w:numId="13">
    <w:abstractNumId w:val="7"/>
  </w:num>
  <w:num w:numId="14">
    <w:abstractNumId w:val="1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16"/>
  </w:num>
  <w:num w:numId="20">
    <w:abstractNumId w:val="14"/>
  </w:num>
  <w:num w:numId="21">
    <w:abstractNumId w:val="10"/>
  </w:num>
  <w:num w:numId="22">
    <w:abstractNumId w:val="19"/>
    <w:lvlOverride w:ilvl="0">
      <w:startOverride w:val="1"/>
    </w:lvlOverride>
  </w:num>
  <w:num w:numId="23">
    <w:abstractNumId w:val="20"/>
  </w:num>
  <w:num w:numId="24">
    <w:abstractNumId w:val="9"/>
  </w:num>
  <w:num w:numId="25">
    <w:abstractNumId w:val="18"/>
  </w:num>
  <w:num w:numId="26">
    <w:abstractNumId w:val="13"/>
  </w:num>
  <w:num w:numId="27">
    <w:abstractNumId w:val="24"/>
  </w:num>
  <w:num w:numId="28">
    <w:abstractNumId w:val="27"/>
  </w:num>
  <w:num w:numId="29">
    <w:abstractNumId w:val="2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revisionView w:markup="0"/>
  <w:defaultTabStop w:val="720"/>
  <w:hyphenationZone w:val="425"/>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215221A-DFC9-4ADE-9AC1-A049980C533F"/>
    <w:docVar w:name="LW_COVERPAGE_TYPE" w:val="1"/>
    <w:docVar w:name="LW_CROSSREFERENCE" w:val="{SWD(2019) 441 final}"/>
    <w:docVar w:name="LW_DocType" w:val="NORMAL"/>
    <w:docVar w:name="LW_EMISSION" w:val="16.12.2019"/>
    <w:docVar w:name="LW_EMISSION_ISODATE" w:val="2019-12-16"/>
    <w:docVar w:name="LW_EMISSION_LOCATION" w:val="BRX"/>
    <w:docVar w:name="LW_EMISSION_PREFIX" w:val="Brussel, "/>
    <w:docVar w:name="LW_EMISSION_SUFFIX" w:val=" "/>
    <w:docVar w:name="LW_ID_DOCTYPE_NONLW" w:val="CP-003"/>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6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OVER DE WERKING VAN DE COMITÉS IN 2018"/>
    <w:docVar w:name="LW_TYPE.DOC.CP" w:val="VERSLAG VAN DE COMMISSI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table of figures" w:uiPriority="0"/>
    <w:lsdException w:name="annotation reference"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b/>
      <w:bCs/>
      <w:smallCaps/>
      <w:sz w:val="24"/>
      <w:szCs w:val="32"/>
      <w:lang w:eastAsia="en-US"/>
    </w:rPr>
  </w:style>
  <w:style w:type="character" w:customStyle="1" w:styleId="Heading2Char">
    <w:name w:val="Heading 2 Char"/>
    <w:link w:val="Heading2"/>
    <w:rPr>
      <w:rFonts w:ascii="Times New Roman" w:eastAsia="Times New Roman" w:hAnsi="Times New Roman"/>
      <w:b/>
      <w:bCs/>
      <w:iCs/>
      <w:sz w:val="24"/>
      <w:szCs w:val="28"/>
      <w:lang w:eastAsia="en-US"/>
    </w:rPr>
  </w:style>
  <w:style w:type="character" w:customStyle="1" w:styleId="Heading3Char">
    <w:name w:val="Heading 3 Char"/>
    <w:link w:val="Heading3"/>
    <w:semiHidden/>
    <w:rPr>
      <w:rFonts w:ascii="Times New Roman" w:eastAsia="Times New Roman" w:hAnsi="Times New Roman"/>
      <w:bCs/>
      <w:i/>
      <w:sz w:val="24"/>
      <w:szCs w:val="26"/>
      <w:lang w:eastAsia="en-US"/>
    </w:rPr>
  </w:style>
  <w:style w:type="character" w:customStyle="1" w:styleId="Heading4Char">
    <w:name w:val="Heading 4 Char"/>
    <w:link w:val="Heading4"/>
    <w:semiHidden/>
    <w:rPr>
      <w:rFonts w:ascii="Times New Roman" w:eastAsia="Times New Roman" w:hAnsi="Times New Roman"/>
      <w:bCs/>
      <w:sz w:val="24"/>
      <w:szCs w:val="28"/>
      <w:lang w:eastAsia="en-US"/>
    </w:rPr>
  </w:style>
  <w:style w:type="character" w:styleId="Hyperlink">
    <w:name w:val="Hyperlink"/>
    <w:unhideWhenUsed/>
    <w:rPr>
      <w:rFonts w:ascii="Times New Roman" w:hAnsi="Times New Roman" w:cs="Times New Roman" w:hint="default"/>
      <w:color w:val="0000FF"/>
      <w:u w:val="single"/>
    </w:rPr>
  </w:style>
  <w:style w:type="character" w:styleId="FollowedHyperlink">
    <w:name w:val="FollowedHyperlink"/>
    <w:semiHidden/>
    <w:unhideWhenUsed/>
    <w:rPr>
      <w:color w:val="800080"/>
      <w:u w:val="single"/>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autoRedefine/>
    <w:semiHidden/>
    <w:unhideWhenUsed/>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autoRedefine/>
    <w:semiHidden/>
    <w:unhideWhenUsed/>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autoRedefine/>
    <w:semiHidden/>
    <w:unhideWhenUsed/>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autoRedefine/>
    <w:semiHidden/>
    <w:unhideWhenUsed/>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autoRedefine/>
    <w:semiHidden/>
    <w:unhideWhenUsed/>
    <w:pPr>
      <w:tabs>
        <w:tab w:val="right" w:leader="dot" w:pos="9071"/>
      </w:tabs>
      <w:spacing w:before="120" w:after="12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Pr>
      <w:rFonts w:ascii="Times New Roman" w:eastAsia="Times New Roman" w:hAnsi="Times New Roman"/>
      <w:lang w:eastAsia="en-US"/>
    </w:rPr>
  </w:style>
  <w:style w:type="paragraph" w:styleId="CommentText">
    <w:name w:val="annotation text"/>
    <w:basedOn w:val="Normal"/>
    <w:link w:val="CommentTextChar"/>
    <w:semiHidden/>
    <w:unhideWhenUsed/>
    <w:pPr>
      <w:spacing w:before="120" w:after="120" w:line="240" w:lineRule="auto"/>
      <w:jc w:val="both"/>
    </w:pPr>
    <w:rPr>
      <w:rFonts w:ascii="Times New Roman" w:eastAsia="Times New Roman" w:hAnsi="Times New Roman"/>
      <w:sz w:val="20"/>
      <w:szCs w:val="20"/>
      <w:lang w:eastAsia="en-GB"/>
    </w:rPr>
  </w:style>
  <w:style w:type="character" w:customStyle="1" w:styleId="CommentTextChar">
    <w:name w:val="Comment Text Char"/>
    <w:link w:val="CommentText"/>
    <w:semiHidden/>
    <w:rPr>
      <w:rFonts w:ascii="Times New Roman" w:eastAsia="Times New Roman" w:hAnsi="Times New Roman"/>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n-US"/>
    </w:rPr>
  </w:style>
  <w:style w:type="paragraph" w:styleId="Caption">
    <w:name w:val="caption"/>
    <w:basedOn w:val="Normal"/>
    <w:next w:val="Normal"/>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semiHidden/>
    <w:unhideWhenUsed/>
    <w:pPr>
      <w:spacing w:before="120" w:after="120" w:line="240" w:lineRule="auto"/>
      <w:jc w:val="both"/>
    </w:pPr>
    <w:rPr>
      <w:rFonts w:ascii="Times New Roman" w:eastAsia="Times New Roman" w:hAnsi="Times New Roman"/>
      <w:sz w:val="24"/>
      <w:szCs w:val="24"/>
    </w:rPr>
  </w:style>
  <w:style w:type="paragraph" w:styleId="EndnoteText">
    <w:name w:val="endnote text"/>
    <w:basedOn w:val="Normal"/>
    <w:link w:val="EndnoteTextChar"/>
    <w:semiHidden/>
    <w:unhideWhenUsed/>
    <w:pPr>
      <w:spacing w:before="120" w:after="120" w:line="240" w:lineRule="auto"/>
      <w:jc w:val="both"/>
    </w:pPr>
    <w:rPr>
      <w:rFonts w:ascii="Times New Roman" w:eastAsia="Times New Roman" w:hAnsi="Times New Roman"/>
      <w:sz w:val="20"/>
      <w:szCs w:val="20"/>
    </w:rPr>
  </w:style>
  <w:style w:type="character" w:customStyle="1" w:styleId="EndnoteTextChar">
    <w:name w:val="Endnote Text Char"/>
    <w:link w:val="EndnoteText"/>
    <w:semiHidden/>
    <w:rPr>
      <w:rFonts w:ascii="Times New Roman" w:eastAsia="Times New Roman" w:hAnsi="Times New Roman"/>
      <w:lang w:eastAsia="en-US"/>
    </w:rPr>
  </w:style>
  <w:style w:type="paragraph" w:styleId="ListBullet">
    <w:name w:val="List Bullet"/>
    <w:basedOn w:val="Normal"/>
    <w:semiHidden/>
    <w:unhideWhenUsed/>
    <w:pPr>
      <w:numPr>
        <w:numId w:val="2"/>
      </w:numPr>
      <w:spacing w:before="120" w:after="120" w:line="240" w:lineRule="auto"/>
      <w:jc w:val="both"/>
    </w:pPr>
    <w:rPr>
      <w:rFonts w:ascii="Times New Roman" w:eastAsia="Times New Roman" w:hAnsi="Times New Roman"/>
      <w:sz w:val="24"/>
      <w:szCs w:val="24"/>
      <w:lang w:eastAsia="de-DE"/>
    </w:rPr>
  </w:style>
  <w:style w:type="paragraph" w:styleId="ListNumber">
    <w:name w:val="List Number"/>
    <w:basedOn w:val="Normal"/>
    <w:semiHidden/>
    <w:unhideWhenUsed/>
    <w:pPr>
      <w:numPr>
        <w:numId w:val="3"/>
      </w:numPr>
      <w:spacing w:before="120" w:after="120" w:line="240" w:lineRule="auto"/>
      <w:jc w:val="both"/>
    </w:pPr>
    <w:rPr>
      <w:rFonts w:ascii="Times New Roman" w:eastAsia="Times New Roman" w:hAnsi="Times New Roman"/>
      <w:sz w:val="24"/>
      <w:szCs w:val="24"/>
      <w:lang w:eastAsia="de-DE"/>
    </w:rPr>
  </w:style>
  <w:style w:type="paragraph" w:styleId="ListBullet2">
    <w:name w:val="List Bullet 2"/>
    <w:basedOn w:val="Normal"/>
    <w:semiHidden/>
    <w:unhideWhenUsed/>
    <w:pPr>
      <w:numPr>
        <w:numId w:val="4"/>
      </w:numPr>
      <w:spacing w:before="120" w:after="120" w:line="240" w:lineRule="auto"/>
      <w:jc w:val="both"/>
    </w:pPr>
    <w:rPr>
      <w:rFonts w:ascii="Times New Roman" w:eastAsia="Times New Roman" w:hAnsi="Times New Roman"/>
      <w:sz w:val="24"/>
      <w:szCs w:val="24"/>
      <w:lang w:eastAsia="de-DE"/>
    </w:rPr>
  </w:style>
  <w:style w:type="paragraph" w:styleId="ListBullet3">
    <w:name w:val="List Bullet 3"/>
    <w:basedOn w:val="Normal"/>
    <w:semiHidden/>
    <w:unhideWhenUsed/>
    <w:pPr>
      <w:numPr>
        <w:numId w:val="5"/>
      </w:numPr>
      <w:spacing w:before="120" w:after="120" w:line="240" w:lineRule="auto"/>
      <w:jc w:val="both"/>
    </w:pPr>
    <w:rPr>
      <w:rFonts w:ascii="Times New Roman" w:eastAsia="Times New Roman" w:hAnsi="Times New Roman"/>
      <w:sz w:val="24"/>
      <w:szCs w:val="24"/>
      <w:lang w:eastAsia="de-DE"/>
    </w:rPr>
  </w:style>
  <w:style w:type="paragraph" w:styleId="ListBullet4">
    <w:name w:val="List Bullet 4"/>
    <w:basedOn w:val="Normal"/>
    <w:semiHidden/>
    <w:unhideWhenUsed/>
    <w:pPr>
      <w:numPr>
        <w:numId w:val="6"/>
      </w:numPr>
      <w:spacing w:before="120" w:after="120" w:line="240" w:lineRule="auto"/>
      <w:jc w:val="both"/>
    </w:pPr>
    <w:rPr>
      <w:rFonts w:ascii="Times New Roman" w:eastAsia="Times New Roman" w:hAnsi="Times New Roman"/>
      <w:sz w:val="24"/>
      <w:szCs w:val="24"/>
      <w:lang w:eastAsia="de-DE"/>
    </w:rPr>
  </w:style>
  <w:style w:type="paragraph" w:styleId="ListNumber2">
    <w:name w:val="List Number 2"/>
    <w:basedOn w:val="Normal"/>
    <w:semiHidden/>
    <w:unhideWhenUsed/>
    <w:pPr>
      <w:numPr>
        <w:numId w:val="7"/>
      </w:numPr>
      <w:spacing w:before="120" w:after="120" w:line="240" w:lineRule="auto"/>
      <w:jc w:val="both"/>
    </w:pPr>
    <w:rPr>
      <w:rFonts w:ascii="Times New Roman" w:eastAsia="Times New Roman" w:hAnsi="Times New Roman"/>
      <w:sz w:val="24"/>
      <w:szCs w:val="24"/>
      <w:lang w:eastAsia="de-DE"/>
    </w:rPr>
  </w:style>
  <w:style w:type="paragraph" w:styleId="ListNumber3">
    <w:name w:val="List Number 3"/>
    <w:basedOn w:val="Normal"/>
    <w:semiHidden/>
    <w:unhideWhenUsed/>
    <w:pPr>
      <w:numPr>
        <w:numId w:val="8"/>
      </w:numPr>
      <w:spacing w:before="120" w:after="120" w:line="240" w:lineRule="auto"/>
      <w:jc w:val="both"/>
    </w:pPr>
    <w:rPr>
      <w:rFonts w:ascii="Times New Roman" w:eastAsia="Times New Roman" w:hAnsi="Times New Roman"/>
      <w:sz w:val="24"/>
      <w:szCs w:val="24"/>
      <w:lang w:eastAsia="de-DE"/>
    </w:rPr>
  </w:style>
  <w:style w:type="paragraph" w:styleId="ListNumber4">
    <w:name w:val="List Number 4"/>
    <w:basedOn w:val="Normal"/>
    <w:semiHidden/>
    <w:unhideWhenUsed/>
    <w:pPr>
      <w:numPr>
        <w:numId w:val="9"/>
      </w:numPr>
      <w:spacing w:before="120" w:after="120" w:line="240" w:lineRule="auto"/>
      <w:jc w:val="both"/>
    </w:pPr>
    <w:rPr>
      <w:rFonts w:ascii="Times New Roman" w:eastAsia="Times New Roman" w:hAnsi="Times New Roman"/>
      <w:sz w:val="24"/>
      <w:szCs w:val="24"/>
      <w:lang w:eastAsia="de-DE"/>
    </w:rPr>
  </w:style>
  <w:style w:type="paragraph" w:styleId="CommentSubject">
    <w:name w:val="annotation subject"/>
    <w:basedOn w:val="CommentText"/>
    <w:next w:val="CommentText"/>
    <w:link w:val="CommentSubjectChar"/>
    <w:semiHidden/>
    <w:unhideWhenUsed/>
    <w:rPr>
      <w:b/>
      <w:bCs/>
      <w:lang w:eastAsia="de-DE"/>
    </w:rPr>
  </w:style>
  <w:style w:type="character" w:customStyle="1" w:styleId="CommentSubjectChar">
    <w:name w:val="Comment Subject Char"/>
    <w:link w:val="CommentSubject"/>
    <w:semiHidden/>
    <w:rPr>
      <w:rFonts w:ascii="Times New Roman" w:eastAsia="Times New Roman" w:hAnsi="Times New Roman"/>
      <w:b/>
      <w:bCs/>
      <w:lang w:eastAsia="de-DE"/>
    </w:rPr>
  </w:style>
  <w:style w:type="paragraph" w:styleId="BalloonText">
    <w:name w:val="Balloon Text"/>
    <w:basedOn w:val="Normal"/>
    <w:link w:val="BalloonTextChar"/>
    <w:semiHidden/>
    <w:unhideWhenUsed/>
    <w:pPr>
      <w:spacing w:before="120" w:after="120" w:line="240" w:lineRule="auto"/>
      <w:jc w:val="both"/>
    </w:pPr>
    <w:rPr>
      <w:rFonts w:ascii="Tahoma" w:eastAsia="Times New Roman" w:hAnsi="Tahoma" w:cs="Tahoma"/>
      <w:sz w:val="16"/>
      <w:szCs w:val="16"/>
      <w:lang w:eastAsia="de-DE"/>
    </w:rPr>
  </w:style>
  <w:style w:type="character" w:customStyle="1" w:styleId="BalloonTextChar">
    <w:name w:val="Balloon Text Char"/>
    <w:link w:val="BalloonText"/>
    <w:semiHidden/>
    <w:rPr>
      <w:rFonts w:ascii="Tahoma" w:eastAsia="Times New Roman" w:hAnsi="Tahoma" w:cs="Tahoma"/>
      <w:sz w:val="16"/>
      <w:szCs w:val="16"/>
      <w:lang w:eastAsia="de-DE"/>
    </w:rPr>
  </w:style>
  <w:style w:type="paragraph" w:styleId="Revision">
    <w:name w:val="Revision"/>
    <w:uiPriority w:val="99"/>
    <w:semiHidden/>
    <w:rPr>
      <w:rFonts w:ascii="Times New Roman" w:eastAsia="Times New Roman" w:hAnsi="Times New Roman"/>
      <w:sz w:val="24"/>
      <w:szCs w:val="24"/>
      <w:lang w:eastAsia="en-US"/>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b/>
      <w:sz w:val="28"/>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pPr>
      <w:numPr>
        <w:numId w:val="15"/>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pPr>
      <w:numPr>
        <w:ilvl w:val="1"/>
        <w:numId w:val="15"/>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pPr>
      <w:numPr>
        <w:ilvl w:val="2"/>
        <w:numId w:val="15"/>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pPr>
      <w:numPr>
        <w:ilvl w:val="3"/>
        <w:numId w:val="15"/>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b/>
      <w:sz w:val="24"/>
      <w:szCs w:val="24"/>
    </w:rPr>
  </w:style>
  <w:style w:type="paragraph" w:customStyle="1" w:styleId="Point0number">
    <w:name w:val="Point 0 (number)"/>
    <w:basedOn w:val="Normal"/>
    <w:pPr>
      <w:numPr>
        <w:numId w:val="16"/>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pPr>
      <w:numPr>
        <w:ilvl w:val="2"/>
        <w:numId w:val="16"/>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pPr>
      <w:numPr>
        <w:ilvl w:val="4"/>
        <w:numId w:val="16"/>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pPr>
      <w:numPr>
        <w:ilvl w:val="6"/>
        <w:numId w:val="16"/>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pPr>
      <w:numPr>
        <w:ilvl w:val="1"/>
        <w:numId w:val="16"/>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pPr>
      <w:numPr>
        <w:ilvl w:val="3"/>
        <w:numId w:val="16"/>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pPr>
      <w:numPr>
        <w:ilvl w:val="5"/>
        <w:numId w:val="16"/>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pPr>
      <w:numPr>
        <w:ilvl w:val="7"/>
        <w:numId w:val="16"/>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pPr>
      <w:numPr>
        <w:ilvl w:val="8"/>
        <w:numId w:val="16"/>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pPr>
      <w:numPr>
        <w:numId w:val="17"/>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pPr>
      <w:numPr>
        <w:numId w:val="18"/>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pPr>
      <w:numPr>
        <w:numId w:val="19"/>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pPr>
      <w:numPr>
        <w:numId w:val="20"/>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pPr>
      <w:numPr>
        <w:numId w:val="21"/>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sz w:val="24"/>
      <w:szCs w:val="24"/>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sz w:val="24"/>
      <w:szCs w:val="24"/>
    </w:rPr>
  </w:style>
  <w:style w:type="paragraph" w:customStyle="1" w:styleId="TypedudocumentPagedecouverture">
    <w:name w:val="Type du document (Page de couverture)"/>
    <w:basedOn w:val="Normal"/>
    <w:pPr>
      <w:spacing w:before="120" w:after="120" w:line="240" w:lineRule="auto"/>
      <w:jc w:val="both"/>
    </w:pPr>
    <w:rPr>
      <w:rFonts w:ascii="Times New Roman" w:eastAsia="Times New Roman" w:hAnsi="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i/>
      <w:sz w:val="32"/>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b/>
      <w:sz w:val="24"/>
      <w:szCs w:val="24"/>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Considrant">
    <w:name w:val="Considérant"/>
    <w:basedOn w:val="Normal"/>
    <w:pPr>
      <w:numPr>
        <w:numId w:val="22"/>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i/>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i/>
      <w:caps/>
      <w:sz w:val="24"/>
      <w:szCs w:val="24"/>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pPr>
      <w:spacing w:after="240"/>
    </w:p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b/>
      <w:sz w:val="24"/>
      <w:szCs w:val="24"/>
    </w:r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b/>
      <w:i/>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style>
  <w:style w:type="paragraph" w:customStyle="1" w:styleId="TypeacteprincipalPagedecouverture">
    <w:name w:val="Type acte principal (Page de couverture)"/>
    <w:basedOn w:val="Typeacteprincipal"/>
    <w:next w:val="ObjetacteprincipalPagedecouverture"/>
  </w:style>
  <w:style w:type="paragraph" w:customStyle="1" w:styleId="AccompagnantPagedecouverture">
    <w:name w:val="Accompagnant (Page de couverture)"/>
    <w:basedOn w:val="Accompagnant"/>
    <w:next w:val="Type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sz w:val="24"/>
      <w:szCs w:val="24"/>
    </w:rPr>
  </w:style>
  <w:style w:type="paragraph" w:customStyle="1" w:styleId="ListBullet1">
    <w:name w:val="List Bullet 1"/>
    <w:basedOn w:val="Normal"/>
    <w:pPr>
      <w:numPr>
        <w:numId w:val="23"/>
      </w:numPr>
      <w:spacing w:before="120" w:after="120" w:line="240" w:lineRule="auto"/>
      <w:jc w:val="both"/>
    </w:pPr>
    <w:rPr>
      <w:rFonts w:ascii="Times New Roman" w:eastAsia="Times New Roman" w:hAnsi="Times New Roman"/>
      <w:sz w:val="24"/>
      <w:szCs w:val="24"/>
      <w:lang w:eastAsia="de-DE"/>
    </w:rPr>
  </w:style>
  <w:style w:type="paragraph" w:customStyle="1" w:styleId="ListDash">
    <w:name w:val="List Dash"/>
    <w:basedOn w:val="Normal"/>
    <w:pPr>
      <w:numPr>
        <w:numId w:val="24"/>
      </w:numPr>
      <w:spacing w:before="120" w:after="120" w:line="240" w:lineRule="auto"/>
      <w:jc w:val="both"/>
    </w:pPr>
    <w:rPr>
      <w:rFonts w:ascii="Times New Roman" w:eastAsia="Times New Roman" w:hAnsi="Times New Roman"/>
      <w:sz w:val="24"/>
      <w:szCs w:val="24"/>
      <w:lang w:eastAsia="de-DE"/>
    </w:rPr>
  </w:style>
  <w:style w:type="paragraph" w:customStyle="1" w:styleId="ListDash1">
    <w:name w:val="List Dash 1"/>
    <w:basedOn w:val="Normal"/>
    <w:pPr>
      <w:numPr>
        <w:numId w:val="25"/>
      </w:numPr>
      <w:spacing w:before="120" w:after="120" w:line="240" w:lineRule="auto"/>
      <w:jc w:val="both"/>
    </w:pPr>
    <w:rPr>
      <w:rFonts w:ascii="Times New Roman" w:eastAsia="Times New Roman" w:hAnsi="Times New Roman"/>
      <w:sz w:val="24"/>
      <w:szCs w:val="24"/>
      <w:lang w:eastAsia="de-DE"/>
    </w:rPr>
  </w:style>
  <w:style w:type="paragraph" w:customStyle="1" w:styleId="ListDash2">
    <w:name w:val="List Dash 2"/>
    <w:basedOn w:val="Normal"/>
    <w:pPr>
      <w:numPr>
        <w:numId w:val="26"/>
      </w:numPr>
      <w:spacing w:before="120" w:after="120" w:line="240" w:lineRule="auto"/>
      <w:jc w:val="both"/>
    </w:pPr>
    <w:rPr>
      <w:rFonts w:ascii="Times New Roman" w:eastAsia="Times New Roman" w:hAnsi="Times New Roman"/>
      <w:sz w:val="24"/>
      <w:szCs w:val="24"/>
      <w:lang w:eastAsia="de-DE"/>
    </w:rPr>
  </w:style>
  <w:style w:type="paragraph" w:customStyle="1" w:styleId="ListDash3">
    <w:name w:val="List Dash 3"/>
    <w:basedOn w:val="Normal"/>
    <w:pPr>
      <w:numPr>
        <w:numId w:val="27"/>
      </w:numPr>
      <w:spacing w:before="120" w:after="120" w:line="240" w:lineRule="auto"/>
      <w:jc w:val="both"/>
    </w:pPr>
    <w:rPr>
      <w:rFonts w:ascii="Times New Roman" w:eastAsia="Times New Roman" w:hAnsi="Times New Roman"/>
      <w:sz w:val="24"/>
      <w:szCs w:val="24"/>
      <w:lang w:eastAsia="de-DE"/>
    </w:rPr>
  </w:style>
  <w:style w:type="paragraph" w:customStyle="1" w:styleId="ListDash4">
    <w:name w:val="List Dash 4"/>
    <w:basedOn w:val="Normal"/>
    <w:pPr>
      <w:numPr>
        <w:numId w:val="28"/>
      </w:numPr>
      <w:spacing w:before="120" w:after="120" w:line="240" w:lineRule="auto"/>
      <w:jc w:val="both"/>
    </w:pPr>
    <w:rPr>
      <w:rFonts w:ascii="Times New Roman" w:eastAsia="Times New Roman" w:hAnsi="Times New Roman"/>
      <w:sz w:val="24"/>
      <w:szCs w:val="24"/>
      <w:lang w:eastAsia="de-DE"/>
    </w:rPr>
  </w:style>
  <w:style w:type="paragraph" w:customStyle="1" w:styleId="ListNumber1">
    <w:name w:val="List Number 1"/>
    <w:basedOn w:val="Text1"/>
    <w:pPr>
      <w:numPr>
        <w:numId w:val="29"/>
      </w:numPr>
    </w:pPr>
    <w:rPr>
      <w:lang w:eastAsia="de-DE"/>
    </w:rPr>
  </w:style>
  <w:style w:type="paragraph" w:customStyle="1" w:styleId="ListNumberLevel2">
    <w:name w:val="List Number (Level 2)"/>
    <w:basedOn w:val="Normal"/>
    <w:pPr>
      <w:numPr>
        <w:ilvl w:val="1"/>
        <w:numId w:val="3"/>
      </w:numPr>
      <w:spacing w:before="120" w:after="120" w:line="240" w:lineRule="auto"/>
      <w:jc w:val="both"/>
    </w:pPr>
    <w:rPr>
      <w:rFonts w:ascii="Times New Roman" w:eastAsia="Times New Roman" w:hAnsi="Times New Roman"/>
      <w:sz w:val="24"/>
      <w:szCs w:val="24"/>
      <w:lang w:eastAsia="de-DE"/>
    </w:rPr>
  </w:style>
  <w:style w:type="paragraph" w:customStyle="1" w:styleId="ListNumber1Level2">
    <w:name w:val="List Number 1 (Level 2)"/>
    <w:basedOn w:val="Text1"/>
    <w:pPr>
      <w:numPr>
        <w:ilvl w:val="1"/>
        <w:numId w:val="29"/>
      </w:numPr>
    </w:pPr>
    <w:rPr>
      <w:lang w:eastAsia="de-DE"/>
    </w:rPr>
  </w:style>
  <w:style w:type="paragraph" w:customStyle="1" w:styleId="ListNumber2Level2">
    <w:name w:val="List Number 2 (Level 2)"/>
    <w:basedOn w:val="Text2"/>
    <w:pPr>
      <w:numPr>
        <w:ilvl w:val="1"/>
        <w:numId w:val="7"/>
      </w:numPr>
    </w:pPr>
    <w:rPr>
      <w:lang w:eastAsia="de-DE"/>
    </w:rPr>
  </w:style>
  <w:style w:type="paragraph" w:customStyle="1" w:styleId="ListNumber3Level2">
    <w:name w:val="List Number 3 (Level 2)"/>
    <w:basedOn w:val="Text3"/>
    <w:pPr>
      <w:numPr>
        <w:ilvl w:val="1"/>
        <w:numId w:val="8"/>
      </w:numPr>
    </w:pPr>
    <w:rPr>
      <w:lang w:eastAsia="de-DE"/>
    </w:rPr>
  </w:style>
  <w:style w:type="paragraph" w:customStyle="1" w:styleId="ListNumber4Level2">
    <w:name w:val="List Number 4 (Level 2)"/>
    <w:basedOn w:val="Text4"/>
    <w:pPr>
      <w:numPr>
        <w:ilvl w:val="1"/>
        <w:numId w:val="9"/>
      </w:numPr>
    </w:pPr>
    <w:rPr>
      <w:lang w:eastAsia="de-DE"/>
    </w:rPr>
  </w:style>
  <w:style w:type="paragraph" w:customStyle="1" w:styleId="ListNumberLevel3">
    <w:name w:val="List Number (Level 3)"/>
    <w:basedOn w:val="Normal"/>
    <w:pPr>
      <w:numPr>
        <w:ilvl w:val="2"/>
        <w:numId w:val="3"/>
      </w:numPr>
      <w:spacing w:before="120" w:after="120" w:line="240" w:lineRule="auto"/>
      <w:jc w:val="both"/>
    </w:pPr>
    <w:rPr>
      <w:rFonts w:ascii="Times New Roman" w:eastAsia="Times New Roman" w:hAnsi="Times New Roman"/>
      <w:sz w:val="24"/>
      <w:szCs w:val="24"/>
      <w:lang w:eastAsia="de-DE"/>
    </w:rPr>
  </w:style>
  <w:style w:type="paragraph" w:customStyle="1" w:styleId="ListNumber1Level3">
    <w:name w:val="List Number 1 (Level 3)"/>
    <w:basedOn w:val="Text1"/>
    <w:pPr>
      <w:numPr>
        <w:ilvl w:val="2"/>
        <w:numId w:val="29"/>
      </w:numPr>
    </w:pPr>
    <w:rPr>
      <w:lang w:eastAsia="de-DE"/>
    </w:rPr>
  </w:style>
  <w:style w:type="paragraph" w:customStyle="1" w:styleId="ListNumber2Level3">
    <w:name w:val="List Number 2 (Level 3)"/>
    <w:basedOn w:val="Text2"/>
    <w:pPr>
      <w:numPr>
        <w:ilvl w:val="2"/>
        <w:numId w:val="7"/>
      </w:numPr>
    </w:pPr>
    <w:rPr>
      <w:lang w:eastAsia="de-DE"/>
    </w:rPr>
  </w:style>
  <w:style w:type="paragraph" w:customStyle="1" w:styleId="ListNumber3Level3">
    <w:name w:val="List Number 3 (Level 3)"/>
    <w:basedOn w:val="Text3"/>
    <w:pPr>
      <w:numPr>
        <w:ilvl w:val="2"/>
        <w:numId w:val="8"/>
      </w:numPr>
    </w:pPr>
    <w:rPr>
      <w:lang w:eastAsia="de-DE"/>
    </w:rPr>
  </w:style>
  <w:style w:type="paragraph" w:customStyle="1" w:styleId="ListNumber4Level3">
    <w:name w:val="List Number 4 (Level 3)"/>
    <w:basedOn w:val="Text4"/>
    <w:pPr>
      <w:numPr>
        <w:ilvl w:val="2"/>
        <w:numId w:val="9"/>
      </w:numPr>
    </w:pPr>
    <w:rPr>
      <w:lang w:eastAsia="de-DE"/>
    </w:rPr>
  </w:style>
  <w:style w:type="paragraph" w:customStyle="1" w:styleId="ListNumberLevel4">
    <w:name w:val="List Number (Level 4)"/>
    <w:basedOn w:val="Normal"/>
    <w:pPr>
      <w:numPr>
        <w:ilvl w:val="3"/>
        <w:numId w:val="3"/>
      </w:numPr>
      <w:spacing w:before="120" w:after="120" w:line="240" w:lineRule="auto"/>
      <w:jc w:val="both"/>
    </w:pPr>
    <w:rPr>
      <w:rFonts w:ascii="Times New Roman" w:eastAsia="Times New Roman" w:hAnsi="Times New Roman"/>
      <w:sz w:val="24"/>
      <w:szCs w:val="24"/>
      <w:lang w:eastAsia="de-DE"/>
    </w:rPr>
  </w:style>
  <w:style w:type="paragraph" w:customStyle="1" w:styleId="ListNumber1Level4">
    <w:name w:val="List Number 1 (Level 4)"/>
    <w:basedOn w:val="Text1"/>
    <w:pPr>
      <w:numPr>
        <w:ilvl w:val="3"/>
        <w:numId w:val="29"/>
      </w:numPr>
    </w:pPr>
    <w:rPr>
      <w:lang w:eastAsia="de-DE"/>
    </w:rPr>
  </w:style>
  <w:style w:type="paragraph" w:customStyle="1" w:styleId="ListNumber2Level4">
    <w:name w:val="List Number 2 (Level 4)"/>
    <w:basedOn w:val="Text2"/>
    <w:pPr>
      <w:numPr>
        <w:ilvl w:val="3"/>
        <w:numId w:val="7"/>
      </w:numPr>
    </w:pPr>
    <w:rPr>
      <w:lang w:eastAsia="de-DE"/>
    </w:rPr>
  </w:style>
  <w:style w:type="paragraph" w:customStyle="1" w:styleId="ListNumber3Level4">
    <w:name w:val="List Number 3 (Level 4)"/>
    <w:basedOn w:val="Text3"/>
    <w:pPr>
      <w:numPr>
        <w:ilvl w:val="3"/>
        <w:numId w:val="8"/>
      </w:numPr>
    </w:pPr>
    <w:rPr>
      <w:lang w:eastAsia="de-DE"/>
    </w:rPr>
  </w:style>
  <w:style w:type="paragraph" w:customStyle="1" w:styleId="ListNumber4Level4">
    <w:name w:val="List Number 4 (Level 4)"/>
    <w:basedOn w:val="Text4"/>
    <w:pPr>
      <w:numPr>
        <w:ilvl w:val="3"/>
        <w:numId w:val="9"/>
      </w:numPr>
    </w:pPr>
    <w:rPr>
      <w:lang w:eastAsia="de-DE"/>
    </w:rPr>
  </w:style>
  <w:style w:type="paragraph" w:customStyle="1" w:styleId="Rfrenceinterinstitutionelleprliminaire">
    <w:name w:val="Référence interinstitutionelle (préliminaire)"/>
    <w:basedOn w:val="Normal"/>
    <w:next w:val="Normal"/>
    <w:pPr>
      <w:spacing w:after="0" w:line="240" w:lineRule="auto"/>
      <w:ind w:left="5103"/>
    </w:pPr>
    <w:rPr>
      <w:rFonts w:ascii="Times New Roman" w:eastAsia="Times New Roman" w:hAnsi="Times New Roman"/>
      <w:sz w:val="24"/>
      <w:szCs w:val="24"/>
      <w:lang w:eastAsia="de-DE"/>
    </w:rPr>
  </w:style>
  <w:style w:type="paragraph" w:customStyle="1" w:styleId="Sous-titreobjetprliminaire">
    <w:name w:val="Sous-titre objet (préliminaire)"/>
    <w:basedOn w:val="Normal"/>
    <w:pPr>
      <w:spacing w:after="0" w:line="240" w:lineRule="auto"/>
      <w:jc w:val="center"/>
    </w:pPr>
    <w:rPr>
      <w:rFonts w:ascii="Times New Roman" w:eastAsia="Times New Roman" w:hAnsi="Times New Roman"/>
      <w:b/>
      <w:sz w:val="24"/>
      <w:szCs w:val="24"/>
      <w:lang w:eastAsia="de-DE"/>
    </w:rPr>
  </w:style>
  <w:style w:type="paragraph" w:customStyle="1" w:styleId="Statutprliminaire">
    <w:name w:val="Statut (préliminaire)"/>
    <w:basedOn w:val="Normal"/>
    <w:next w:val="Normal"/>
    <w:pPr>
      <w:spacing w:before="360" w:after="0" w:line="240" w:lineRule="auto"/>
      <w:jc w:val="center"/>
    </w:pPr>
    <w:rPr>
      <w:rFonts w:ascii="Times New Roman" w:eastAsia="Times New Roman" w:hAnsi="Times New Roman"/>
      <w:sz w:val="24"/>
      <w:szCs w:val="24"/>
      <w:lang w:eastAsia="de-DE"/>
    </w:rPr>
  </w:style>
  <w:style w:type="paragraph" w:customStyle="1" w:styleId="Titreobjetprliminaire">
    <w:name w:val="Titre objet (préliminaire)"/>
    <w:basedOn w:val="Normal"/>
    <w:next w:val="Normal"/>
    <w:pPr>
      <w:spacing w:before="360" w:after="360" w:line="240" w:lineRule="auto"/>
      <w:jc w:val="center"/>
    </w:pPr>
    <w:rPr>
      <w:rFonts w:ascii="Times New Roman" w:eastAsia="Times New Roman" w:hAnsi="Times New Roman"/>
      <w:b/>
      <w:sz w:val="24"/>
      <w:szCs w:val="24"/>
      <w:lang w:eastAsia="de-DE"/>
    </w:rPr>
  </w:style>
  <w:style w:type="paragraph" w:customStyle="1" w:styleId="Typedudocumentprliminaire">
    <w:name w:val="Type du document (préliminaire)"/>
    <w:basedOn w:val="Normal"/>
    <w:next w:val="Normal"/>
    <w:pPr>
      <w:spacing w:before="360" w:after="0" w:line="240" w:lineRule="auto"/>
      <w:jc w:val="center"/>
    </w:pPr>
    <w:rPr>
      <w:rFonts w:ascii="Times New Roman" w:eastAsia="Times New Roman" w:hAnsi="Times New Roman"/>
      <w:b/>
      <w:sz w:val="24"/>
      <w:szCs w:val="24"/>
      <w:lang w:eastAsia="de-DE"/>
    </w:rPr>
  </w:style>
  <w:style w:type="paragraph" w:customStyle="1" w:styleId="c19marge1">
    <w:name w:val="c19marge1"/>
    <w:basedOn w:val="Normal"/>
    <w:pPr>
      <w:spacing w:after="240" w:line="240" w:lineRule="auto"/>
      <w:ind w:left="1247"/>
      <w:jc w:val="both"/>
    </w:pPr>
    <w:rPr>
      <w:rFonts w:ascii="Times New Roman" w:eastAsia="Times New Roman" w:hAnsi="Times New Roman"/>
      <w:sz w:val="24"/>
      <w:szCs w:val="24"/>
      <w:lang w:eastAsia="en-GB"/>
    </w:rPr>
  </w:style>
  <w:style w:type="paragraph" w:customStyle="1" w:styleId="c08dispositif">
    <w:name w:val="c08dispositif"/>
    <w:basedOn w:val="Normal"/>
    <w:pPr>
      <w:spacing w:before="100" w:beforeAutospacing="1" w:after="240" w:line="240" w:lineRule="auto"/>
      <w:ind w:left="1134" w:hanging="567"/>
      <w:jc w:val="both"/>
    </w:pPr>
    <w:rPr>
      <w:rFonts w:ascii="Times New Roman" w:eastAsia="Times New Roman" w:hAnsi="Times New Roman"/>
      <w:b/>
      <w:bCs/>
      <w:sz w:val="24"/>
      <w:szCs w:val="24"/>
      <w:lang w:eastAsia="en-GB"/>
    </w:r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character" w:styleId="FootnoteReference">
    <w:name w:val="footnote reference"/>
    <w:uiPriority w:val="99"/>
    <w:semiHidden/>
    <w:unhideWhenUsed/>
    <w:rPr>
      <w:vertAlign w:val="superscript"/>
    </w:rPr>
  </w:style>
  <w:style w:type="character" w:styleId="CommentReference">
    <w:name w:val="annotation reference"/>
    <w:semiHidden/>
    <w:unhideWhenUsed/>
    <w:rPr>
      <w:rFonts w:ascii="Times New Roman" w:hAnsi="Times New Roman" w:cs="Times New Roman" w:hint="default"/>
      <w:sz w:val="16"/>
    </w:rPr>
  </w:style>
  <w:style w:type="character" w:styleId="EndnoteReference">
    <w:name w:val="endnote reference"/>
    <w:semiHidden/>
    <w:unhideWhenUsed/>
    <w:rPr>
      <w:vertAlign w:val="superscript"/>
    </w:r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character" w:customStyle="1" w:styleId="Added">
    <w:name w:val="Added"/>
    <w:rPr>
      <w:b/>
      <w:bCs w:val="0"/>
      <w:u w:val="single"/>
    </w:rPr>
  </w:style>
  <w:style w:type="character" w:customStyle="1" w:styleId="Deleted">
    <w:name w:val="Deleted"/>
    <w:rPr>
      <w:strike/>
    </w:rPr>
  </w:style>
  <w:style w:type="table" w:styleId="TableGrid">
    <w:name w:val="Table Grid"/>
    <w:basedOn w:val="TableNormal"/>
    <w:pPr>
      <w:spacing w:before="120" w:after="12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character" w:styleId="Strong">
    <w:name w:val="Strong"/>
    <w:uiPriority w:val="22"/>
    <w:qFormat/>
    <w:rPr>
      <w:b/>
      <w:bCs/>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table of figures" w:uiPriority="0"/>
    <w:lsdException w:name="annotation reference"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b/>
      <w:bCs/>
      <w:smallCaps/>
      <w:sz w:val="24"/>
      <w:szCs w:val="32"/>
      <w:lang w:eastAsia="en-US"/>
    </w:rPr>
  </w:style>
  <w:style w:type="character" w:customStyle="1" w:styleId="Heading2Char">
    <w:name w:val="Heading 2 Char"/>
    <w:link w:val="Heading2"/>
    <w:rPr>
      <w:rFonts w:ascii="Times New Roman" w:eastAsia="Times New Roman" w:hAnsi="Times New Roman"/>
      <w:b/>
      <w:bCs/>
      <w:iCs/>
      <w:sz w:val="24"/>
      <w:szCs w:val="28"/>
      <w:lang w:eastAsia="en-US"/>
    </w:rPr>
  </w:style>
  <w:style w:type="character" w:customStyle="1" w:styleId="Heading3Char">
    <w:name w:val="Heading 3 Char"/>
    <w:link w:val="Heading3"/>
    <w:semiHidden/>
    <w:rPr>
      <w:rFonts w:ascii="Times New Roman" w:eastAsia="Times New Roman" w:hAnsi="Times New Roman"/>
      <w:bCs/>
      <w:i/>
      <w:sz w:val="24"/>
      <w:szCs w:val="26"/>
      <w:lang w:eastAsia="en-US"/>
    </w:rPr>
  </w:style>
  <w:style w:type="character" w:customStyle="1" w:styleId="Heading4Char">
    <w:name w:val="Heading 4 Char"/>
    <w:link w:val="Heading4"/>
    <w:semiHidden/>
    <w:rPr>
      <w:rFonts w:ascii="Times New Roman" w:eastAsia="Times New Roman" w:hAnsi="Times New Roman"/>
      <w:bCs/>
      <w:sz w:val="24"/>
      <w:szCs w:val="28"/>
      <w:lang w:eastAsia="en-US"/>
    </w:rPr>
  </w:style>
  <w:style w:type="character" w:styleId="Hyperlink">
    <w:name w:val="Hyperlink"/>
    <w:unhideWhenUsed/>
    <w:rPr>
      <w:rFonts w:ascii="Times New Roman" w:hAnsi="Times New Roman" w:cs="Times New Roman" w:hint="default"/>
      <w:color w:val="0000FF"/>
      <w:u w:val="single"/>
    </w:rPr>
  </w:style>
  <w:style w:type="character" w:styleId="FollowedHyperlink">
    <w:name w:val="FollowedHyperlink"/>
    <w:semiHidden/>
    <w:unhideWhenUsed/>
    <w:rPr>
      <w:color w:val="800080"/>
      <w:u w:val="single"/>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autoRedefine/>
    <w:semiHidden/>
    <w:unhideWhenUsed/>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autoRedefine/>
    <w:semiHidden/>
    <w:unhideWhenUsed/>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autoRedefine/>
    <w:semiHidden/>
    <w:unhideWhenUsed/>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autoRedefine/>
    <w:semiHidden/>
    <w:unhideWhenUsed/>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autoRedefine/>
    <w:semiHidden/>
    <w:unhideWhenUsed/>
    <w:pPr>
      <w:tabs>
        <w:tab w:val="right" w:leader="dot" w:pos="9071"/>
      </w:tabs>
      <w:spacing w:before="120" w:after="12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Pr>
      <w:rFonts w:ascii="Times New Roman" w:eastAsia="Times New Roman" w:hAnsi="Times New Roman"/>
      <w:lang w:eastAsia="en-US"/>
    </w:rPr>
  </w:style>
  <w:style w:type="paragraph" w:styleId="CommentText">
    <w:name w:val="annotation text"/>
    <w:basedOn w:val="Normal"/>
    <w:link w:val="CommentTextChar"/>
    <w:semiHidden/>
    <w:unhideWhenUsed/>
    <w:pPr>
      <w:spacing w:before="120" w:after="120" w:line="240" w:lineRule="auto"/>
      <w:jc w:val="both"/>
    </w:pPr>
    <w:rPr>
      <w:rFonts w:ascii="Times New Roman" w:eastAsia="Times New Roman" w:hAnsi="Times New Roman"/>
      <w:sz w:val="20"/>
      <w:szCs w:val="20"/>
      <w:lang w:eastAsia="en-GB"/>
    </w:rPr>
  </w:style>
  <w:style w:type="character" w:customStyle="1" w:styleId="CommentTextChar">
    <w:name w:val="Comment Text Char"/>
    <w:link w:val="CommentText"/>
    <w:semiHidden/>
    <w:rPr>
      <w:rFonts w:ascii="Times New Roman" w:eastAsia="Times New Roman" w:hAnsi="Times New Roman"/>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n-US"/>
    </w:rPr>
  </w:style>
  <w:style w:type="paragraph" w:styleId="Caption">
    <w:name w:val="caption"/>
    <w:basedOn w:val="Normal"/>
    <w:next w:val="Normal"/>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semiHidden/>
    <w:unhideWhenUsed/>
    <w:pPr>
      <w:spacing w:before="120" w:after="120" w:line="240" w:lineRule="auto"/>
      <w:jc w:val="both"/>
    </w:pPr>
    <w:rPr>
      <w:rFonts w:ascii="Times New Roman" w:eastAsia="Times New Roman" w:hAnsi="Times New Roman"/>
      <w:sz w:val="24"/>
      <w:szCs w:val="24"/>
    </w:rPr>
  </w:style>
  <w:style w:type="paragraph" w:styleId="EndnoteText">
    <w:name w:val="endnote text"/>
    <w:basedOn w:val="Normal"/>
    <w:link w:val="EndnoteTextChar"/>
    <w:semiHidden/>
    <w:unhideWhenUsed/>
    <w:pPr>
      <w:spacing w:before="120" w:after="120" w:line="240" w:lineRule="auto"/>
      <w:jc w:val="both"/>
    </w:pPr>
    <w:rPr>
      <w:rFonts w:ascii="Times New Roman" w:eastAsia="Times New Roman" w:hAnsi="Times New Roman"/>
      <w:sz w:val="20"/>
      <w:szCs w:val="20"/>
    </w:rPr>
  </w:style>
  <w:style w:type="character" w:customStyle="1" w:styleId="EndnoteTextChar">
    <w:name w:val="Endnote Text Char"/>
    <w:link w:val="EndnoteText"/>
    <w:semiHidden/>
    <w:rPr>
      <w:rFonts w:ascii="Times New Roman" w:eastAsia="Times New Roman" w:hAnsi="Times New Roman"/>
      <w:lang w:eastAsia="en-US"/>
    </w:rPr>
  </w:style>
  <w:style w:type="paragraph" w:styleId="ListBullet">
    <w:name w:val="List Bullet"/>
    <w:basedOn w:val="Normal"/>
    <w:semiHidden/>
    <w:unhideWhenUsed/>
    <w:pPr>
      <w:numPr>
        <w:numId w:val="2"/>
      </w:numPr>
      <w:spacing w:before="120" w:after="120" w:line="240" w:lineRule="auto"/>
      <w:jc w:val="both"/>
    </w:pPr>
    <w:rPr>
      <w:rFonts w:ascii="Times New Roman" w:eastAsia="Times New Roman" w:hAnsi="Times New Roman"/>
      <w:sz w:val="24"/>
      <w:szCs w:val="24"/>
      <w:lang w:eastAsia="de-DE"/>
    </w:rPr>
  </w:style>
  <w:style w:type="paragraph" w:styleId="ListNumber">
    <w:name w:val="List Number"/>
    <w:basedOn w:val="Normal"/>
    <w:semiHidden/>
    <w:unhideWhenUsed/>
    <w:pPr>
      <w:numPr>
        <w:numId w:val="3"/>
      </w:numPr>
      <w:spacing w:before="120" w:after="120" w:line="240" w:lineRule="auto"/>
      <w:jc w:val="both"/>
    </w:pPr>
    <w:rPr>
      <w:rFonts w:ascii="Times New Roman" w:eastAsia="Times New Roman" w:hAnsi="Times New Roman"/>
      <w:sz w:val="24"/>
      <w:szCs w:val="24"/>
      <w:lang w:eastAsia="de-DE"/>
    </w:rPr>
  </w:style>
  <w:style w:type="paragraph" w:styleId="ListBullet2">
    <w:name w:val="List Bullet 2"/>
    <w:basedOn w:val="Normal"/>
    <w:semiHidden/>
    <w:unhideWhenUsed/>
    <w:pPr>
      <w:numPr>
        <w:numId w:val="4"/>
      </w:numPr>
      <w:spacing w:before="120" w:after="120" w:line="240" w:lineRule="auto"/>
      <w:jc w:val="both"/>
    </w:pPr>
    <w:rPr>
      <w:rFonts w:ascii="Times New Roman" w:eastAsia="Times New Roman" w:hAnsi="Times New Roman"/>
      <w:sz w:val="24"/>
      <w:szCs w:val="24"/>
      <w:lang w:eastAsia="de-DE"/>
    </w:rPr>
  </w:style>
  <w:style w:type="paragraph" w:styleId="ListBullet3">
    <w:name w:val="List Bullet 3"/>
    <w:basedOn w:val="Normal"/>
    <w:semiHidden/>
    <w:unhideWhenUsed/>
    <w:pPr>
      <w:numPr>
        <w:numId w:val="5"/>
      </w:numPr>
      <w:spacing w:before="120" w:after="120" w:line="240" w:lineRule="auto"/>
      <w:jc w:val="both"/>
    </w:pPr>
    <w:rPr>
      <w:rFonts w:ascii="Times New Roman" w:eastAsia="Times New Roman" w:hAnsi="Times New Roman"/>
      <w:sz w:val="24"/>
      <w:szCs w:val="24"/>
      <w:lang w:eastAsia="de-DE"/>
    </w:rPr>
  </w:style>
  <w:style w:type="paragraph" w:styleId="ListBullet4">
    <w:name w:val="List Bullet 4"/>
    <w:basedOn w:val="Normal"/>
    <w:semiHidden/>
    <w:unhideWhenUsed/>
    <w:pPr>
      <w:numPr>
        <w:numId w:val="6"/>
      </w:numPr>
      <w:spacing w:before="120" w:after="120" w:line="240" w:lineRule="auto"/>
      <w:jc w:val="both"/>
    </w:pPr>
    <w:rPr>
      <w:rFonts w:ascii="Times New Roman" w:eastAsia="Times New Roman" w:hAnsi="Times New Roman"/>
      <w:sz w:val="24"/>
      <w:szCs w:val="24"/>
      <w:lang w:eastAsia="de-DE"/>
    </w:rPr>
  </w:style>
  <w:style w:type="paragraph" w:styleId="ListNumber2">
    <w:name w:val="List Number 2"/>
    <w:basedOn w:val="Normal"/>
    <w:semiHidden/>
    <w:unhideWhenUsed/>
    <w:pPr>
      <w:numPr>
        <w:numId w:val="7"/>
      </w:numPr>
      <w:spacing w:before="120" w:after="120" w:line="240" w:lineRule="auto"/>
      <w:jc w:val="both"/>
    </w:pPr>
    <w:rPr>
      <w:rFonts w:ascii="Times New Roman" w:eastAsia="Times New Roman" w:hAnsi="Times New Roman"/>
      <w:sz w:val="24"/>
      <w:szCs w:val="24"/>
      <w:lang w:eastAsia="de-DE"/>
    </w:rPr>
  </w:style>
  <w:style w:type="paragraph" w:styleId="ListNumber3">
    <w:name w:val="List Number 3"/>
    <w:basedOn w:val="Normal"/>
    <w:semiHidden/>
    <w:unhideWhenUsed/>
    <w:pPr>
      <w:numPr>
        <w:numId w:val="8"/>
      </w:numPr>
      <w:spacing w:before="120" w:after="120" w:line="240" w:lineRule="auto"/>
      <w:jc w:val="both"/>
    </w:pPr>
    <w:rPr>
      <w:rFonts w:ascii="Times New Roman" w:eastAsia="Times New Roman" w:hAnsi="Times New Roman"/>
      <w:sz w:val="24"/>
      <w:szCs w:val="24"/>
      <w:lang w:eastAsia="de-DE"/>
    </w:rPr>
  </w:style>
  <w:style w:type="paragraph" w:styleId="ListNumber4">
    <w:name w:val="List Number 4"/>
    <w:basedOn w:val="Normal"/>
    <w:semiHidden/>
    <w:unhideWhenUsed/>
    <w:pPr>
      <w:numPr>
        <w:numId w:val="9"/>
      </w:numPr>
      <w:spacing w:before="120" w:after="120" w:line="240" w:lineRule="auto"/>
      <w:jc w:val="both"/>
    </w:pPr>
    <w:rPr>
      <w:rFonts w:ascii="Times New Roman" w:eastAsia="Times New Roman" w:hAnsi="Times New Roman"/>
      <w:sz w:val="24"/>
      <w:szCs w:val="24"/>
      <w:lang w:eastAsia="de-DE"/>
    </w:rPr>
  </w:style>
  <w:style w:type="paragraph" w:styleId="CommentSubject">
    <w:name w:val="annotation subject"/>
    <w:basedOn w:val="CommentText"/>
    <w:next w:val="CommentText"/>
    <w:link w:val="CommentSubjectChar"/>
    <w:semiHidden/>
    <w:unhideWhenUsed/>
    <w:rPr>
      <w:b/>
      <w:bCs/>
      <w:lang w:eastAsia="de-DE"/>
    </w:rPr>
  </w:style>
  <w:style w:type="character" w:customStyle="1" w:styleId="CommentSubjectChar">
    <w:name w:val="Comment Subject Char"/>
    <w:link w:val="CommentSubject"/>
    <w:semiHidden/>
    <w:rPr>
      <w:rFonts w:ascii="Times New Roman" w:eastAsia="Times New Roman" w:hAnsi="Times New Roman"/>
      <w:b/>
      <w:bCs/>
      <w:lang w:eastAsia="de-DE"/>
    </w:rPr>
  </w:style>
  <w:style w:type="paragraph" w:styleId="BalloonText">
    <w:name w:val="Balloon Text"/>
    <w:basedOn w:val="Normal"/>
    <w:link w:val="BalloonTextChar"/>
    <w:semiHidden/>
    <w:unhideWhenUsed/>
    <w:pPr>
      <w:spacing w:before="120" w:after="120" w:line="240" w:lineRule="auto"/>
      <w:jc w:val="both"/>
    </w:pPr>
    <w:rPr>
      <w:rFonts w:ascii="Tahoma" w:eastAsia="Times New Roman" w:hAnsi="Tahoma" w:cs="Tahoma"/>
      <w:sz w:val="16"/>
      <w:szCs w:val="16"/>
      <w:lang w:eastAsia="de-DE"/>
    </w:rPr>
  </w:style>
  <w:style w:type="character" w:customStyle="1" w:styleId="BalloonTextChar">
    <w:name w:val="Balloon Text Char"/>
    <w:link w:val="BalloonText"/>
    <w:semiHidden/>
    <w:rPr>
      <w:rFonts w:ascii="Tahoma" w:eastAsia="Times New Roman" w:hAnsi="Tahoma" w:cs="Tahoma"/>
      <w:sz w:val="16"/>
      <w:szCs w:val="16"/>
      <w:lang w:eastAsia="de-DE"/>
    </w:rPr>
  </w:style>
  <w:style w:type="paragraph" w:styleId="Revision">
    <w:name w:val="Revision"/>
    <w:uiPriority w:val="99"/>
    <w:semiHidden/>
    <w:rPr>
      <w:rFonts w:ascii="Times New Roman" w:eastAsia="Times New Roman" w:hAnsi="Times New Roman"/>
      <w:sz w:val="24"/>
      <w:szCs w:val="24"/>
      <w:lang w:eastAsia="en-US"/>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b/>
      <w:sz w:val="28"/>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pPr>
      <w:numPr>
        <w:numId w:val="15"/>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pPr>
      <w:numPr>
        <w:ilvl w:val="1"/>
        <w:numId w:val="15"/>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pPr>
      <w:numPr>
        <w:ilvl w:val="2"/>
        <w:numId w:val="15"/>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pPr>
      <w:numPr>
        <w:ilvl w:val="3"/>
        <w:numId w:val="15"/>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b/>
      <w:sz w:val="24"/>
      <w:szCs w:val="24"/>
    </w:rPr>
  </w:style>
  <w:style w:type="paragraph" w:customStyle="1" w:styleId="Point0number">
    <w:name w:val="Point 0 (number)"/>
    <w:basedOn w:val="Normal"/>
    <w:pPr>
      <w:numPr>
        <w:numId w:val="16"/>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pPr>
      <w:numPr>
        <w:ilvl w:val="2"/>
        <w:numId w:val="16"/>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pPr>
      <w:numPr>
        <w:ilvl w:val="4"/>
        <w:numId w:val="16"/>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pPr>
      <w:numPr>
        <w:ilvl w:val="6"/>
        <w:numId w:val="16"/>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pPr>
      <w:numPr>
        <w:ilvl w:val="1"/>
        <w:numId w:val="16"/>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pPr>
      <w:numPr>
        <w:ilvl w:val="3"/>
        <w:numId w:val="16"/>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pPr>
      <w:numPr>
        <w:ilvl w:val="5"/>
        <w:numId w:val="16"/>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pPr>
      <w:numPr>
        <w:ilvl w:val="7"/>
        <w:numId w:val="16"/>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pPr>
      <w:numPr>
        <w:ilvl w:val="8"/>
        <w:numId w:val="16"/>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pPr>
      <w:numPr>
        <w:numId w:val="17"/>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pPr>
      <w:numPr>
        <w:numId w:val="18"/>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pPr>
      <w:numPr>
        <w:numId w:val="19"/>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pPr>
      <w:numPr>
        <w:numId w:val="20"/>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pPr>
      <w:numPr>
        <w:numId w:val="21"/>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sz w:val="24"/>
      <w:szCs w:val="24"/>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sz w:val="24"/>
      <w:szCs w:val="24"/>
    </w:rPr>
  </w:style>
  <w:style w:type="paragraph" w:customStyle="1" w:styleId="TypedudocumentPagedecouverture">
    <w:name w:val="Type du document (Page de couverture)"/>
    <w:basedOn w:val="Normal"/>
    <w:pPr>
      <w:spacing w:before="120" w:after="120" w:line="240" w:lineRule="auto"/>
      <w:jc w:val="both"/>
    </w:pPr>
    <w:rPr>
      <w:rFonts w:ascii="Times New Roman" w:eastAsia="Times New Roman" w:hAnsi="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i/>
      <w:sz w:val="32"/>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b/>
      <w:sz w:val="24"/>
      <w:szCs w:val="24"/>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Considrant">
    <w:name w:val="Considérant"/>
    <w:basedOn w:val="Normal"/>
    <w:pPr>
      <w:numPr>
        <w:numId w:val="22"/>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i/>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i/>
      <w:caps/>
      <w:sz w:val="24"/>
      <w:szCs w:val="24"/>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pPr>
      <w:spacing w:after="240"/>
    </w:p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b/>
      <w:sz w:val="24"/>
      <w:szCs w:val="24"/>
    </w:r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b/>
      <w:i/>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style>
  <w:style w:type="paragraph" w:customStyle="1" w:styleId="TypeacteprincipalPagedecouverture">
    <w:name w:val="Type acte principal (Page de couverture)"/>
    <w:basedOn w:val="Typeacteprincipal"/>
    <w:next w:val="ObjetacteprincipalPagedecouverture"/>
  </w:style>
  <w:style w:type="paragraph" w:customStyle="1" w:styleId="AccompagnantPagedecouverture">
    <w:name w:val="Accompagnant (Page de couverture)"/>
    <w:basedOn w:val="Accompagnant"/>
    <w:next w:val="Type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sz w:val="24"/>
      <w:szCs w:val="24"/>
    </w:rPr>
  </w:style>
  <w:style w:type="paragraph" w:customStyle="1" w:styleId="ListBullet1">
    <w:name w:val="List Bullet 1"/>
    <w:basedOn w:val="Normal"/>
    <w:pPr>
      <w:numPr>
        <w:numId w:val="23"/>
      </w:numPr>
      <w:spacing w:before="120" w:after="120" w:line="240" w:lineRule="auto"/>
      <w:jc w:val="both"/>
    </w:pPr>
    <w:rPr>
      <w:rFonts w:ascii="Times New Roman" w:eastAsia="Times New Roman" w:hAnsi="Times New Roman"/>
      <w:sz w:val="24"/>
      <w:szCs w:val="24"/>
      <w:lang w:eastAsia="de-DE"/>
    </w:rPr>
  </w:style>
  <w:style w:type="paragraph" w:customStyle="1" w:styleId="ListDash">
    <w:name w:val="List Dash"/>
    <w:basedOn w:val="Normal"/>
    <w:pPr>
      <w:numPr>
        <w:numId w:val="24"/>
      </w:numPr>
      <w:spacing w:before="120" w:after="120" w:line="240" w:lineRule="auto"/>
      <w:jc w:val="both"/>
    </w:pPr>
    <w:rPr>
      <w:rFonts w:ascii="Times New Roman" w:eastAsia="Times New Roman" w:hAnsi="Times New Roman"/>
      <w:sz w:val="24"/>
      <w:szCs w:val="24"/>
      <w:lang w:eastAsia="de-DE"/>
    </w:rPr>
  </w:style>
  <w:style w:type="paragraph" w:customStyle="1" w:styleId="ListDash1">
    <w:name w:val="List Dash 1"/>
    <w:basedOn w:val="Normal"/>
    <w:pPr>
      <w:numPr>
        <w:numId w:val="25"/>
      </w:numPr>
      <w:spacing w:before="120" w:after="120" w:line="240" w:lineRule="auto"/>
      <w:jc w:val="both"/>
    </w:pPr>
    <w:rPr>
      <w:rFonts w:ascii="Times New Roman" w:eastAsia="Times New Roman" w:hAnsi="Times New Roman"/>
      <w:sz w:val="24"/>
      <w:szCs w:val="24"/>
      <w:lang w:eastAsia="de-DE"/>
    </w:rPr>
  </w:style>
  <w:style w:type="paragraph" w:customStyle="1" w:styleId="ListDash2">
    <w:name w:val="List Dash 2"/>
    <w:basedOn w:val="Normal"/>
    <w:pPr>
      <w:numPr>
        <w:numId w:val="26"/>
      </w:numPr>
      <w:spacing w:before="120" w:after="120" w:line="240" w:lineRule="auto"/>
      <w:jc w:val="both"/>
    </w:pPr>
    <w:rPr>
      <w:rFonts w:ascii="Times New Roman" w:eastAsia="Times New Roman" w:hAnsi="Times New Roman"/>
      <w:sz w:val="24"/>
      <w:szCs w:val="24"/>
      <w:lang w:eastAsia="de-DE"/>
    </w:rPr>
  </w:style>
  <w:style w:type="paragraph" w:customStyle="1" w:styleId="ListDash3">
    <w:name w:val="List Dash 3"/>
    <w:basedOn w:val="Normal"/>
    <w:pPr>
      <w:numPr>
        <w:numId w:val="27"/>
      </w:numPr>
      <w:spacing w:before="120" w:after="120" w:line="240" w:lineRule="auto"/>
      <w:jc w:val="both"/>
    </w:pPr>
    <w:rPr>
      <w:rFonts w:ascii="Times New Roman" w:eastAsia="Times New Roman" w:hAnsi="Times New Roman"/>
      <w:sz w:val="24"/>
      <w:szCs w:val="24"/>
      <w:lang w:eastAsia="de-DE"/>
    </w:rPr>
  </w:style>
  <w:style w:type="paragraph" w:customStyle="1" w:styleId="ListDash4">
    <w:name w:val="List Dash 4"/>
    <w:basedOn w:val="Normal"/>
    <w:pPr>
      <w:numPr>
        <w:numId w:val="28"/>
      </w:numPr>
      <w:spacing w:before="120" w:after="120" w:line="240" w:lineRule="auto"/>
      <w:jc w:val="both"/>
    </w:pPr>
    <w:rPr>
      <w:rFonts w:ascii="Times New Roman" w:eastAsia="Times New Roman" w:hAnsi="Times New Roman"/>
      <w:sz w:val="24"/>
      <w:szCs w:val="24"/>
      <w:lang w:eastAsia="de-DE"/>
    </w:rPr>
  </w:style>
  <w:style w:type="paragraph" w:customStyle="1" w:styleId="ListNumber1">
    <w:name w:val="List Number 1"/>
    <w:basedOn w:val="Text1"/>
    <w:pPr>
      <w:numPr>
        <w:numId w:val="29"/>
      </w:numPr>
    </w:pPr>
    <w:rPr>
      <w:lang w:eastAsia="de-DE"/>
    </w:rPr>
  </w:style>
  <w:style w:type="paragraph" w:customStyle="1" w:styleId="ListNumberLevel2">
    <w:name w:val="List Number (Level 2)"/>
    <w:basedOn w:val="Normal"/>
    <w:pPr>
      <w:numPr>
        <w:ilvl w:val="1"/>
        <w:numId w:val="3"/>
      </w:numPr>
      <w:spacing w:before="120" w:after="120" w:line="240" w:lineRule="auto"/>
      <w:jc w:val="both"/>
    </w:pPr>
    <w:rPr>
      <w:rFonts w:ascii="Times New Roman" w:eastAsia="Times New Roman" w:hAnsi="Times New Roman"/>
      <w:sz w:val="24"/>
      <w:szCs w:val="24"/>
      <w:lang w:eastAsia="de-DE"/>
    </w:rPr>
  </w:style>
  <w:style w:type="paragraph" w:customStyle="1" w:styleId="ListNumber1Level2">
    <w:name w:val="List Number 1 (Level 2)"/>
    <w:basedOn w:val="Text1"/>
    <w:pPr>
      <w:numPr>
        <w:ilvl w:val="1"/>
        <w:numId w:val="29"/>
      </w:numPr>
    </w:pPr>
    <w:rPr>
      <w:lang w:eastAsia="de-DE"/>
    </w:rPr>
  </w:style>
  <w:style w:type="paragraph" w:customStyle="1" w:styleId="ListNumber2Level2">
    <w:name w:val="List Number 2 (Level 2)"/>
    <w:basedOn w:val="Text2"/>
    <w:pPr>
      <w:numPr>
        <w:ilvl w:val="1"/>
        <w:numId w:val="7"/>
      </w:numPr>
    </w:pPr>
    <w:rPr>
      <w:lang w:eastAsia="de-DE"/>
    </w:rPr>
  </w:style>
  <w:style w:type="paragraph" w:customStyle="1" w:styleId="ListNumber3Level2">
    <w:name w:val="List Number 3 (Level 2)"/>
    <w:basedOn w:val="Text3"/>
    <w:pPr>
      <w:numPr>
        <w:ilvl w:val="1"/>
        <w:numId w:val="8"/>
      </w:numPr>
    </w:pPr>
    <w:rPr>
      <w:lang w:eastAsia="de-DE"/>
    </w:rPr>
  </w:style>
  <w:style w:type="paragraph" w:customStyle="1" w:styleId="ListNumber4Level2">
    <w:name w:val="List Number 4 (Level 2)"/>
    <w:basedOn w:val="Text4"/>
    <w:pPr>
      <w:numPr>
        <w:ilvl w:val="1"/>
        <w:numId w:val="9"/>
      </w:numPr>
    </w:pPr>
    <w:rPr>
      <w:lang w:eastAsia="de-DE"/>
    </w:rPr>
  </w:style>
  <w:style w:type="paragraph" w:customStyle="1" w:styleId="ListNumberLevel3">
    <w:name w:val="List Number (Level 3)"/>
    <w:basedOn w:val="Normal"/>
    <w:pPr>
      <w:numPr>
        <w:ilvl w:val="2"/>
        <w:numId w:val="3"/>
      </w:numPr>
      <w:spacing w:before="120" w:after="120" w:line="240" w:lineRule="auto"/>
      <w:jc w:val="both"/>
    </w:pPr>
    <w:rPr>
      <w:rFonts w:ascii="Times New Roman" w:eastAsia="Times New Roman" w:hAnsi="Times New Roman"/>
      <w:sz w:val="24"/>
      <w:szCs w:val="24"/>
      <w:lang w:eastAsia="de-DE"/>
    </w:rPr>
  </w:style>
  <w:style w:type="paragraph" w:customStyle="1" w:styleId="ListNumber1Level3">
    <w:name w:val="List Number 1 (Level 3)"/>
    <w:basedOn w:val="Text1"/>
    <w:pPr>
      <w:numPr>
        <w:ilvl w:val="2"/>
        <w:numId w:val="29"/>
      </w:numPr>
    </w:pPr>
    <w:rPr>
      <w:lang w:eastAsia="de-DE"/>
    </w:rPr>
  </w:style>
  <w:style w:type="paragraph" w:customStyle="1" w:styleId="ListNumber2Level3">
    <w:name w:val="List Number 2 (Level 3)"/>
    <w:basedOn w:val="Text2"/>
    <w:pPr>
      <w:numPr>
        <w:ilvl w:val="2"/>
        <w:numId w:val="7"/>
      </w:numPr>
    </w:pPr>
    <w:rPr>
      <w:lang w:eastAsia="de-DE"/>
    </w:rPr>
  </w:style>
  <w:style w:type="paragraph" w:customStyle="1" w:styleId="ListNumber3Level3">
    <w:name w:val="List Number 3 (Level 3)"/>
    <w:basedOn w:val="Text3"/>
    <w:pPr>
      <w:numPr>
        <w:ilvl w:val="2"/>
        <w:numId w:val="8"/>
      </w:numPr>
    </w:pPr>
    <w:rPr>
      <w:lang w:eastAsia="de-DE"/>
    </w:rPr>
  </w:style>
  <w:style w:type="paragraph" w:customStyle="1" w:styleId="ListNumber4Level3">
    <w:name w:val="List Number 4 (Level 3)"/>
    <w:basedOn w:val="Text4"/>
    <w:pPr>
      <w:numPr>
        <w:ilvl w:val="2"/>
        <w:numId w:val="9"/>
      </w:numPr>
    </w:pPr>
    <w:rPr>
      <w:lang w:eastAsia="de-DE"/>
    </w:rPr>
  </w:style>
  <w:style w:type="paragraph" w:customStyle="1" w:styleId="ListNumberLevel4">
    <w:name w:val="List Number (Level 4)"/>
    <w:basedOn w:val="Normal"/>
    <w:pPr>
      <w:numPr>
        <w:ilvl w:val="3"/>
        <w:numId w:val="3"/>
      </w:numPr>
      <w:spacing w:before="120" w:after="120" w:line="240" w:lineRule="auto"/>
      <w:jc w:val="both"/>
    </w:pPr>
    <w:rPr>
      <w:rFonts w:ascii="Times New Roman" w:eastAsia="Times New Roman" w:hAnsi="Times New Roman"/>
      <w:sz w:val="24"/>
      <w:szCs w:val="24"/>
      <w:lang w:eastAsia="de-DE"/>
    </w:rPr>
  </w:style>
  <w:style w:type="paragraph" w:customStyle="1" w:styleId="ListNumber1Level4">
    <w:name w:val="List Number 1 (Level 4)"/>
    <w:basedOn w:val="Text1"/>
    <w:pPr>
      <w:numPr>
        <w:ilvl w:val="3"/>
        <w:numId w:val="29"/>
      </w:numPr>
    </w:pPr>
    <w:rPr>
      <w:lang w:eastAsia="de-DE"/>
    </w:rPr>
  </w:style>
  <w:style w:type="paragraph" w:customStyle="1" w:styleId="ListNumber2Level4">
    <w:name w:val="List Number 2 (Level 4)"/>
    <w:basedOn w:val="Text2"/>
    <w:pPr>
      <w:numPr>
        <w:ilvl w:val="3"/>
        <w:numId w:val="7"/>
      </w:numPr>
    </w:pPr>
    <w:rPr>
      <w:lang w:eastAsia="de-DE"/>
    </w:rPr>
  </w:style>
  <w:style w:type="paragraph" w:customStyle="1" w:styleId="ListNumber3Level4">
    <w:name w:val="List Number 3 (Level 4)"/>
    <w:basedOn w:val="Text3"/>
    <w:pPr>
      <w:numPr>
        <w:ilvl w:val="3"/>
        <w:numId w:val="8"/>
      </w:numPr>
    </w:pPr>
    <w:rPr>
      <w:lang w:eastAsia="de-DE"/>
    </w:rPr>
  </w:style>
  <w:style w:type="paragraph" w:customStyle="1" w:styleId="ListNumber4Level4">
    <w:name w:val="List Number 4 (Level 4)"/>
    <w:basedOn w:val="Text4"/>
    <w:pPr>
      <w:numPr>
        <w:ilvl w:val="3"/>
        <w:numId w:val="9"/>
      </w:numPr>
    </w:pPr>
    <w:rPr>
      <w:lang w:eastAsia="de-DE"/>
    </w:rPr>
  </w:style>
  <w:style w:type="paragraph" w:customStyle="1" w:styleId="Rfrenceinterinstitutionelleprliminaire">
    <w:name w:val="Référence interinstitutionelle (préliminaire)"/>
    <w:basedOn w:val="Normal"/>
    <w:next w:val="Normal"/>
    <w:pPr>
      <w:spacing w:after="0" w:line="240" w:lineRule="auto"/>
      <w:ind w:left="5103"/>
    </w:pPr>
    <w:rPr>
      <w:rFonts w:ascii="Times New Roman" w:eastAsia="Times New Roman" w:hAnsi="Times New Roman"/>
      <w:sz w:val="24"/>
      <w:szCs w:val="24"/>
      <w:lang w:eastAsia="de-DE"/>
    </w:rPr>
  </w:style>
  <w:style w:type="paragraph" w:customStyle="1" w:styleId="Sous-titreobjetprliminaire">
    <w:name w:val="Sous-titre objet (préliminaire)"/>
    <w:basedOn w:val="Normal"/>
    <w:pPr>
      <w:spacing w:after="0" w:line="240" w:lineRule="auto"/>
      <w:jc w:val="center"/>
    </w:pPr>
    <w:rPr>
      <w:rFonts w:ascii="Times New Roman" w:eastAsia="Times New Roman" w:hAnsi="Times New Roman"/>
      <w:b/>
      <w:sz w:val="24"/>
      <w:szCs w:val="24"/>
      <w:lang w:eastAsia="de-DE"/>
    </w:rPr>
  </w:style>
  <w:style w:type="paragraph" w:customStyle="1" w:styleId="Statutprliminaire">
    <w:name w:val="Statut (préliminaire)"/>
    <w:basedOn w:val="Normal"/>
    <w:next w:val="Normal"/>
    <w:pPr>
      <w:spacing w:before="360" w:after="0" w:line="240" w:lineRule="auto"/>
      <w:jc w:val="center"/>
    </w:pPr>
    <w:rPr>
      <w:rFonts w:ascii="Times New Roman" w:eastAsia="Times New Roman" w:hAnsi="Times New Roman"/>
      <w:sz w:val="24"/>
      <w:szCs w:val="24"/>
      <w:lang w:eastAsia="de-DE"/>
    </w:rPr>
  </w:style>
  <w:style w:type="paragraph" w:customStyle="1" w:styleId="Titreobjetprliminaire">
    <w:name w:val="Titre objet (préliminaire)"/>
    <w:basedOn w:val="Normal"/>
    <w:next w:val="Normal"/>
    <w:pPr>
      <w:spacing w:before="360" w:after="360" w:line="240" w:lineRule="auto"/>
      <w:jc w:val="center"/>
    </w:pPr>
    <w:rPr>
      <w:rFonts w:ascii="Times New Roman" w:eastAsia="Times New Roman" w:hAnsi="Times New Roman"/>
      <w:b/>
      <w:sz w:val="24"/>
      <w:szCs w:val="24"/>
      <w:lang w:eastAsia="de-DE"/>
    </w:rPr>
  </w:style>
  <w:style w:type="paragraph" w:customStyle="1" w:styleId="Typedudocumentprliminaire">
    <w:name w:val="Type du document (préliminaire)"/>
    <w:basedOn w:val="Normal"/>
    <w:next w:val="Normal"/>
    <w:pPr>
      <w:spacing w:before="360" w:after="0" w:line="240" w:lineRule="auto"/>
      <w:jc w:val="center"/>
    </w:pPr>
    <w:rPr>
      <w:rFonts w:ascii="Times New Roman" w:eastAsia="Times New Roman" w:hAnsi="Times New Roman"/>
      <w:b/>
      <w:sz w:val="24"/>
      <w:szCs w:val="24"/>
      <w:lang w:eastAsia="de-DE"/>
    </w:rPr>
  </w:style>
  <w:style w:type="paragraph" w:customStyle="1" w:styleId="c19marge1">
    <w:name w:val="c19marge1"/>
    <w:basedOn w:val="Normal"/>
    <w:pPr>
      <w:spacing w:after="240" w:line="240" w:lineRule="auto"/>
      <w:ind w:left="1247"/>
      <w:jc w:val="both"/>
    </w:pPr>
    <w:rPr>
      <w:rFonts w:ascii="Times New Roman" w:eastAsia="Times New Roman" w:hAnsi="Times New Roman"/>
      <w:sz w:val="24"/>
      <w:szCs w:val="24"/>
      <w:lang w:eastAsia="en-GB"/>
    </w:rPr>
  </w:style>
  <w:style w:type="paragraph" w:customStyle="1" w:styleId="c08dispositif">
    <w:name w:val="c08dispositif"/>
    <w:basedOn w:val="Normal"/>
    <w:pPr>
      <w:spacing w:before="100" w:beforeAutospacing="1" w:after="240" w:line="240" w:lineRule="auto"/>
      <w:ind w:left="1134" w:hanging="567"/>
      <w:jc w:val="both"/>
    </w:pPr>
    <w:rPr>
      <w:rFonts w:ascii="Times New Roman" w:eastAsia="Times New Roman" w:hAnsi="Times New Roman"/>
      <w:b/>
      <w:bCs/>
      <w:sz w:val="24"/>
      <w:szCs w:val="24"/>
      <w:lang w:eastAsia="en-GB"/>
    </w:r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character" w:styleId="FootnoteReference">
    <w:name w:val="footnote reference"/>
    <w:uiPriority w:val="99"/>
    <w:semiHidden/>
    <w:unhideWhenUsed/>
    <w:rPr>
      <w:vertAlign w:val="superscript"/>
    </w:rPr>
  </w:style>
  <w:style w:type="character" w:styleId="CommentReference">
    <w:name w:val="annotation reference"/>
    <w:semiHidden/>
    <w:unhideWhenUsed/>
    <w:rPr>
      <w:rFonts w:ascii="Times New Roman" w:hAnsi="Times New Roman" w:cs="Times New Roman" w:hint="default"/>
      <w:sz w:val="16"/>
    </w:rPr>
  </w:style>
  <w:style w:type="character" w:styleId="EndnoteReference">
    <w:name w:val="endnote reference"/>
    <w:semiHidden/>
    <w:unhideWhenUsed/>
    <w:rPr>
      <w:vertAlign w:val="superscript"/>
    </w:r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character" w:customStyle="1" w:styleId="Added">
    <w:name w:val="Added"/>
    <w:rPr>
      <w:b/>
      <w:bCs w:val="0"/>
      <w:u w:val="single"/>
    </w:rPr>
  </w:style>
  <w:style w:type="character" w:customStyle="1" w:styleId="Deleted">
    <w:name w:val="Deleted"/>
    <w:rPr>
      <w:strike/>
    </w:rPr>
  </w:style>
  <w:style w:type="table" w:styleId="TableGrid">
    <w:name w:val="Table Grid"/>
    <w:basedOn w:val="TableNormal"/>
    <w:pPr>
      <w:spacing w:before="120" w:after="12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character" w:styleId="Strong">
    <w:name w:val="Strong"/>
    <w:uiPriority w:val="22"/>
    <w:qFormat/>
    <w:rPr>
      <w:b/>
      <w:bCs/>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270514">
      <w:bodyDiv w:val="1"/>
      <w:marLeft w:val="0"/>
      <w:marRight w:val="0"/>
      <w:marTop w:val="0"/>
      <w:marBottom w:val="0"/>
      <w:divBdr>
        <w:top w:val="none" w:sz="0" w:space="0" w:color="auto"/>
        <w:left w:val="none" w:sz="0" w:space="0" w:color="auto"/>
        <w:bottom w:val="none" w:sz="0" w:space="0" w:color="auto"/>
        <w:right w:val="none" w:sz="0" w:space="0" w:color="auto"/>
      </w:divBdr>
    </w:div>
    <w:div w:id="906571101">
      <w:bodyDiv w:val="1"/>
      <w:marLeft w:val="0"/>
      <w:marRight w:val="0"/>
      <w:marTop w:val="0"/>
      <w:marBottom w:val="0"/>
      <w:divBdr>
        <w:top w:val="none" w:sz="0" w:space="0" w:color="auto"/>
        <w:left w:val="none" w:sz="0" w:space="0" w:color="auto"/>
        <w:bottom w:val="none" w:sz="0" w:space="0" w:color="auto"/>
        <w:right w:val="none" w:sz="0" w:space="0" w:color="auto"/>
      </w:divBdr>
    </w:div>
    <w:div w:id="1463501970">
      <w:bodyDiv w:val="1"/>
      <w:marLeft w:val="0"/>
      <w:marRight w:val="0"/>
      <w:marTop w:val="0"/>
      <w:marBottom w:val="0"/>
      <w:divBdr>
        <w:top w:val="none" w:sz="0" w:space="0" w:color="auto"/>
        <w:left w:val="none" w:sz="0" w:space="0" w:color="auto"/>
        <w:bottom w:val="none" w:sz="0" w:space="0" w:color="auto"/>
        <w:right w:val="none" w:sz="0" w:space="0" w:color="auto"/>
      </w:divBdr>
    </w:div>
    <w:div w:id="1650162362">
      <w:bodyDiv w:val="1"/>
      <w:marLeft w:val="0"/>
      <w:marRight w:val="0"/>
      <w:marTop w:val="0"/>
      <w:marBottom w:val="0"/>
      <w:divBdr>
        <w:top w:val="none" w:sz="0" w:space="0" w:color="auto"/>
        <w:left w:val="none" w:sz="0" w:space="0" w:color="auto"/>
        <w:bottom w:val="none" w:sz="0" w:space="0" w:color="auto"/>
        <w:right w:val="none" w:sz="0" w:space="0" w:color="auto"/>
      </w:divBdr>
    </w:div>
    <w:div w:id="20236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arency/regexpert/index.cfm?Lang=NL" TargetMode="External"/><Relationship Id="rId1" Type="http://schemas.openxmlformats.org/officeDocument/2006/relationships/hyperlink" Target="https://ec.europa.eu/info/law/better-regulation/have-your-say_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1E04-9286-4012-AF7D-1D3B7508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2351</Words>
  <Characters>11945</Characters>
  <Application>Microsoft Office Word</Application>
  <DocSecurity>0</DocSecurity>
  <Lines>995</Lines>
  <Paragraphs>953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13343</CharactersWithSpaces>
  <SharedDoc>false</SharedDoc>
  <HLinks>
    <vt:vector size="6" baseType="variant">
      <vt:variant>
        <vt:i4>6225942</vt:i4>
      </vt:variant>
      <vt:variant>
        <vt:i4>0</vt:i4>
      </vt:variant>
      <vt:variant>
        <vt:i4>0</vt:i4>
      </vt:variant>
      <vt:variant>
        <vt:i4>5</vt:i4>
      </vt:variant>
      <vt:variant>
        <vt:lpwstr>http://ec.europa.eu/transparency/regexpert/index.cfm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20</cp:revision>
  <cp:lastPrinted>2019-11-14T13:03:00Z</cp:lastPrinted>
  <dcterms:created xsi:type="dcterms:W3CDTF">2019-12-02T09:58:00Z</dcterms:created>
  <dcterms:modified xsi:type="dcterms:W3CDTF">2019-12-12T10:10:00Z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CP-003</vt:lpwstr>
  </property>
</Properties>
</file>