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93B3FA5C-E62E-4981-9EEB-25E8235C97D3" style="width:450.4pt;height:307.2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1" w:name="_GoBack"/>
      <w:bookmarkEnd w:id="1"/>
      <w:r>
        <w:rPr>
          <w:noProof/>
        </w:rPr>
        <w:lastRenderedPageBreak/>
        <w:t>SPRAWOZDANIE KOMISJI</w:t>
      </w:r>
    </w:p>
    <w:p>
      <w:pPr>
        <w:pStyle w:val="Titreobjet"/>
        <w:rPr>
          <w:noProof/>
        </w:rPr>
      </w:pPr>
      <w:r>
        <w:rPr>
          <w:noProof/>
        </w:rPr>
        <w:t>Z PRAC KOMITETÓW W ROKU 2018</w:t>
      </w:r>
    </w:p>
    <w:p>
      <w:pPr>
        <w:pStyle w:val="Sous-titreobjet"/>
        <w:rPr>
          <w:noProof/>
        </w:rPr>
      </w:pPr>
    </w:p>
    <w:p>
      <w:pPr>
        <w:spacing w:line="240" w:lineRule="auto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Zgodnie z art. 10 ust. 2 rozporządzenia (UE) nr 182/2011 ustanawiającego przepisy i zasady ogólne dotyczące trybu kontroli przez państwa członkowskie wykonywania uprawnień wykonawczych przez Komisję</w:t>
      </w:r>
      <w:r>
        <w:rPr>
          <w:rFonts w:ascii="Times New Roman" w:hAnsi="Times New Roman"/>
          <w:noProof/>
          <w:sz w:val="24"/>
          <w:vertAlign w:val="superscript"/>
        </w:rPr>
        <w:footnoteReference w:id="1"/>
      </w:r>
      <w:r>
        <w:rPr>
          <w:rFonts w:ascii="Times New Roman" w:hAnsi="Times New Roman"/>
          <w:noProof/>
          <w:sz w:val="24"/>
        </w:rPr>
        <w:t xml:space="preserve"> (zwanego dalej „rozporządzeniem dotyczącym procedury komitetowej”) Komisja przedstawia niniejszym sprawozdanie roczne z prac komitetów w roku 2018.</w:t>
      </w:r>
    </w:p>
    <w:p>
      <w:pPr>
        <w:spacing w:line="240" w:lineRule="auto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Niniejsze sprawozdanie stanowi przegląd zmian w systemie procedury komitetowej w 2018 r. oraz podsumowuje działania komitetów. Towarzyszy mu dokument roboczy służb Komisji, w którym zawarte są szczegółowe statystyki na temat prac poszczególnych komitetów.</w:t>
      </w:r>
    </w:p>
    <w:p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>
      <w:pPr>
        <w:pStyle w:val="ManualHeading1"/>
        <w:rPr>
          <w:noProof/>
          <w:color w:val="FF0000"/>
        </w:rPr>
      </w:pPr>
      <w:r>
        <w:t>1.</w:t>
      </w:r>
      <w:r>
        <w:tab/>
      </w:r>
      <w:r>
        <w:rPr>
          <w:noProof/>
        </w:rPr>
        <w:t>Przegląd zmian w systemie procedury komitetowej w 2018 r.</w:t>
      </w:r>
    </w:p>
    <w:p>
      <w:pPr>
        <w:pStyle w:val="ManualHeading2"/>
        <w:rPr>
          <w:noProof/>
        </w:rPr>
      </w:pPr>
      <w:r>
        <w:t>1.1.</w:t>
      </w:r>
      <w:r>
        <w:tab/>
      </w:r>
      <w:r>
        <w:rPr>
          <w:noProof/>
        </w:rPr>
        <w:t>Sytuacja ogólna</w:t>
      </w:r>
    </w:p>
    <w:p>
      <w:pPr>
        <w:spacing w:line="240" w:lineRule="auto"/>
        <w:jc w:val="both"/>
        <w:rPr>
          <w:rFonts w:ascii="Times New Roman" w:hAnsi="Times New Roman"/>
          <w:b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Jak przedstawiono w rocznym sprawozdaniu za 2013 r.</w:t>
      </w:r>
      <w:r>
        <w:rPr>
          <w:rFonts w:ascii="Times New Roman" w:hAnsi="Times New Roman"/>
          <w:noProof/>
          <w:sz w:val="24"/>
          <w:vertAlign w:val="superscript"/>
        </w:rPr>
        <w:footnoteReference w:id="2"/>
      </w:r>
      <w:r>
        <w:rPr>
          <w:rFonts w:ascii="Times New Roman" w:hAnsi="Times New Roman"/>
          <w:noProof/>
          <w:sz w:val="24"/>
        </w:rPr>
        <w:t>, wszystkie procedury komitetowe określone w „dawnej” decyzji dotyczącej procedury komitetowej</w:t>
      </w:r>
      <w:r>
        <w:rPr>
          <w:rFonts w:ascii="Times New Roman" w:hAnsi="Times New Roman"/>
          <w:noProof/>
          <w:sz w:val="24"/>
          <w:vertAlign w:val="superscript"/>
        </w:rPr>
        <w:footnoteReference w:id="3"/>
      </w:r>
      <w:r>
        <w:rPr>
          <w:rFonts w:ascii="Times New Roman" w:hAnsi="Times New Roman"/>
          <w:noProof/>
          <w:sz w:val="24"/>
        </w:rPr>
        <w:t>, z wyjątkiem procedury regulacyjnej połączonej z kontrolą, zostały automatycznie dostosowane do nowych procedur określonych w rozporządzeniu dotyczącym procedury komitetowej.</w:t>
      </w:r>
    </w:p>
    <w:p>
      <w:pPr>
        <w:spacing w:line="240" w:lineRule="auto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W związku z powyższym w 2018 r. komitety ustanowione w ramach procedury komitetowej prowadziły swoją działalność zgodnie z procedurami określonymi w rozporządzeniu dotyczącym procedury komitetowej, tzn. procedurą doradczą (art. 4) i procedurą sprawdzającą (art. 5) oraz procedurą regulacyjną połączoną z kontrolą określoną w art. 5a decyzji w sprawie procedury komitetowej.</w:t>
      </w:r>
    </w:p>
    <w:p>
      <w:pPr>
        <w:spacing w:line="240" w:lineRule="auto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W pkt 27 Porozumienia międzyinstytucjonalnego w sprawie lepszego stanowienia prawa z dnia 13 kwietnia 2016 r.</w:t>
      </w:r>
      <w:r>
        <w:rPr>
          <w:rStyle w:val="FootnoteReference"/>
          <w:rFonts w:ascii="Times New Roman" w:hAnsi="Times New Roman"/>
          <w:noProof/>
          <w:sz w:val="24"/>
        </w:rPr>
        <w:footnoteReference w:id="4"/>
      </w:r>
      <w:r>
        <w:rPr>
          <w:rFonts w:ascii="Times New Roman" w:hAnsi="Times New Roman"/>
          <w:noProof/>
          <w:sz w:val="24"/>
        </w:rPr>
        <w:t xml:space="preserve"> przypomniano o potrzebie dostosowania procedury regulacyjnej połączonej z kontrolą:</w:t>
      </w:r>
    </w:p>
    <w:p>
      <w:pPr>
        <w:spacing w:line="240" w:lineRule="auto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„Trzy Instytucje uznają potrzebę dostosowania całości obowiązującego ustawodawstwa do ram prawnych wprowadzonych Traktatem z Lizbony, a w szczególności potrzebę bezzwłocznego dostosowania wszystkich aktów podstawowych, które w dalszym ciągu odsyłają do procedury regulacyjnej połączonej z kontrolą. Komisja wystąpi z wnioskiem o dostosowanie tych aktów do końca 2016 r.”.</w:t>
      </w:r>
    </w:p>
    <w:p>
      <w:pPr>
        <w:spacing w:line="240" w:lineRule="auto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Zgodnie z tym zobowiązaniem Komisja przyjęła wniosek w sprawie dostosowania aktów podstawowych przewidujących procedurę regulacyjną połączoną z kontrolą do aktów delegowanych i wykonawczych</w:t>
      </w:r>
      <w:r>
        <w:rPr>
          <w:rStyle w:val="FootnoteReference"/>
          <w:rFonts w:ascii="Times New Roman" w:hAnsi="Times New Roman"/>
          <w:noProof/>
          <w:sz w:val="24"/>
        </w:rPr>
        <w:footnoteReference w:id="5"/>
      </w:r>
      <w:r>
        <w:rPr>
          <w:rFonts w:ascii="Times New Roman" w:hAnsi="Times New Roman"/>
          <w:noProof/>
          <w:sz w:val="24"/>
        </w:rPr>
        <w:t>. Przyjęła również drugi wniosek, dotyczący konkretnie dostosowania aktów podstawowych w dziedzinie wymiaru sprawiedliwości</w:t>
      </w:r>
      <w:r>
        <w:rPr>
          <w:rStyle w:val="FootnoteReference"/>
          <w:rFonts w:ascii="Times New Roman" w:hAnsi="Times New Roman"/>
          <w:noProof/>
          <w:sz w:val="24"/>
        </w:rPr>
        <w:footnoteReference w:id="6"/>
      </w:r>
      <w:r>
        <w:rPr>
          <w:rFonts w:ascii="Times New Roman" w:hAnsi="Times New Roman"/>
          <w:noProof/>
          <w:sz w:val="24"/>
        </w:rPr>
        <w:t>. Negocjacje międzyinstytucjonalne dotyczące pierwszego z tych wniosków zostały częściowo zakończone. Prawodawca wyraził zgodę na dostosowanie 64 aktów podstawowych, o których mowa</w:t>
      </w:r>
      <w:r>
        <w:rPr>
          <w:rStyle w:val="FootnoteReference"/>
          <w:rFonts w:ascii="Times New Roman" w:hAnsi="Times New Roman"/>
          <w:noProof/>
          <w:sz w:val="24"/>
        </w:rPr>
        <w:footnoteReference w:id="7"/>
      </w:r>
      <w:r>
        <w:rPr>
          <w:rFonts w:ascii="Times New Roman" w:hAnsi="Times New Roman"/>
          <w:noProof/>
          <w:sz w:val="24"/>
        </w:rPr>
        <w:t xml:space="preserve">, a pozostałe akty oraz akty w dziedzinie wymiaru sprawiedliwości będą przedmiotem dalszych negocjacji. W przypadkach dostosowania aktów przewidujących procedurę regulacyjną połączoną z kontrolą do aktów delegowanych właściwe komitety nie będą już odgrywały żadnej roli w ich zakresie, a przygotowywanie odpowiednich aktów delegowanych w przyszłości będzie się odbywało z pomocą grup ekspertów. </w:t>
      </w:r>
    </w:p>
    <w:p>
      <w:pPr>
        <w:spacing w:line="240" w:lineRule="auto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W dniu 26 lutego 2016 r. Komisja przyjęła sprawozdanie z wykonania rozporządzenia (UE) nr 182/2011</w:t>
      </w:r>
      <w:r>
        <w:rPr>
          <w:rStyle w:val="FootnoteReference"/>
          <w:rFonts w:ascii="Times New Roman" w:hAnsi="Times New Roman"/>
          <w:noProof/>
          <w:sz w:val="24"/>
        </w:rPr>
        <w:footnoteReference w:id="8"/>
      </w:r>
      <w:r>
        <w:rPr>
          <w:rFonts w:ascii="Times New Roman" w:hAnsi="Times New Roman"/>
          <w:noProof/>
          <w:sz w:val="24"/>
        </w:rPr>
        <w:t>. W sprawozdaniu tym Komisja stwierdziła, że ogólne ramy prawne dla procedury komitetowej funkcjonują należycie. Jednocześnie zwróciła jednak uwagę na polityczny problem „braku opinii”, zwłaszcza w kilku bardzo wrażliwych obszarach, takich jak zezwolenie na stosowanie organizmów zmodyfikowanych genetycznie. W konsekwencji, w dniu 14 lutego 2017 r. Komisja przyjęła wniosek dotyczący rozporządzenia Parlamentu Europejskiego i Rady w sprawie zmiany rozporządzenia (UE) nr 182/2011 dotyczącego procedury komitetowej</w:t>
      </w:r>
      <w:r>
        <w:rPr>
          <w:rStyle w:val="FootnoteReference"/>
          <w:rFonts w:ascii="Times New Roman" w:hAnsi="Times New Roman"/>
          <w:noProof/>
          <w:sz w:val="24"/>
        </w:rPr>
        <w:footnoteReference w:id="9"/>
      </w:r>
      <w:r>
        <w:rPr>
          <w:rFonts w:ascii="Times New Roman" w:hAnsi="Times New Roman"/>
          <w:noProof/>
          <w:sz w:val="24"/>
        </w:rPr>
        <w:t>. We wniosku tym przedstawiono szereg ukierunkowanych zmian w funkcjonowaniu komitetu odwoławczego w celu zaradzenia sytuacjom, w których brak jest opinii we wrażliwych obszarach. Obecnie wniosek ten jest jednak zablokowany w toku negocjacji międzyinstytucjonalnych.</w:t>
      </w:r>
    </w:p>
    <w:p>
      <w:pPr>
        <w:spacing w:line="240" w:lineRule="auto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Zakończono negocjacje między trzema instytucjami w sprawie niewiążących kryteriów stosowania art. 290 i 291 Traktatu o funkcjonowaniu Unii Europejskiej, czyli rozróżnienia między aktami delegowanymi i wykonawczymi. Ostateczny tekst kryteriów rozróżnienia został opublikowany w Dzienniku Urzędowym dnia 3 lipca 2019 r.</w:t>
      </w:r>
      <w:r>
        <w:rPr>
          <w:rStyle w:val="FootnoteReference"/>
          <w:rFonts w:ascii="Times New Roman" w:hAnsi="Times New Roman"/>
          <w:noProof/>
          <w:sz w:val="24"/>
        </w:rPr>
        <w:footnoteReference w:id="10"/>
      </w:r>
      <w:r>
        <w:rPr>
          <w:rFonts w:ascii="Times New Roman" w:hAnsi="Times New Roman"/>
          <w:noProof/>
          <w:sz w:val="24"/>
        </w:rPr>
        <w:t xml:space="preserve"> </w:t>
      </w:r>
    </w:p>
    <w:p>
      <w:pPr>
        <w:spacing w:line="240" w:lineRule="auto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 xml:space="preserve">W swoim komunikacie „Lepsze wyniki dzięki lepszemu stanowieniu prawa” z maja 2015 r. Komisja zobowiązała się, że projekty aktów delegowanych i projekty ważnych aktów wykonawczych będą ogólnodostępne przez okres czterech tygodni, aby umożliwić zainteresowanym stronom przedstawienie uwag. W 2018 r. 165 takich projektów zostało opublikowanych na stronie internetowej Komisji </w:t>
      </w:r>
      <w:r>
        <w:rPr>
          <w:rFonts w:ascii="Times New Roman" w:hAnsi="Times New Roman"/>
          <w:bCs/>
          <w:noProof/>
          <w:sz w:val="24"/>
        </w:rPr>
        <w:t>„Wyraź swoją opinię”</w:t>
      </w:r>
      <w:r>
        <w:rPr>
          <w:rFonts w:ascii="Times New Roman" w:hAnsi="Times New Roman"/>
          <w:b/>
          <w:noProof/>
          <w:sz w:val="24"/>
        </w:rPr>
        <w:t xml:space="preserve"> </w:t>
      </w:r>
      <w:r>
        <w:rPr>
          <w:rStyle w:val="FootnoteReference"/>
          <w:rFonts w:ascii="Times New Roman" w:hAnsi="Times New Roman"/>
          <w:noProof/>
          <w:sz w:val="24"/>
        </w:rPr>
        <w:footnoteReference w:id="11"/>
      </w:r>
      <w:r>
        <w:rPr>
          <w:rFonts w:ascii="Times New Roman" w:hAnsi="Times New Roman"/>
          <w:noProof/>
          <w:sz w:val="24"/>
        </w:rPr>
        <w:t xml:space="preserve">celem zebrania opinii na ich temat. </w:t>
      </w:r>
    </w:p>
    <w:p>
      <w:pPr>
        <w:pStyle w:val="ManualHeading2"/>
        <w:rPr>
          <w:noProof/>
        </w:rPr>
      </w:pPr>
      <w:r>
        <w:t>1.2.</w:t>
      </w:r>
      <w:r>
        <w:tab/>
      </w:r>
      <w:r>
        <w:rPr>
          <w:noProof/>
        </w:rPr>
        <w:t>Rozwój orzecznictwa</w:t>
      </w:r>
    </w:p>
    <w:p>
      <w:pPr>
        <w:spacing w:line="240" w:lineRule="auto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W wyroku z dnia 13 grudnia 2018 r. wydanym w sprawach połączonych T‑339/16, T‑352/16 i T‑391/16 Sąd odniósł się do kwestii elementów istotnych aktu podstawowego. Sąd przeanalizował, czy limity dotyczące wartości emisji zanieczyszczeń przez samochody uznaje się za element istotny aktu podstawowego, którego zmiana nie leży w zakresie kompetencji Komisji, pomimo że limity te zostały określone w załączniku do aktu podstawowego. W tej konkretnej sprawie Sąd przyjrzał się motywom i części artykułowanej aktu podstawowego i ustalił, że limity emisji określone w załączniku do aktu podstawowego stanowią istotny, a „nawet kluczowy element aktu”, ponieważ celem wszystkich pozostałych postanowień tego aktu jest zapewnienie poszanowania wspomnianych limitów i nie istnieje żaden wyraźny przepis uprawniający Komisję do ich zmiany.</w:t>
      </w:r>
    </w:p>
    <w:p>
      <w:pPr>
        <w:pStyle w:val="ManualHeading1"/>
        <w:rPr>
          <w:noProof/>
        </w:rPr>
      </w:pPr>
      <w:r>
        <w:rPr>
          <w:noProof/>
        </w:rPr>
        <w:br w:type="page"/>
      </w:r>
      <w:r>
        <w:t>2.</w:t>
      </w:r>
      <w:r>
        <w:tab/>
      </w:r>
      <w:r>
        <w:rPr>
          <w:noProof/>
        </w:rPr>
        <w:t>Przegląd działalności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Liczba komitetów i posiedzeń</w:t>
      </w:r>
    </w:p>
    <w:p>
      <w:pPr>
        <w:spacing w:line="240" w:lineRule="auto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Należy odróżnić komitety ustanowione w ramach procedury komitetowej od innych jednostek, w szczególności tworzonych przez Komisję grup ekspertów. Te ostatnie stanowią dla Komisji źródło wiedzy specjalistycznej</w:t>
      </w:r>
      <w:r>
        <w:rPr>
          <w:rFonts w:ascii="Times New Roman" w:hAnsi="Times New Roman"/>
          <w:noProof/>
          <w:sz w:val="24"/>
          <w:vertAlign w:val="superscript"/>
        </w:rPr>
        <w:footnoteReference w:id="12"/>
      </w:r>
      <w:r>
        <w:rPr>
          <w:rFonts w:ascii="Times New Roman" w:hAnsi="Times New Roman"/>
          <w:noProof/>
          <w:sz w:val="24"/>
        </w:rPr>
        <w:t xml:space="preserve"> podczas przygotowywania i realizacji polityki oraz aktów delegowanych, natomiast komitety procedury komitetowej wspomagają Komisję podczas wykonywania przez nią uprawnień wykonawczych, które zostały jej przyznane w podstawowych aktach prawnych. Niniejsze sprawozdanie skoncentrowane jest wyłącznie na komitetach ustanowionych w ramach procedury komitetowej. Liczba komitetów procedury komitetowej istniejących w okresie od dnia 1 stycznia do dnia 31 grudnia 2018 r. została obliczona w podziale na obszary działalności (zob. tabela I). W celach porównawczych podano również dane liczbowe z roku poprzedniego (z dnia 31 grudnia 2017 r.). Sekcje i konfiguracje nie są liczone odrębnie, ponieważ należą do komitetów głównych.</w:t>
      </w:r>
    </w:p>
    <w:p>
      <w:pPr>
        <w:keepNext/>
        <w:spacing w:line="240" w:lineRule="auto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u w:val="single"/>
        </w:rPr>
        <w:t xml:space="preserve">TABELA I – </w:t>
      </w:r>
      <w:r>
        <w:rPr>
          <w:rFonts w:ascii="Times New Roman" w:hAnsi="Times New Roman"/>
          <w:b/>
          <w:smallCaps/>
          <w:noProof/>
          <w:u w:val="single"/>
        </w:rPr>
        <w:t>Całkowita liczba komitetów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23"/>
        <w:gridCol w:w="1527"/>
        <w:gridCol w:w="1536"/>
      </w:tblGrid>
      <w:tr>
        <w:trPr>
          <w:trHeight w:val="510"/>
        </w:trPr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Obszar polityki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2017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2018</w:t>
            </w:r>
          </w:p>
        </w:tc>
      </w:tr>
      <w:tr>
        <w:trPr>
          <w:trHeight w:val="240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AGRI   (Rolnictwo i rozwój obszarów wiejskich)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11</w:t>
            </w:r>
          </w:p>
        </w:tc>
      </w:tr>
      <w:tr>
        <w:trPr>
          <w:trHeight w:val="240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BUDG   (Budżet)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</w:tr>
      <w:tr>
        <w:trPr>
          <w:trHeight w:val="240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CLIMA   (Działania w dziedzinie klimatu)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</w:tr>
      <w:tr>
        <w:trPr>
          <w:trHeight w:val="240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CNECT   (Sieci komunikacyjne, treści i technologia)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</w:t>
            </w:r>
          </w:p>
        </w:tc>
      </w:tr>
      <w:tr>
        <w:trPr>
          <w:trHeight w:val="240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DEVCO   (Współpraca międzynarodowa i rozwój)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</w:tr>
      <w:tr>
        <w:trPr>
          <w:trHeight w:val="240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DIGIT   (Informatyka)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</w:tr>
      <w:tr>
        <w:trPr>
          <w:trHeight w:val="240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EAC   (Edukacja i kultura)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</w:tr>
      <w:tr>
        <w:trPr>
          <w:trHeight w:val="240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ECFIN   (Sprawy gospodarcze i finansowe)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</w:tr>
      <w:tr>
        <w:trPr>
          <w:trHeight w:val="240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ECHO   (Pomoc humanitarna i ochrona ludności)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</w:tr>
      <w:tr>
        <w:trPr>
          <w:trHeight w:val="240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EMPL   (Zatrudnienie, sprawy społeczne i włączenie społeczne)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</w:tr>
      <w:tr>
        <w:trPr>
          <w:trHeight w:val="240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ENER   (Energia)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13</w:t>
            </w:r>
          </w:p>
        </w:tc>
      </w:tr>
      <w:tr>
        <w:trPr>
          <w:trHeight w:val="240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ENV   (Środowisko)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30</w:t>
            </w:r>
          </w:p>
        </w:tc>
      </w:tr>
      <w:tr>
        <w:trPr>
          <w:trHeight w:val="240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ESTAT   (Eurostat)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</w:tr>
      <w:tr>
        <w:trPr>
          <w:trHeight w:val="240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FISMA   (Stabilność finansowa, usługi finansowe i unia rynków kapitałowych)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</w:t>
            </w:r>
          </w:p>
        </w:tc>
      </w:tr>
      <w:tr>
        <w:trPr>
          <w:trHeight w:val="240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FPI   (Służba ds. Instrumentów Polityki Zagranicznej)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</w:tr>
      <w:tr>
        <w:trPr>
          <w:trHeight w:val="240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GROW   (Rynek wewnętrzny, przemysł, przedsiębiorczość i MŚP)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44</w:t>
            </w:r>
          </w:p>
        </w:tc>
      </w:tr>
      <w:tr>
        <w:trPr>
          <w:trHeight w:val="240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HOME   (Migracja i sprawy wewnętrzne)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13</w:t>
            </w:r>
          </w:p>
        </w:tc>
      </w:tr>
      <w:tr>
        <w:trPr>
          <w:trHeight w:val="240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JUST   (Sprawiedliwość i konsumenci)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25</w:t>
            </w:r>
          </w:p>
        </w:tc>
      </w:tr>
      <w:tr>
        <w:trPr>
          <w:trHeight w:val="240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MARE   (Gospodarka morska i rybołówstwo)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3</w:t>
            </w:r>
          </w:p>
        </w:tc>
      </w:tr>
      <w:tr>
        <w:trPr>
          <w:trHeight w:val="240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MOVE   (Mobilność i transport)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31</w:t>
            </w:r>
          </w:p>
        </w:tc>
      </w:tr>
      <w:tr>
        <w:trPr>
          <w:trHeight w:val="240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NEAR   (Polityka sąsiedztwa i negocjacje w sprawie rozszerzenia)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</w:t>
            </w:r>
          </w:p>
        </w:tc>
      </w:tr>
      <w:tr>
        <w:trPr>
          <w:trHeight w:val="240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OLAF   (Europejski Urząd ds. Zwalczania Nadużyć Finansowych)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</w:tr>
      <w:tr>
        <w:trPr>
          <w:trHeight w:val="240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REGIO   (Polityka regionalna i miejska)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</w:tr>
      <w:tr>
        <w:trPr>
          <w:trHeight w:val="240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RTD   (Badania naukowe i innowacje)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</w:t>
            </w:r>
          </w:p>
        </w:tc>
      </w:tr>
      <w:tr>
        <w:trPr>
          <w:trHeight w:val="255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SANTE   (Zdrowie i bezpieczeństwo żywności)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</w:t>
            </w:r>
          </w:p>
        </w:tc>
      </w:tr>
      <w:tr>
        <w:trPr>
          <w:trHeight w:val="255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SG   (Sekretariat Generalny)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3*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3*</w:t>
            </w:r>
          </w:p>
        </w:tc>
      </w:tr>
      <w:tr>
        <w:trPr>
          <w:trHeight w:val="255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TAXUD   (Podatki i unia celna)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13</w:t>
            </w:r>
          </w:p>
        </w:tc>
      </w:tr>
      <w:tr>
        <w:trPr>
          <w:trHeight w:val="255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TRADE   (Handel)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14</w:t>
            </w:r>
          </w:p>
        </w:tc>
      </w:tr>
      <w:tr>
        <w:trPr>
          <w:trHeight w:val="255"/>
        </w:trPr>
        <w:tc>
          <w:tcPr>
            <w:tcW w:w="3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OGÓŁEM: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267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275</w:t>
            </w:r>
          </w:p>
        </w:tc>
      </w:tr>
    </w:tbl>
    <w:p>
      <w:pPr>
        <w:spacing w:line="240" w:lineRule="auto"/>
        <w:jc w:val="both"/>
        <w:rPr>
          <w:rFonts w:ascii="Times New Roman" w:hAnsi="Times New Roman"/>
          <w:i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 xml:space="preserve">* </w:t>
      </w:r>
      <w:r>
        <w:rPr>
          <w:rFonts w:ascii="Times New Roman" w:hAnsi="Times New Roman"/>
          <w:i/>
          <w:noProof/>
          <w:sz w:val="18"/>
          <w:szCs w:val="18"/>
        </w:rPr>
        <w:t>Wraz z komitetem odwoławczym (na potrzeby rejestru prac komitetów komitet odwoławczy jest zarejestrowany jako komitet w ramach Sekretariatu Generalnego; w praktyce kierują nim wszystkie odpowiednie służby).</w:t>
      </w:r>
    </w:p>
    <w:p>
      <w:pPr>
        <w:spacing w:line="240" w:lineRule="auto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Komitety procedury komitetowej w 2018 r. można było zasadniczo podzielić ze względu na rodzaj procedury, w ramach której działały (procedura doradcza, procedura sprawdzająca, procedura regulacyjna połączona z kontrolą – zob. tabela II). Niektóre komitety, które stosowały kilka procedur, zostały oddzielone od komitetów działających w ramach jednej procedury.</w:t>
      </w:r>
    </w:p>
    <w:p>
      <w:pPr>
        <w:keepNext/>
        <w:spacing w:line="240" w:lineRule="auto"/>
        <w:rPr>
          <w:rFonts w:ascii="Times New Roman" w:hAnsi="Times New Roman"/>
          <w:b/>
          <w:smallCaps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u w:val="single"/>
        </w:rPr>
        <w:t xml:space="preserve">TABELA II – </w:t>
      </w:r>
      <w:r>
        <w:rPr>
          <w:rFonts w:ascii="Times New Roman" w:hAnsi="Times New Roman"/>
          <w:b/>
          <w:smallCaps/>
          <w:noProof/>
          <w:u w:val="single"/>
        </w:rPr>
        <w:t>Liczba komitetów w podziale na procedury</w:t>
      </w:r>
    </w:p>
    <w:tbl>
      <w:tblPr>
        <w:tblW w:w="5171" w:type="pct"/>
        <w:tblInd w:w="-318" w:type="dxa"/>
        <w:tblLook w:val="0000" w:firstRow="0" w:lastRow="0" w:firstColumn="0" w:lastColumn="0" w:noHBand="0" w:noVBand="0"/>
      </w:tblPr>
      <w:tblGrid>
        <w:gridCol w:w="1418"/>
        <w:gridCol w:w="1635"/>
        <w:gridCol w:w="1637"/>
        <w:gridCol w:w="1637"/>
        <w:gridCol w:w="1642"/>
        <w:gridCol w:w="1635"/>
      </w:tblGrid>
      <w:tr>
        <w:trPr>
          <w:trHeight w:val="510"/>
        </w:trPr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 </w:t>
            </w:r>
          </w:p>
        </w:tc>
        <w:tc>
          <w:tcPr>
            <w:tcW w:w="3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Rodzaj procedury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510"/>
        </w:trPr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Doradcza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Sprawdzająca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Regulacyjna połączona z kontrolą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Komitety działające w ramach kilku procedur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OGÓŁEM:</w:t>
            </w:r>
          </w:p>
        </w:tc>
      </w:tr>
      <w:tr>
        <w:trPr>
          <w:trHeight w:val="24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AGRI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11</w:t>
            </w:r>
          </w:p>
        </w:tc>
      </w:tr>
      <w:tr>
        <w:trPr>
          <w:trHeight w:val="24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BUDG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</w:tr>
      <w:tr>
        <w:trPr>
          <w:trHeight w:val="24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CLIMA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</w:tr>
      <w:tr>
        <w:trPr>
          <w:trHeight w:val="24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CNECT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</w:t>
            </w:r>
          </w:p>
        </w:tc>
      </w:tr>
      <w:tr>
        <w:trPr>
          <w:trHeight w:val="24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DEVCO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</w:tr>
      <w:tr>
        <w:trPr>
          <w:trHeight w:val="24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DIGIT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</w:tr>
      <w:tr>
        <w:trPr>
          <w:trHeight w:val="24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EAC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</w:tr>
      <w:tr>
        <w:trPr>
          <w:trHeight w:val="24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ECFIN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</w:tr>
      <w:tr>
        <w:trPr>
          <w:trHeight w:val="24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ECHO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</w:tr>
      <w:tr>
        <w:trPr>
          <w:trHeight w:val="24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EMPL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</w:tr>
      <w:tr>
        <w:trPr>
          <w:trHeight w:val="24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ENER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13</w:t>
            </w:r>
          </w:p>
        </w:tc>
      </w:tr>
      <w:tr>
        <w:trPr>
          <w:trHeight w:val="24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ENV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30</w:t>
            </w:r>
          </w:p>
        </w:tc>
      </w:tr>
      <w:tr>
        <w:trPr>
          <w:trHeight w:val="24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ESTAT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</w:tr>
      <w:tr>
        <w:trPr>
          <w:trHeight w:val="24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FISMA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</w:t>
            </w:r>
          </w:p>
        </w:tc>
      </w:tr>
      <w:tr>
        <w:trPr>
          <w:trHeight w:val="24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FPI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</w:tr>
      <w:tr>
        <w:trPr>
          <w:trHeight w:val="24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GROW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44</w:t>
            </w:r>
          </w:p>
        </w:tc>
      </w:tr>
      <w:tr>
        <w:trPr>
          <w:trHeight w:val="24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HOME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12</w:t>
            </w:r>
          </w:p>
        </w:tc>
      </w:tr>
      <w:tr>
        <w:trPr>
          <w:trHeight w:val="24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JUST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25</w:t>
            </w:r>
          </w:p>
        </w:tc>
      </w:tr>
      <w:tr>
        <w:trPr>
          <w:trHeight w:val="24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MARE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</w:t>
            </w:r>
          </w:p>
        </w:tc>
      </w:tr>
      <w:tr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MOVE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31</w:t>
            </w:r>
          </w:p>
        </w:tc>
      </w:tr>
      <w:tr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NEAR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</w:t>
            </w:r>
          </w:p>
        </w:tc>
      </w:tr>
      <w:tr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OLAF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</w:tr>
      <w:tr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REGIO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</w:tr>
      <w:tr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RTD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</w:t>
            </w:r>
          </w:p>
        </w:tc>
      </w:tr>
      <w:tr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SANTE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</w:t>
            </w:r>
          </w:p>
        </w:tc>
      </w:tr>
      <w:tr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SG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3*</w:t>
            </w:r>
          </w:p>
        </w:tc>
      </w:tr>
      <w:tr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TAXUD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13</w:t>
            </w:r>
          </w:p>
        </w:tc>
      </w:tr>
      <w:tr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TRADE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14</w:t>
            </w:r>
          </w:p>
        </w:tc>
      </w:tr>
      <w:tr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OGÓŁEM: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130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274</w:t>
            </w:r>
          </w:p>
        </w:tc>
      </w:tr>
    </w:tbl>
    <w:p>
      <w:pPr>
        <w:spacing w:line="240" w:lineRule="auto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 xml:space="preserve">* </w:t>
      </w:r>
      <w:r>
        <w:rPr>
          <w:rFonts w:ascii="Times New Roman" w:hAnsi="Times New Roman"/>
          <w:i/>
          <w:noProof/>
          <w:sz w:val="18"/>
          <w:szCs w:val="18"/>
        </w:rPr>
        <w:t>Wraz z komitetem odwoławczym.</w:t>
      </w:r>
    </w:p>
    <w:p>
      <w:pPr>
        <w:spacing w:line="240" w:lineRule="auto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 xml:space="preserve">Liczba komitetów nie jest jedynym wskaźnikiem aktywności w zakresie procedury komitetowej. </w:t>
      </w:r>
      <w:r>
        <w:rPr>
          <w:rFonts w:ascii="Times New Roman" w:hAnsi="Times New Roman"/>
          <w:i/>
          <w:noProof/>
          <w:sz w:val="24"/>
        </w:rPr>
        <w:t>Liczba odbytych posiedzeń</w:t>
      </w:r>
      <w:r>
        <w:rPr>
          <w:rFonts w:ascii="Times New Roman" w:hAnsi="Times New Roman"/>
          <w:noProof/>
          <w:sz w:val="24"/>
        </w:rPr>
        <w:t xml:space="preserve"> oraz </w:t>
      </w:r>
      <w:r>
        <w:rPr>
          <w:rFonts w:ascii="Times New Roman" w:hAnsi="Times New Roman"/>
          <w:i/>
          <w:noProof/>
          <w:sz w:val="24"/>
        </w:rPr>
        <w:t>liczba procedur pisemnych</w:t>
      </w:r>
      <w:r>
        <w:rPr>
          <w:rFonts w:ascii="Times New Roman" w:hAnsi="Times New Roman"/>
          <w:i/>
          <w:noProof/>
          <w:sz w:val="24"/>
          <w:vertAlign w:val="superscript"/>
        </w:rPr>
        <w:footnoteReference w:id="13"/>
      </w:r>
      <w:r>
        <w:rPr>
          <w:rFonts w:ascii="Times New Roman" w:hAnsi="Times New Roman"/>
          <w:noProof/>
          <w:sz w:val="24"/>
        </w:rPr>
        <w:t xml:space="preserve"> zastosowanych w 2018 r. również odzwierciedlają ogólną intensywność prac, zarówno na poziomie sektorowym, jak również w ramach poszczególnych komitetów (tabela III).</w:t>
      </w:r>
    </w:p>
    <w:p>
      <w:pPr>
        <w:keepNext/>
        <w:spacing w:line="240" w:lineRule="auto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noProof/>
        </w:rPr>
        <w:br w:type="page"/>
      </w:r>
      <w:r>
        <w:rPr>
          <w:rFonts w:ascii="Times New Roman" w:hAnsi="Times New Roman"/>
          <w:b/>
          <w:noProof/>
          <w:u w:val="single"/>
        </w:rPr>
        <w:t xml:space="preserve">TABELA III – </w:t>
      </w:r>
      <w:r>
        <w:rPr>
          <w:rFonts w:ascii="Times New Roman" w:hAnsi="Times New Roman"/>
          <w:b/>
          <w:smallCaps/>
          <w:noProof/>
          <w:u w:val="single"/>
        </w:rPr>
        <w:t>Liczba posiedzeń i procedur pisemnych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96"/>
        <w:gridCol w:w="1536"/>
        <w:gridCol w:w="1538"/>
        <w:gridCol w:w="1540"/>
        <w:gridCol w:w="1538"/>
        <w:gridCol w:w="1538"/>
      </w:tblGrid>
      <w:tr>
        <w:trPr>
          <w:trHeight w:val="510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Liczba komitetów 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Posiedzenia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Procedury pisemne</w:t>
            </w:r>
          </w:p>
        </w:tc>
      </w:tr>
      <w:tr>
        <w:trPr>
          <w:trHeight w:val="510"/>
        </w:trPr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2017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2018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2017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2018</w:t>
            </w:r>
          </w:p>
        </w:tc>
      </w:tr>
      <w:tr>
        <w:trPr>
          <w:trHeight w:val="24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AGRI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16</w:t>
            </w:r>
          </w:p>
        </w:tc>
      </w:tr>
      <w:tr>
        <w:trPr>
          <w:trHeight w:val="24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BUDG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</w:tr>
      <w:tr>
        <w:trPr>
          <w:trHeight w:val="24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CLIMA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</w:t>
            </w:r>
          </w:p>
        </w:tc>
      </w:tr>
      <w:tr>
        <w:trPr>
          <w:trHeight w:val="24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CNECT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12</w:t>
            </w:r>
          </w:p>
        </w:tc>
      </w:tr>
      <w:tr>
        <w:trPr>
          <w:trHeight w:val="24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DEVCO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16</w:t>
            </w:r>
          </w:p>
        </w:tc>
      </w:tr>
      <w:tr>
        <w:trPr>
          <w:trHeight w:val="24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DIGIT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EAC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</w:tr>
      <w:tr>
        <w:trPr>
          <w:trHeight w:val="24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ECFIN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ECHO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</w:tr>
      <w:tr>
        <w:trPr>
          <w:trHeight w:val="24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EMPL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</w:tr>
      <w:tr>
        <w:trPr>
          <w:trHeight w:val="24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ENER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</w:t>
            </w:r>
          </w:p>
        </w:tc>
      </w:tr>
      <w:tr>
        <w:trPr>
          <w:trHeight w:val="24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ENV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12</w:t>
            </w:r>
          </w:p>
        </w:tc>
      </w:tr>
      <w:tr>
        <w:trPr>
          <w:trHeight w:val="24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ESTAT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</w:t>
            </w:r>
          </w:p>
        </w:tc>
      </w:tr>
      <w:tr>
        <w:trPr>
          <w:trHeight w:val="24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FISMA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16</w:t>
            </w:r>
          </w:p>
        </w:tc>
      </w:tr>
      <w:tr>
        <w:trPr>
          <w:trHeight w:val="24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FPI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</w:t>
            </w:r>
          </w:p>
        </w:tc>
      </w:tr>
      <w:tr>
        <w:trPr>
          <w:trHeight w:val="24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GROW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16</w:t>
            </w:r>
          </w:p>
        </w:tc>
      </w:tr>
      <w:tr>
        <w:trPr>
          <w:trHeight w:val="24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HOME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22</w:t>
            </w:r>
          </w:p>
        </w:tc>
      </w:tr>
      <w:tr>
        <w:trPr>
          <w:trHeight w:val="24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JUST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</w:t>
            </w:r>
          </w:p>
        </w:tc>
      </w:tr>
      <w:tr>
        <w:trPr>
          <w:trHeight w:val="24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MARE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11</w:t>
            </w:r>
          </w:p>
        </w:tc>
      </w:tr>
      <w:tr>
        <w:trPr>
          <w:trHeight w:val="24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MOVE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31</w:t>
            </w:r>
          </w:p>
        </w:tc>
      </w:tr>
      <w:tr>
        <w:trPr>
          <w:trHeight w:val="24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NEAR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</w:t>
            </w:r>
          </w:p>
        </w:tc>
      </w:tr>
      <w:tr>
        <w:trPr>
          <w:trHeight w:val="25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OLAF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5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REGIO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5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RTD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246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218</w:t>
            </w:r>
          </w:p>
        </w:tc>
      </w:tr>
      <w:tr>
        <w:trPr>
          <w:trHeight w:val="25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SANTE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108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494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430</w:t>
            </w:r>
          </w:p>
        </w:tc>
      </w:tr>
      <w:tr>
        <w:trPr>
          <w:trHeight w:val="25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SG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8*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6*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1*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5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TAXUD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21</w:t>
            </w:r>
          </w:p>
        </w:tc>
      </w:tr>
      <w:tr>
        <w:trPr>
          <w:trHeight w:val="25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TRADE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24</w:t>
            </w:r>
          </w:p>
        </w:tc>
      </w:tr>
      <w:tr>
        <w:trPr>
          <w:trHeight w:val="25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OGÓŁEM: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616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620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1 024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880</w:t>
            </w:r>
          </w:p>
        </w:tc>
      </w:tr>
    </w:tbl>
    <w:p>
      <w:pPr>
        <w:spacing w:line="240" w:lineRule="auto"/>
        <w:jc w:val="both"/>
        <w:rPr>
          <w:rFonts w:ascii="Times New Roman" w:hAnsi="Times New Roman"/>
          <w:i/>
          <w:noProof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t>* posiedzenia/procedura pisemna komitetu odwoławczego</w:t>
      </w:r>
    </w:p>
    <w:p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Liczba opinii i aktów/środków wykonawczych</w:t>
      </w:r>
    </w:p>
    <w:p>
      <w:pPr>
        <w:spacing w:line="240" w:lineRule="auto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 xml:space="preserve">Podobnie jak poprzednie sprawozdania, niniejsze zawiera ogólne dane dotyczące formalnych </w:t>
      </w:r>
      <w:r>
        <w:rPr>
          <w:rFonts w:ascii="Times New Roman" w:hAnsi="Times New Roman"/>
          <w:i/>
          <w:noProof/>
          <w:sz w:val="24"/>
        </w:rPr>
        <w:t>opinii</w:t>
      </w:r>
      <w:r>
        <w:rPr>
          <w:rFonts w:ascii="Times New Roman" w:hAnsi="Times New Roman"/>
          <w:noProof/>
          <w:sz w:val="24"/>
        </w:rPr>
        <w:t xml:space="preserve"> wydanych przez komitety oraz późniejszych </w:t>
      </w:r>
      <w:r>
        <w:rPr>
          <w:rFonts w:ascii="Times New Roman" w:hAnsi="Times New Roman"/>
          <w:i/>
          <w:noProof/>
          <w:sz w:val="24"/>
        </w:rPr>
        <w:t>aktów</w:t>
      </w:r>
      <w:r>
        <w:rPr>
          <w:rFonts w:ascii="Times New Roman" w:hAnsi="Times New Roman"/>
          <w:noProof/>
          <w:sz w:val="24"/>
        </w:rPr>
        <w:t>/</w:t>
      </w:r>
      <w:r>
        <w:rPr>
          <w:rFonts w:ascii="Times New Roman" w:hAnsi="Times New Roman"/>
          <w:i/>
          <w:noProof/>
          <w:sz w:val="24"/>
        </w:rPr>
        <w:t>środków wykonawczych</w:t>
      </w:r>
      <w:r>
        <w:rPr>
          <w:rFonts w:ascii="Times New Roman" w:hAnsi="Times New Roman"/>
          <w:noProof/>
          <w:sz w:val="24"/>
        </w:rPr>
        <w:t xml:space="preserve"> przyjętych przez Komisję</w:t>
      </w:r>
      <w:r>
        <w:rPr>
          <w:rFonts w:ascii="Times New Roman" w:hAnsi="Times New Roman"/>
          <w:noProof/>
          <w:sz w:val="24"/>
          <w:vertAlign w:val="superscript"/>
        </w:rPr>
        <w:footnoteReference w:id="14"/>
      </w:r>
      <w:r>
        <w:rPr>
          <w:rFonts w:ascii="Times New Roman" w:hAnsi="Times New Roman"/>
          <w:noProof/>
          <w:sz w:val="24"/>
        </w:rPr>
        <w:t xml:space="preserve">. Dane te w wymierny sposób informują o „wydajności” komitetów (zob. tabela IV). </w:t>
      </w:r>
    </w:p>
    <w:p>
      <w:pPr>
        <w:spacing w:line="240" w:lineRule="auto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Na podstawie art. 11 rozporządzenia dotyczącego procedury komitetowej Parlamentowi Europejskiemu i Radzie przysługują uprawnienia kontrolne. W 2018 r. Parlament Europejski przyjął 9 rezolucji na podstawie art. 11 rozporządzenia w sprawie procedury komitetowej, natomiast Rada nie przyjęła ani jednej tego rodzaju rezolucji.</w:t>
      </w:r>
    </w:p>
    <w:p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>
      <w:pPr>
        <w:keepNext/>
        <w:spacing w:line="240" w:lineRule="auto"/>
        <w:rPr>
          <w:rFonts w:ascii="Times New Roman" w:hAnsi="Times New Roman"/>
          <w:b/>
          <w:smallCaps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u w:val="single"/>
        </w:rPr>
        <w:t xml:space="preserve">TABELA IV – </w:t>
      </w:r>
      <w:r>
        <w:rPr>
          <w:rFonts w:ascii="Times New Roman" w:hAnsi="Times New Roman"/>
          <w:b/>
          <w:smallCaps/>
          <w:noProof/>
          <w:u w:val="single"/>
        </w:rPr>
        <w:t>Liczba opinii i przyjętych aktów/środków wykonawczych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06"/>
        <w:gridCol w:w="1362"/>
        <w:gridCol w:w="1364"/>
        <w:gridCol w:w="1365"/>
        <w:gridCol w:w="1367"/>
        <w:gridCol w:w="1363"/>
        <w:gridCol w:w="1359"/>
      </w:tblGrid>
      <w:tr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 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Opinie</w:t>
            </w:r>
            <w:r>
              <w:rPr>
                <w:rStyle w:val="FootnoteReference"/>
                <w:rFonts w:ascii="Times New Roman" w:hAnsi="Times New Roman"/>
                <w:b/>
                <w:noProof/>
                <w:sz w:val="18"/>
                <w:szCs w:val="18"/>
              </w:rPr>
              <w:footnoteReference w:id="15"/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Przyjęte akty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br/>
              <w:t>wykonawcze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Procedura regulacyjna połączona z kontrolą – przyjęte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br/>
              <w:t>środki</w:t>
            </w:r>
          </w:p>
        </w:tc>
      </w:tr>
      <w:tr>
        <w:trPr>
          <w:trHeight w:val="24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2017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2017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2018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2017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2018</w:t>
            </w:r>
          </w:p>
        </w:tc>
      </w:tr>
      <w:tr>
        <w:trPr>
          <w:trHeight w:val="24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AGRI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142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146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137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145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</w:tr>
      <w:tr>
        <w:trPr>
          <w:trHeight w:val="24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BUDG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CLIMA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11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14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14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</w:tr>
      <w:tr>
        <w:trPr>
          <w:trHeight w:val="24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CNECT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19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19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18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15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DEVCO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53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67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54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66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DIGIT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EAC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ECFIN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ECHO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EMPL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ENER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ENV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31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31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16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14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18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11</w:t>
            </w:r>
          </w:p>
        </w:tc>
      </w:tr>
      <w:tr>
        <w:trPr>
          <w:trHeight w:val="24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ESTAT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</w:t>
            </w:r>
          </w:p>
        </w:tc>
      </w:tr>
      <w:tr>
        <w:trPr>
          <w:trHeight w:val="24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FISMA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18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</w:t>
            </w:r>
          </w:p>
        </w:tc>
      </w:tr>
      <w:tr>
        <w:trPr>
          <w:trHeight w:val="24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FPI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GROW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104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77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83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53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24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15</w:t>
            </w:r>
          </w:p>
        </w:tc>
      </w:tr>
      <w:tr>
        <w:trPr>
          <w:trHeight w:val="24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HOME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76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74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68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61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JUST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MARE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15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MOVE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59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61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50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57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11</w:t>
            </w:r>
          </w:p>
        </w:tc>
      </w:tr>
      <w:tr>
        <w:trPr>
          <w:trHeight w:val="24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NEAR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74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86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74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86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5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OLAF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5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REGIO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5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RTD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248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225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176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159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5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SANTE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803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629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753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603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56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38</w:t>
            </w:r>
          </w:p>
        </w:tc>
      </w:tr>
      <w:tr>
        <w:trPr>
          <w:trHeight w:val="25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SG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*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16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12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11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5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TAXUD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79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56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85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57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5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TRADE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86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59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86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52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5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OGÓŁEM: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1906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1633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1687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1456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113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uz-Latn-UZ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90</w:t>
            </w:r>
          </w:p>
        </w:tc>
      </w:tr>
    </w:tbl>
    <w:p>
      <w:pPr>
        <w:spacing w:line="240" w:lineRule="auto"/>
        <w:ind w:left="240" w:hanging="240"/>
        <w:jc w:val="both"/>
        <w:rPr>
          <w:rFonts w:ascii="Times New Roman" w:hAnsi="Times New Roman"/>
          <w:i/>
          <w:noProof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t>* W tym opinie wydane przez komitet odwoławczy i przyjęte akty.</w:t>
      </w:r>
      <w:r>
        <w:rPr>
          <w:rFonts w:ascii="Times New Roman" w:hAnsi="Times New Roman"/>
          <w:i/>
          <w:noProof/>
          <w:sz w:val="18"/>
          <w:szCs w:val="18"/>
        </w:rPr>
        <w:tab/>
      </w:r>
      <w:r>
        <w:rPr>
          <w:rFonts w:ascii="Times New Roman" w:hAnsi="Times New Roman"/>
          <w:i/>
          <w:noProof/>
          <w:sz w:val="18"/>
          <w:szCs w:val="18"/>
        </w:rPr>
        <w:br/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Posiedzenia komitetu odwoławczego</w:t>
      </w:r>
    </w:p>
    <w:p>
      <w:pPr>
        <w:spacing w:line="240" w:lineRule="auto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W 2018 r. odbyło się 6 posiedzeń komitetu odwoławczego, na których przedyskutowano 12 projektów aktów wykonawczych (w dziedzinie ochrony zdrowia i polityki konsumentów), które zostały przekazane komitetowi przez Komisję. Komitet odwoławczy nie wydał opinii w żadnym z 12 przypadków. W następstwie braku opinii w 2018 r. Komisja postanowiła przyjąć 11 aktów wykonawczych.</w:t>
      </w:r>
    </w:p>
    <w:p>
      <w:pPr>
        <w:pStyle w:val="ManualHeading2"/>
        <w:rPr>
          <w:noProof/>
        </w:rPr>
      </w:pPr>
      <w:r>
        <w:t>2.4.</w:t>
      </w:r>
      <w:r>
        <w:tab/>
      </w:r>
      <w:r>
        <w:rPr>
          <w:noProof/>
        </w:rPr>
        <w:t xml:space="preserve">Stosowanie procedury regulacyjnej połączonej z kontrolą </w:t>
      </w:r>
    </w:p>
    <w:p>
      <w:pPr>
        <w:spacing w:line="240" w:lineRule="auto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Jak wspomniano w pkt 1, reforma procedury komitetowej z 2011 r. nie miała wpływu na procedurę regulacyjną połączoną z kontrolą. Procedura ta nie może być już dłużej wykorzystywana w nowym prawodawstwie, ale nadal występuje w wielu istniejących aktach podstawowych i będzie nadal stosowana w ramach tych aktów, dopóki nie zostaną one dostosowane. W 2018 r. zgodnie z procedurą regulacyjną połączoną z kontrolą przyjęto 90 środków (zob. tabela V). Prawo do zgłoszenia sprzeciwu zostało wykorzystane raz, przez Parlament Europejski. Dla porównania – w 2017 r. prawo do zgłoszenia sprzeciwu również zostało wykorzystane raz.</w:t>
      </w:r>
    </w:p>
    <w:p>
      <w:pPr>
        <w:keepNext/>
        <w:spacing w:line="240" w:lineRule="auto"/>
        <w:rPr>
          <w:rFonts w:ascii="Times New Roman" w:hAnsi="Times New Roman"/>
          <w:b/>
          <w:smallCaps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u w:val="single"/>
        </w:rPr>
        <w:t xml:space="preserve">TABELA V – </w:t>
      </w:r>
      <w:r>
        <w:rPr>
          <w:rFonts w:ascii="Times New Roman" w:hAnsi="Times New Roman"/>
          <w:b/>
          <w:smallCaps/>
          <w:noProof/>
          <w:u w:val="single"/>
        </w:rPr>
        <w:t xml:space="preserve">Liczba środków przyjętych zgodnie z procedurą regulacyjną połączoną z kontrolą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26"/>
        <w:gridCol w:w="2486"/>
        <w:gridCol w:w="2489"/>
        <w:gridCol w:w="2485"/>
      </w:tblGrid>
      <w:tr>
        <w:trPr>
          <w:trHeight w:val="597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Procedura regulacyjna połączona z kontrolą – przyjęte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br/>
              <w:t>środki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Parlament Europejski zgłosił sprzeciw wobec przyjęcia projektu środków 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Rada zgłosiła sprzeciw wobec przyjęcia projektu środków </w:t>
            </w:r>
          </w:p>
        </w:tc>
      </w:tr>
      <w:tr>
        <w:trPr>
          <w:trHeight w:val="2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AGRI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BUDG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CLIMA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CNECT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DEVCO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DIGIT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EAC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ECFIN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ECHO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EMPL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ENER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ENV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ESTAT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FISMA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FPI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GROW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15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HOME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JUST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MARE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MOVE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NEAR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OLAF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REGIO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RTD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SANTE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SG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TAXUD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TRADE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OGÓŁEM: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90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0</w:t>
            </w:r>
          </w:p>
        </w:tc>
      </w:tr>
    </w:tbl>
    <w:p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>
      <w:pPr>
        <w:pStyle w:val="ManualHeading1"/>
        <w:rPr>
          <w:noProof/>
        </w:rPr>
      </w:pPr>
      <w:r>
        <w:t>3.</w:t>
      </w:r>
      <w:r>
        <w:tab/>
      </w:r>
      <w:r>
        <w:rPr>
          <w:noProof/>
        </w:rPr>
        <w:t>Szczegółowe informacje dotyczące działalności komitetów</w:t>
      </w:r>
    </w:p>
    <w:p>
      <w:pPr>
        <w:spacing w:line="240" w:lineRule="auto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>Dokument roboczy towarzyszący niniejszemu sprawozdaniu zawiera szczegółowe informacje na temat prac poszczególnych komitetów w 2018 r. w podziale na odpowiednie jednostki organizacyjne Komisji.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Podsumowanie</w:t>
      </w:r>
    </w:p>
    <w:p>
      <w:pPr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4"/>
        </w:rPr>
        <w:t xml:space="preserve">Parlament Europejski i Rada są proszone o przyjęcie do wiadomości niniejszego sprawozdania. 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418" w:bottom="1134" w:left="141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Strong"/>
          <w:b w:val="0"/>
        </w:rPr>
        <w:t>Rozporządzenie Parlamentu Europejskiego i Rady (UE) nr 182/2011 z dnia 16 lutego 2011 r. ustanawiające przepisy i zasady ogólne dotyczące trybu kontroli przez państwa członkowskie wykonywania uprawnień wykonawczych przez Komisję (Dz.U. L 55 z 28.2.2011, s. 13).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Sprawozdanie Komisji z prac komitetów w roku 2013 (COM(2014) 572 final).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Decyzja Rady 1999/468/WE z dnia 28 czerwca 1999 r. ustanawiająca warunki wykonywania uprawnień wykonawczych przyznanych Komisji (Dz.U. L 184 z 17.7.1999, s. 23), zmieniona decyzją 2006/512/WE (Dz.U. L 200 z 22.7.2006, s. 11) (Tekst skonsolidowany w Dz.U. C 255 z 21.10.2006, s. 4).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Porozumienie międzyinstytucjonalne pomiędzy Parlamentem Europejskim, Radą Unii Europejskiej a Komisją Europejską w sprawie lepszego stanowienia prawa z dnia 13 kwietnia 2016 r. (Dz.U. L 123 z 12.5.2016, s. 1). </w:t>
      </w:r>
    </w:p>
  </w:footnote>
  <w:footnote w:id="5">
    <w:p>
      <w:pPr>
        <w:pStyle w:val="FootnoteText"/>
        <w:ind w:left="709" w:hanging="709"/>
      </w:pPr>
      <w:r>
        <w:rPr>
          <w:rStyle w:val="FootnoteReference"/>
        </w:rPr>
        <w:footnoteRef/>
      </w:r>
      <w:r>
        <w:tab/>
        <w:t>Wniosek dotyczący rozporządzenia Parlamentu Europejskiego i Rady dostosowującego niektóre akty prawne przewidujące stosowanie procedury regulacyjnej połączonej z kontrolą do art. 290 i 291 Traktatu o funkcjonowaniu Unii Europejskiej (COM(2016) 799).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Wniosek dotyczący rozporządzenia Parlamentu Europejskiego i Rady dostosowującego niektóre akty prawne w obszarze wymiaru sprawiedliwości przewidujące stosowanie procedury regulacyjnej połączonej z kontrolą do art. 290 Traktatu o funkcjonowaniu Unii Europejskiej (COM(2016) 798).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Rozporządzenie Parlamentu Europejskiego i Rady (UE) 2019/1243 z dnia 20 czerwca 2019 r. dostosowujące niektóre akty prawne przewidujące stosowanie procedury regulacyjnej połączonej z kontrolą do art. 290 i 291 Traktatu o funkcjonowaniu Unii Europejskiej (Dz.U. L 198 z 25.7.2019, s. 241).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Sprawozdanie Komisji dla Parlamentu Europejskiego i Rady z wdrożenia rozporządzenia (UE) nr 182/2011 (COM(2016) 92).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Wniosek dotyczący rozporządzenia Parlamentu Europejskiego i Rady w sprawie zmiany rozporządzenia (UE) nr 182/2011 ustanawiającego przepisy i zasady ogólne dotyczące trybu kontroli przez państwa członkowskie wykonywania uprawnień wykonawczych przez Komisję (COM(2017) 085 final).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Porozumienie międzyinstytucjonalne w sprawie niewiążących kryteriów stosowania art. 290 i 291 Traktatu o funkcjonowaniu Unii Europejskiej (Dz.U. C 223 z 3.7.2019, s. 1).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" w:history="1">
        <w:r>
          <w:rPr>
            <w:rStyle w:val="Hyperlink"/>
          </w:rPr>
          <w:t>https://ec.europa.eu/info/law/better-regulation/have-your-say_pl</w:t>
        </w:r>
      </w:hyperlink>
      <w:r>
        <w:t xml:space="preserve"> 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 xml:space="preserve">Więcej informacji: </w:t>
      </w:r>
      <w:hyperlink r:id="rId2" w:history="1">
        <w:r>
          <w:rPr>
            <w:rStyle w:val="Hyperlink"/>
          </w:rPr>
          <w:t>https://ec.europa.eu/transparency/regexpert/index.cfm?Lang=PL</w:t>
        </w:r>
      </w:hyperlink>
      <w:r>
        <w:t xml:space="preserve">. 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Głosowanie komitetu może odbywać się podczas zwyczajnego posiedzenia komitetu lub, w należycie uzasadnionych przypadkach, za pośrednictwem procedury pisemnej zgodnie z art. 3 ust. 5 rozporządzenia dotyczącego procedury komitetowej.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Należy zauważyć, że możliwe są rozbieżności między liczbą opinii a liczbą aktów/środków wykonawczych w danym roku. Przyczyny takich rozbieżności wyjaśniono we wprowadzeniu do towarzyszącego dokumentu roboczego służb Komisji.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Głosowanie, którego wynikiem jest „brak opinii”, jest zaliczane do ogólnej liczby opinii.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FB1"/>
    <w:multiLevelType w:val="multilevel"/>
    <w:tmpl w:val="30847FD6"/>
    <w:lvl w:ilvl="0">
      <w:start w:val="1"/>
      <w:numFmt w:val="decimal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E43525"/>
    <w:multiLevelType w:val="multilevel"/>
    <w:tmpl w:val="76202BFE"/>
    <w:lvl w:ilvl="0">
      <w:start w:val="1"/>
      <w:numFmt w:val="decimal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2DD5905"/>
    <w:multiLevelType w:val="singleLevel"/>
    <w:tmpl w:val="6CB4B73E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">
    <w:nsid w:val="24E930D7"/>
    <w:multiLevelType w:val="multilevel"/>
    <w:tmpl w:val="EFD2E05E"/>
    <w:lvl w:ilvl="0">
      <w:start w:val="1"/>
      <w:numFmt w:val="decimal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AF76E7A"/>
    <w:multiLevelType w:val="singleLevel"/>
    <w:tmpl w:val="C74C5A32"/>
    <w:name w:val="Bullet 1"/>
    <w:lvl w:ilvl="0">
      <w:start w:val="1"/>
      <w:numFmt w:val="bullet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5">
    <w:nsid w:val="3A5459E8"/>
    <w:multiLevelType w:val="singleLevel"/>
    <w:tmpl w:val="2188C92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3BA736C9"/>
    <w:multiLevelType w:val="singleLevel"/>
    <w:tmpl w:val="F00A6C0C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>
    <w:nsid w:val="3C90278F"/>
    <w:multiLevelType w:val="singleLevel"/>
    <w:tmpl w:val="0FE08974"/>
    <w:name w:val="Tiret 1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8">
    <w:nsid w:val="3E191884"/>
    <w:multiLevelType w:val="singleLevel"/>
    <w:tmpl w:val="3020C764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>
    <w:nsid w:val="40315490"/>
    <w:multiLevelType w:val="singleLevel"/>
    <w:tmpl w:val="1F86C700"/>
    <w:name w:val="7,134676E-02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0">
    <w:nsid w:val="48842C30"/>
    <w:multiLevelType w:val="singleLevel"/>
    <w:tmpl w:val="4FA60B90"/>
    <w:name w:val="List Dash"/>
    <w:lvl w:ilvl="0">
      <w:start w:val="1"/>
      <w:numFmt w:val="bullet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1">
    <w:nsid w:val="54593082"/>
    <w:multiLevelType w:val="singleLevel"/>
    <w:tmpl w:val="EDE069AC"/>
    <w:name w:val="Tiret 0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2">
    <w:nsid w:val="568864DC"/>
    <w:multiLevelType w:val="singleLevel"/>
    <w:tmpl w:val="485EBDAC"/>
    <w:name w:val="Tiret 3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>
    <w:nsid w:val="596D67A1"/>
    <w:multiLevelType w:val="singleLevel"/>
    <w:tmpl w:val="9AC8831A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4">
    <w:nsid w:val="5F342530"/>
    <w:multiLevelType w:val="singleLevel"/>
    <w:tmpl w:val="D5444702"/>
    <w:name w:val="List Dash 2"/>
    <w:lvl w:ilvl="0">
      <w:start w:val="1"/>
      <w:numFmt w:val="bullet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5">
    <w:nsid w:val="5F8C3B69"/>
    <w:multiLevelType w:val="multilevel"/>
    <w:tmpl w:val="9B14DAA8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F9C40AA"/>
    <w:multiLevelType w:val="singleLevel"/>
    <w:tmpl w:val="B89CB5A2"/>
    <w:lvl w:ilvl="0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7">
    <w:nsid w:val="62970F71"/>
    <w:multiLevelType w:val="singleLevel"/>
    <w:tmpl w:val="5AFA8C72"/>
    <w:name w:val="Bullet 4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8">
    <w:nsid w:val="62A8042C"/>
    <w:multiLevelType w:val="singleLevel"/>
    <w:tmpl w:val="CCF20C06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9">
    <w:nsid w:val="69995580"/>
    <w:multiLevelType w:val="singleLevel"/>
    <w:tmpl w:val="75CC7CBA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0">
    <w:nsid w:val="6A6901C1"/>
    <w:multiLevelType w:val="singleLevel"/>
    <w:tmpl w:val="208841AE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1">
    <w:nsid w:val="6D2B5511"/>
    <w:multiLevelType w:val="singleLevel"/>
    <w:tmpl w:val="74A0997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2">
    <w:nsid w:val="711167E2"/>
    <w:multiLevelType w:val="multilevel"/>
    <w:tmpl w:val="C3843A7A"/>
    <w:name w:val="List Dash 1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5C26F71"/>
    <w:multiLevelType w:val="multilevel"/>
    <w:tmpl w:val="8320DD02"/>
    <w:name w:val="Bullet 0"/>
    <w:lvl w:ilvl="0">
      <w:start w:val="1"/>
      <w:numFmt w:val="decimal"/>
      <w:pStyle w:val="Heading1"/>
      <w:lvlText w:val="%1."/>
      <w:lvlJc w:val="left"/>
      <w:pPr>
        <w:tabs>
          <w:tab w:val="num" w:pos="850"/>
        </w:tabs>
        <w:ind w:left="850" w:hanging="850"/>
      </w:pPr>
      <w:rPr>
        <w:color w:val="auto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8A241BD"/>
    <w:multiLevelType w:val="singleLevel"/>
    <w:tmpl w:val="53C4DF32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5">
    <w:nsid w:val="79C96D36"/>
    <w:multiLevelType w:val="multilevel"/>
    <w:tmpl w:val="BE983CE4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BE95D7F"/>
    <w:multiLevelType w:val="multilevel"/>
    <w:tmpl w:val="F126F780"/>
    <w:name w:val="List Bulle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7">
    <w:nsid w:val="7D8820A0"/>
    <w:multiLevelType w:val="singleLevel"/>
    <w:tmpl w:val="54F6C7B4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8">
    <w:nsid w:val="7F7154E1"/>
    <w:multiLevelType w:val="singleLevel"/>
    <w:tmpl w:val="E3F6D2C6"/>
    <w:lvl w:ilvl="0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28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7"/>
  </w:num>
  <w:num w:numId="13">
    <w:abstractNumId w:val="7"/>
  </w:num>
  <w:num w:numId="14">
    <w:abstractNumId w:val="1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6"/>
  </w:num>
  <w:num w:numId="20">
    <w:abstractNumId w:val="14"/>
  </w:num>
  <w:num w:numId="21">
    <w:abstractNumId w:val="10"/>
  </w:num>
  <w:num w:numId="22">
    <w:abstractNumId w:val="19"/>
    <w:lvlOverride w:ilvl="0">
      <w:startOverride w:val="1"/>
    </w:lvlOverride>
  </w:num>
  <w:num w:numId="23">
    <w:abstractNumId w:val="20"/>
  </w:num>
  <w:num w:numId="24">
    <w:abstractNumId w:val="9"/>
  </w:num>
  <w:num w:numId="25">
    <w:abstractNumId w:val="18"/>
  </w:num>
  <w:num w:numId="26">
    <w:abstractNumId w:val="13"/>
  </w:num>
  <w:num w:numId="27">
    <w:abstractNumId w:val="24"/>
  </w:num>
  <w:num w:numId="28">
    <w:abstractNumId w:val="27"/>
  </w:num>
  <w:num w:numId="29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revisionView w:markup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93B3FA5C-E62E-4981-9EEB-25E8235C97D3"/>
    <w:docVar w:name="LW_COVERPAGE_TYPE" w:val="1"/>
    <w:docVar w:name="LW_CROSSREFERENCE" w:val="{SWD(2019) 441 final}"/>
    <w:docVar w:name="LW_DocType" w:val="NORMAL"/>
    <w:docVar w:name="LW_EMISSION" w:val="16.12.2019"/>
    <w:docVar w:name="LW_EMISSION_ISODATE" w:val="2019-12-16"/>
    <w:docVar w:name="LW_EMISSION_LOCATION" w:val="BRX"/>
    <w:docVar w:name="LW_EMISSION_PREFIX" w:val="Bruksela, dnia "/>
    <w:docVar w:name="LW_EMISSION_SUFFIX" w:val=" r."/>
    <w:docVar w:name="LW_ID_DOCTYPE_NONLW" w:val="CP-003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6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Z PRAC KOMITETÓW W ROKU 2018"/>
    <w:docVar w:name="LW_TYPE.DOC.CP" w:val="SPRAWOZDANIE KOMISJ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semiHidden="0" w:uiPriority="0" w:unhideWhenUsed="0" w:qFormat="1"/>
    <w:lsdException w:name="table of figures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/>
      <w:b/>
      <w:bCs/>
      <w:smallCaps/>
      <w:sz w:val="24"/>
      <w:szCs w:val="32"/>
    </w:rPr>
  </w:style>
  <w:style w:type="paragraph" w:styleId="Heading2">
    <w:name w:val="heading 2"/>
    <w:basedOn w:val="Normal"/>
    <w:next w:val="Text1"/>
    <w:link w:val="Heading2Char"/>
    <w:qFormat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Text1"/>
    <w:link w:val="Heading3Char"/>
    <w:qFormat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Cs/>
      <w:i/>
      <w:sz w:val="24"/>
      <w:szCs w:val="26"/>
    </w:rPr>
  </w:style>
  <w:style w:type="paragraph" w:styleId="Heading4">
    <w:name w:val="heading 4"/>
    <w:basedOn w:val="Normal"/>
    <w:next w:val="Text1"/>
    <w:link w:val="Heading4Char"/>
    <w:qFormat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/>
      <w:b/>
      <w:bCs/>
      <w:smallCaps/>
      <w:sz w:val="24"/>
      <w:szCs w:val="32"/>
      <w:lang w:eastAsia="en-US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semiHidden/>
    <w:rPr>
      <w:rFonts w:ascii="Times New Roman" w:eastAsia="Times New Roman" w:hAnsi="Times New Roman"/>
      <w:bCs/>
      <w:i/>
      <w:sz w:val="24"/>
      <w:szCs w:val="26"/>
      <w:lang w:eastAsia="en-US"/>
    </w:rPr>
  </w:style>
  <w:style w:type="character" w:customStyle="1" w:styleId="Heading4Char">
    <w:name w:val="Heading 4 Char"/>
    <w:link w:val="Heading4"/>
    <w:semiHidden/>
    <w:rPr>
      <w:rFonts w:ascii="Times New Roman" w:eastAsia="Times New Roman" w:hAnsi="Times New Roman"/>
      <w:bCs/>
      <w:sz w:val="24"/>
      <w:szCs w:val="28"/>
      <w:lang w:eastAsia="en-US"/>
    </w:rPr>
  </w:style>
  <w:style w:type="character" w:styleId="Hyperlink">
    <w:name w:val="Hyperlink"/>
    <w:unhideWhenUsed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paragraph" w:customStyle="1" w:styleId="Text1">
    <w:name w:val="Text 1"/>
    <w:basedOn w:val="Normal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unhideWhenUsed/>
    <w:pPr>
      <w:tabs>
        <w:tab w:val="right" w:leader="dot" w:pos="9071"/>
      </w:tabs>
      <w:spacing w:before="30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unhideWhenUsed/>
    <w:pPr>
      <w:tabs>
        <w:tab w:val="right" w:leader="dot" w:pos="9071"/>
      </w:tabs>
      <w:spacing w:before="24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unhideWhenUsed/>
    <w:pPr>
      <w:tabs>
        <w:tab w:val="right" w:leader="dot" w:pos="9071"/>
      </w:tabs>
      <w:spacing w:before="18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unhideWhenUsed/>
    <w:pPr>
      <w:tabs>
        <w:tab w:val="right" w:leader="dot" w:pos="9071"/>
      </w:tabs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unhideWhenUsed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rFonts w:ascii="Times New Roman" w:eastAsia="Times New Roman" w:hAnsi="Times New Roman"/>
      <w:lang w:eastAsia="en-US"/>
    </w:rPr>
  </w:style>
  <w:style w:type="paragraph" w:styleId="CommentText">
    <w:name w:val="annotation text"/>
    <w:basedOn w:val="Normal"/>
    <w:link w:val="CommentTextChar"/>
    <w:semiHidden/>
    <w:unhideWhenUsed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semiHidden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pPr>
      <w:spacing w:before="120" w:after="120" w:line="240" w:lineRule="auto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unhideWhenUsed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semiHidden/>
    <w:rPr>
      <w:rFonts w:ascii="Times New Roman" w:eastAsia="Times New Roman" w:hAnsi="Times New Roman"/>
      <w:lang w:eastAsia="en-US"/>
    </w:rPr>
  </w:style>
  <w:style w:type="paragraph" w:styleId="ListBullet">
    <w:name w:val="List Bullet"/>
    <w:basedOn w:val="Normal"/>
    <w:semiHidden/>
    <w:unhideWhenUsed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Number">
    <w:name w:val="List Number"/>
    <w:basedOn w:val="Normal"/>
    <w:semiHidden/>
    <w:unhideWhenUsed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Bullet2">
    <w:name w:val="List Bullet 2"/>
    <w:basedOn w:val="Normal"/>
    <w:semiHidden/>
    <w:unhideWhenUsed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Bullet3">
    <w:name w:val="List Bullet 3"/>
    <w:basedOn w:val="Normal"/>
    <w:semiHidden/>
    <w:unhideWhenUsed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Bullet4">
    <w:name w:val="List Bullet 4"/>
    <w:basedOn w:val="Normal"/>
    <w:semiHidden/>
    <w:unhideWhenUsed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Number2">
    <w:name w:val="List Number 2"/>
    <w:basedOn w:val="Normal"/>
    <w:semiHidden/>
    <w:unhideWhenUsed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Number3">
    <w:name w:val="List Number 3"/>
    <w:basedOn w:val="Normal"/>
    <w:semiHidden/>
    <w:unhideWhenUsed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Number4">
    <w:name w:val="List Number 4"/>
    <w:basedOn w:val="Normal"/>
    <w:semiHidden/>
    <w:unhideWhenUsed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lang w:eastAsia="de-DE"/>
    </w:rPr>
  </w:style>
  <w:style w:type="character" w:customStyle="1" w:styleId="CommentSubjectChar">
    <w:name w:val="Comment Subject Char"/>
    <w:link w:val="CommentSubject"/>
    <w:semiHidden/>
    <w:rPr>
      <w:rFonts w:ascii="Times New Roman" w:eastAsia="Times New Roman" w:hAnsi="Times New Roman"/>
      <w:b/>
      <w:bCs/>
      <w:lang w:eastAsia="de-DE"/>
    </w:rPr>
  </w:style>
  <w:style w:type="paragraph" w:styleId="BalloonText">
    <w:name w:val="Balloon Text"/>
    <w:basedOn w:val="Normal"/>
    <w:link w:val="BalloonTextChar"/>
    <w:semiHidden/>
    <w:unhideWhenUsed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alloonTextChar">
    <w:name w:val="Balloon Text Char"/>
    <w:link w:val="BalloonText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Revision">
    <w:name w:val="Revision"/>
    <w:uiPriority w:val="99"/>
    <w:semiHidden/>
    <w:rPr>
      <w:rFonts w:ascii="Times New Roman" w:eastAsia="Times New Roman" w:hAnsi="Times New Roman"/>
      <w:sz w:val="24"/>
      <w:szCs w:val="24"/>
      <w:lang w:eastAsia="en-US"/>
    </w:rPr>
  </w:style>
  <w:style w:type="paragraph" w:styleId="TOCHeading">
    <w:name w:val="TOC Heading"/>
    <w:basedOn w:val="Normal"/>
    <w:next w:val="Normal"/>
    <w:qFormat/>
    <w:pPr>
      <w:spacing w:before="120" w:after="24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/>
      <w:sz w:val="24"/>
    </w:rPr>
  </w:style>
  <w:style w:type="paragraph" w:customStyle="1" w:styleId="Text2">
    <w:name w:val="Text 2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3">
    <w:name w:val="Text 3"/>
    <w:basedOn w:val="Normal"/>
    <w:pPr>
      <w:spacing w:before="120" w:after="120" w:line="240" w:lineRule="auto"/>
      <w:ind w:left="19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4">
    <w:name w:val="Text 4"/>
    <w:basedOn w:val="Normal"/>
    <w:pPr>
      <w:spacing w:before="120" w:after="120" w:line="240" w:lineRule="auto"/>
      <w:ind w:left="25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Centered">
    <w:name w:val="Normal Centered"/>
    <w:basedOn w:val="Normal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ormalLeft">
    <w:name w:val="Normal Left"/>
    <w:basedOn w:val="Normal"/>
    <w:pPr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Right">
    <w:name w:val="Normal Right"/>
    <w:basedOn w:val="Normal"/>
    <w:pPr>
      <w:spacing w:before="120" w:after="12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QuotedText">
    <w:name w:val="Quoted Text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">
    <w:name w:val="Point 0"/>
    <w:basedOn w:val="Normal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">
    <w:name w:val="Point 1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">
    <w:name w:val="Point 2"/>
    <w:basedOn w:val="Normal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">
    <w:name w:val="Point 3"/>
    <w:basedOn w:val="Normal"/>
    <w:pPr>
      <w:spacing w:before="120" w:after="120" w:line="240" w:lineRule="auto"/>
      <w:ind w:left="2551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">
    <w:name w:val="Point 4"/>
    <w:basedOn w:val="Normal"/>
    <w:pPr>
      <w:spacing w:before="120" w:after="120" w:line="240" w:lineRule="auto"/>
      <w:ind w:left="3118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1">
    <w:name w:val="PointDouble 1"/>
    <w:basedOn w:val="Normal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2">
    <w:name w:val="PointDouble 2"/>
    <w:basedOn w:val="Normal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3">
    <w:name w:val="PointDouble 3"/>
    <w:basedOn w:val="Normal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4">
    <w:name w:val="PointDouble 4"/>
    <w:basedOn w:val="Normal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1">
    <w:name w:val="NumPar 1"/>
    <w:basedOn w:val="Normal"/>
    <w:next w:val="Text1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1">
    <w:name w:val="Manual NumPar 1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2">
    <w:name w:val="Manual NumPar 2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3">
    <w:name w:val="Manual NumPar 3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4">
    <w:name w:val="Manual NumPar 4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QuotedNumPar">
    <w:name w:val="Quoted NumPar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ChapterTitle">
    <w:name w:val="ChapterTitle"/>
    <w:basedOn w:val="Normal"/>
    <w:next w:val="Normal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z w:val="32"/>
      <w:szCs w:val="24"/>
    </w:rPr>
  </w:style>
  <w:style w:type="paragraph" w:customStyle="1" w:styleId="PartTitle">
    <w:name w:val="PartTitle"/>
    <w:basedOn w:val="Normal"/>
    <w:next w:val="ChapterTitle"/>
    <w:pPr>
      <w:keepNext/>
      <w:pageBreakBefore/>
      <w:spacing w:before="120" w:after="360" w:line="240" w:lineRule="auto"/>
      <w:jc w:val="center"/>
    </w:pPr>
    <w:rPr>
      <w:rFonts w:ascii="Times New Roman" w:eastAsia="Times New Roman" w:hAnsi="Times New Roman"/>
      <w:b/>
      <w:sz w:val="36"/>
      <w:szCs w:val="24"/>
    </w:rPr>
  </w:style>
  <w:style w:type="paragraph" w:customStyle="1" w:styleId="SectionTitle">
    <w:name w:val="SectionTitle"/>
    <w:basedOn w:val="Normal"/>
    <w:next w:val="Heading1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mallCaps/>
      <w:sz w:val="28"/>
      <w:szCs w:val="24"/>
    </w:rPr>
  </w:style>
  <w:style w:type="paragraph" w:customStyle="1" w:styleId="TableTitle">
    <w:name w:val="Table Titl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Point0number">
    <w:name w:val="Point 0 (number)"/>
    <w:basedOn w:val="Normal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number">
    <w:name w:val="Point 1 (number)"/>
    <w:basedOn w:val="Normal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number">
    <w:name w:val="Point 2 (number)"/>
    <w:basedOn w:val="Normal"/>
    <w:pPr>
      <w:numPr>
        <w:ilvl w:val="4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number">
    <w:name w:val="Point 3 (number)"/>
    <w:basedOn w:val="Normal"/>
    <w:pPr>
      <w:numPr>
        <w:ilvl w:val="6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letter">
    <w:name w:val="Point 0 (letter)"/>
    <w:basedOn w:val="Normal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letter">
    <w:name w:val="Point 1 (letter)"/>
    <w:basedOn w:val="Normal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letter">
    <w:name w:val="Point 2 (letter)"/>
    <w:basedOn w:val="Normal"/>
    <w:pPr>
      <w:numPr>
        <w:ilvl w:val="5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letter">
    <w:name w:val="Point 3 (letter)"/>
    <w:basedOn w:val="Normal"/>
    <w:pPr>
      <w:numPr>
        <w:ilvl w:val="7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letter">
    <w:name w:val="Point 4 (letter)"/>
    <w:basedOn w:val="Normal"/>
    <w:pPr>
      <w:numPr>
        <w:ilvl w:val="8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0">
    <w:name w:val="Bullet 0"/>
    <w:basedOn w:val="Normal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1">
    <w:name w:val="Bullet 1"/>
    <w:basedOn w:val="Normal"/>
    <w:pPr>
      <w:numPr>
        <w:numId w:val="1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2">
    <w:name w:val="Bullet 2"/>
    <w:basedOn w:val="Normal"/>
    <w:pPr>
      <w:numPr>
        <w:numId w:val="1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3">
    <w:name w:val="Bullet 3"/>
    <w:basedOn w:val="Normal"/>
    <w:pPr>
      <w:numPr>
        <w:numId w:val="2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4">
    <w:name w:val="Bullet 4"/>
    <w:basedOn w:val="Normal"/>
    <w:pPr>
      <w:numPr>
        <w:numId w:val="2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nnexetitreexpos">
    <w:name w:val="Annexe titre (exposé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pplicationdirecte">
    <w:name w:val="Application directe"/>
    <w:basedOn w:val="Normal"/>
    <w:next w:val="Fait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 w:line="240" w:lineRule="auto"/>
    </w:pPr>
    <w:rPr>
      <w:rFonts w:ascii="Times New Roman" w:eastAsia="Times New Roman" w:hAnsi="Times New Roman"/>
      <w:i/>
      <w:sz w:val="24"/>
      <w:szCs w:val="24"/>
    </w:rPr>
  </w:style>
  <w:style w:type="paragraph" w:customStyle="1" w:styleId="Avertissementtitre">
    <w:name w:val="Avertissement titre"/>
    <w:basedOn w:val="Normal"/>
    <w:next w:val="Normal"/>
    <w:pPr>
      <w:keepNext/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Confidence">
    <w:name w:val="Confidence"/>
    <w:basedOn w:val="Normal"/>
    <w:next w:val="Normal"/>
    <w:pPr>
      <w:spacing w:before="360"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ypedudocumentPagedecouverture">
    <w:name w:val="Type du document (Page de couverture)"/>
    <w:basedOn w:val="Normal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fidentialit">
    <w:name w:val="Confidentialité"/>
    <w:basedOn w:val="Normal"/>
    <w:next w:val="TypedudocumentPagedecouverture"/>
    <w:pPr>
      <w:spacing w:before="240" w:after="240" w:line="240" w:lineRule="auto"/>
      <w:ind w:left="5103"/>
      <w:jc w:val="both"/>
    </w:pPr>
    <w:rPr>
      <w:rFonts w:ascii="Times New Roman" w:eastAsia="Times New Roman" w:hAnsi="Times New Roman"/>
      <w:i/>
      <w:sz w:val="32"/>
      <w:szCs w:val="24"/>
    </w:rPr>
  </w:style>
  <w:style w:type="paragraph" w:customStyle="1" w:styleId="Titreobjet">
    <w:name w:val="Titre objet"/>
    <w:basedOn w:val="Normal"/>
    <w:next w:val="Sous-titreobjet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Typedudocument">
    <w:name w:val="Type du document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Sous-titreobjet">
    <w:name w:val="Sous-titre objet"/>
    <w:basedOn w:val="Normal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Considrant">
    <w:name w:val="Considérant"/>
    <w:basedOn w:val="Normal"/>
    <w:pPr>
      <w:numPr>
        <w:numId w:val="2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rigendum">
    <w:name w:val="Corrigendum"/>
    <w:basedOn w:val="Normal"/>
    <w:next w:val="Normal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dadoption">
    <w:name w:val="Date d'adoption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Rfrenceinstitutionnelle">
    <w:name w:val="Référence institutionnell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Emission">
    <w:name w:val="Emission"/>
    <w:basedOn w:val="Normal"/>
    <w:next w:val="Rfrenceinstitutionnelle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Exposdesmotifstitre">
    <w:name w:val="Exposé des motifs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szCs w:val="24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frenceinterne">
    <w:name w:val="Référence interne"/>
    <w:basedOn w:val="Normal"/>
    <w:next w:val="Rfrenceinterinstitutionnelle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Rfrenceinterinstitutionnelle">
    <w:name w:val="Référence interinstitutionnelle"/>
    <w:basedOn w:val="Normal"/>
    <w:next w:val="Statut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Statut">
    <w:name w:val="Statut"/>
    <w:basedOn w:val="Normal"/>
    <w:next w:val="Typedudocument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ManualConsidrant">
    <w:name w:val="Manual Considérant"/>
    <w:basedOn w:val="Normal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mdelinstitution">
    <w:name w:val="Nom de l'institution"/>
    <w:basedOn w:val="Normal"/>
    <w:next w:val="Emission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dress">
    <w:name w:val="Address"/>
    <w:basedOn w:val="Normal"/>
    <w:next w:val="Normal"/>
    <w:pPr>
      <w:keepLines/>
      <w:spacing w:before="120" w:after="120" w:line="360" w:lineRule="auto"/>
      <w:ind w:left="3402"/>
    </w:pPr>
    <w:rPr>
      <w:rFonts w:ascii="Times New Roman" w:eastAsia="Times New Roman" w:hAnsi="Times New Roman"/>
      <w:sz w:val="24"/>
      <w:szCs w:val="24"/>
    </w:rPr>
  </w:style>
  <w:style w:type="paragraph" w:customStyle="1" w:styleId="Objetexterne">
    <w:name w:val="Objet externe"/>
    <w:basedOn w:val="Normal"/>
    <w:next w:val="Normal"/>
    <w:pPr>
      <w:spacing w:before="120" w:after="120" w:line="240" w:lineRule="auto"/>
      <w:jc w:val="both"/>
    </w:pPr>
    <w:rPr>
      <w:rFonts w:ascii="Times New Roman" w:eastAsia="Times New Roman" w:hAnsi="Times New Roman"/>
      <w:i/>
      <w:caps/>
      <w:sz w:val="24"/>
      <w:szCs w:val="24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upertitre">
    <w:name w:val="Supertitre"/>
    <w:basedOn w:val="Normal"/>
    <w:next w:val="Normal"/>
    <w:pPr>
      <w:spacing w:after="60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Languesfaisantfoi">
    <w:name w:val="Langues faisant foi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Rfrencecroise">
    <w:name w:val="Référence croisée"/>
    <w:basedOn w:val="Normal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Fichefinanciretitre">
    <w:name w:val="Fiche financièr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Volume">
    <w:name w:val="Volum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Typeacteprincipal">
    <w:name w:val="Type acte principal"/>
    <w:basedOn w:val="Normal"/>
    <w:next w:val="Objetacteprincipal"/>
    <w:pPr>
      <w:spacing w:after="24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Accompagnant">
    <w:name w:val="Accompagnant"/>
    <w:basedOn w:val="Normal"/>
    <w:next w:val="Typeacteprincipal"/>
    <w:pPr>
      <w:spacing w:after="240" w:line="240" w:lineRule="auto"/>
      <w:jc w:val="center"/>
    </w:pPr>
    <w:rPr>
      <w:rFonts w:ascii="Times New Roman" w:eastAsia="Times New Roman" w:hAnsi="Times New Roman"/>
      <w:b/>
      <w:i/>
      <w:sz w:val="24"/>
      <w:szCs w:val="24"/>
    </w:rPr>
  </w:style>
  <w:style w:type="paragraph" w:customStyle="1" w:styleId="Objetacteprincipal">
    <w:name w:val="Objet acte principal"/>
    <w:basedOn w:val="Normal"/>
    <w:next w:val="Titrearticle"/>
    <w:pPr>
      <w:spacing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istBullet1">
    <w:name w:val="List Bullet 1"/>
    <w:basedOn w:val="Normal"/>
    <w:pPr>
      <w:numPr>
        <w:numId w:val="2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">
    <w:name w:val="List Dash"/>
    <w:basedOn w:val="Normal"/>
    <w:pPr>
      <w:numPr>
        <w:numId w:val="2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1">
    <w:name w:val="List Dash 1"/>
    <w:basedOn w:val="Normal"/>
    <w:pPr>
      <w:numPr>
        <w:numId w:val="2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2">
    <w:name w:val="List Dash 2"/>
    <w:basedOn w:val="Normal"/>
    <w:pPr>
      <w:numPr>
        <w:numId w:val="2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3">
    <w:name w:val="List Dash 3"/>
    <w:basedOn w:val="Normal"/>
    <w:pPr>
      <w:numPr>
        <w:numId w:val="2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4">
    <w:name w:val="List Dash 4"/>
    <w:basedOn w:val="Normal"/>
    <w:pPr>
      <w:numPr>
        <w:numId w:val="2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Number1">
    <w:name w:val="List Number 1"/>
    <w:basedOn w:val="Text1"/>
    <w:pPr>
      <w:numPr>
        <w:numId w:val="29"/>
      </w:numPr>
    </w:pPr>
    <w:rPr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Number1Level2">
    <w:name w:val="List Number 1 (Level 2)"/>
    <w:basedOn w:val="Text1"/>
    <w:pPr>
      <w:numPr>
        <w:ilvl w:val="1"/>
        <w:numId w:val="29"/>
      </w:numPr>
    </w:pPr>
    <w:rPr>
      <w:lang w:eastAsia="de-DE"/>
    </w:rPr>
  </w:style>
  <w:style w:type="paragraph" w:customStyle="1" w:styleId="ListNumber2Level2">
    <w:name w:val="List Number 2 (Level 2)"/>
    <w:basedOn w:val="Text2"/>
    <w:pPr>
      <w:numPr>
        <w:ilvl w:val="1"/>
        <w:numId w:val="7"/>
      </w:numPr>
    </w:pPr>
    <w:rPr>
      <w:lang w:eastAsia="de-DE"/>
    </w:rPr>
  </w:style>
  <w:style w:type="paragraph" w:customStyle="1" w:styleId="ListNumber3Level2">
    <w:name w:val="List Number 3 (Level 2)"/>
    <w:basedOn w:val="Text3"/>
    <w:pPr>
      <w:numPr>
        <w:ilvl w:val="1"/>
        <w:numId w:val="8"/>
      </w:numPr>
    </w:pPr>
    <w:rPr>
      <w:lang w:eastAsia="de-DE"/>
    </w:rPr>
  </w:style>
  <w:style w:type="paragraph" w:customStyle="1" w:styleId="ListNumber4Level2">
    <w:name w:val="List Number 4 (Level 2)"/>
    <w:basedOn w:val="Text4"/>
    <w:pPr>
      <w:numPr>
        <w:ilvl w:val="1"/>
        <w:numId w:val="9"/>
      </w:numPr>
    </w:pPr>
    <w:rPr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Number1Level3">
    <w:name w:val="List Number 1 (Level 3)"/>
    <w:basedOn w:val="Text1"/>
    <w:pPr>
      <w:numPr>
        <w:ilvl w:val="2"/>
        <w:numId w:val="29"/>
      </w:numPr>
    </w:pPr>
    <w:rPr>
      <w:lang w:eastAsia="de-DE"/>
    </w:rPr>
  </w:style>
  <w:style w:type="paragraph" w:customStyle="1" w:styleId="ListNumber2Level3">
    <w:name w:val="List Number 2 (Level 3)"/>
    <w:basedOn w:val="Text2"/>
    <w:pPr>
      <w:numPr>
        <w:ilvl w:val="2"/>
        <w:numId w:val="7"/>
      </w:numPr>
    </w:pPr>
    <w:rPr>
      <w:lang w:eastAsia="de-DE"/>
    </w:rPr>
  </w:style>
  <w:style w:type="paragraph" w:customStyle="1" w:styleId="ListNumber3Level3">
    <w:name w:val="List Number 3 (Level 3)"/>
    <w:basedOn w:val="Text3"/>
    <w:pPr>
      <w:numPr>
        <w:ilvl w:val="2"/>
        <w:numId w:val="8"/>
      </w:numPr>
    </w:pPr>
    <w:rPr>
      <w:lang w:eastAsia="de-DE"/>
    </w:rPr>
  </w:style>
  <w:style w:type="paragraph" w:customStyle="1" w:styleId="ListNumber4Level3">
    <w:name w:val="List Number 4 (Level 3)"/>
    <w:basedOn w:val="Text4"/>
    <w:pPr>
      <w:numPr>
        <w:ilvl w:val="2"/>
        <w:numId w:val="9"/>
      </w:numPr>
    </w:pPr>
    <w:rPr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Number1Level4">
    <w:name w:val="List Number 1 (Level 4)"/>
    <w:basedOn w:val="Text1"/>
    <w:pPr>
      <w:numPr>
        <w:ilvl w:val="3"/>
        <w:numId w:val="29"/>
      </w:numPr>
    </w:pPr>
    <w:rPr>
      <w:lang w:eastAsia="de-DE"/>
    </w:rPr>
  </w:style>
  <w:style w:type="paragraph" w:customStyle="1" w:styleId="ListNumber2Level4">
    <w:name w:val="List Number 2 (Level 4)"/>
    <w:basedOn w:val="Text2"/>
    <w:pPr>
      <w:numPr>
        <w:ilvl w:val="3"/>
        <w:numId w:val="7"/>
      </w:numPr>
    </w:pPr>
    <w:rPr>
      <w:lang w:eastAsia="de-DE"/>
    </w:rPr>
  </w:style>
  <w:style w:type="paragraph" w:customStyle="1" w:styleId="ListNumber3Level4">
    <w:name w:val="List Number 3 (Level 4)"/>
    <w:basedOn w:val="Text3"/>
    <w:pPr>
      <w:numPr>
        <w:ilvl w:val="3"/>
        <w:numId w:val="8"/>
      </w:numPr>
    </w:pPr>
    <w:rPr>
      <w:lang w:eastAsia="de-DE"/>
    </w:rPr>
  </w:style>
  <w:style w:type="paragraph" w:customStyle="1" w:styleId="ListNumber4Level4">
    <w:name w:val="List Number 4 (Level 4)"/>
    <w:basedOn w:val="Text4"/>
    <w:pPr>
      <w:numPr>
        <w:ilvl w:val="3"/>
        <w:numId w:val="9"/>
      </w:numPr>
    </w:pPr>
    <w:rPr>
      <w:lang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Sous-titreobjetprliminaire">
    <w:name w:val="Sous-titre objet (préliminaire)"/>
    <w:basedOn w:val="Normal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de-DE"/>
    </w:rPr>
  </w:style>
  <w:style w:type="paragraph" w:customStyle="1" w:styleId="Statutprliminaire">
    <w:name w:val="Statut (préliminai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de-DE"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de-DE"/>
    </w:rPr>
  </w:style>
  <w:style w:type="paragraph" w:customStyle="1" w:styleId="c19marge1">
    <w:name w:val="c19marge1"/>
    <w:basedOn w:val="Normal"/>
    <w:pPr>
      <w:spacing w:after="240" w:line="240" w:lineRule="auto"/>
      <w:ind w:left="1247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08dispositif">
    <w:name w:val="c08dispositif"/>
    <w:basedOn w:val="Normal"/>
    <w:pPr>
      <w:spacing w:before="100" w:beforeAutospacing="1" w:after="240" w:line="240" w:lineRule="auto"/>
      <w:ind w:left="1134" w:hanging="567"/>
      <w:jc w:val="both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styleId="CommentReference">
    <w:name w:val="annotation reference"/>
    <w:semiHidden/>
    <w:unhideWhenUsed/>
    <w:rPr>
      <w:rFonts w:ascii="Times New Roman" w:hAnsi="Times New Roman" w:cs="Times New Roman" w:hint="default"/>
      <w:sz w:val="16"/>
    </w:rPr>
  </w:style>
  <w:style w:type="character" w:styleId="EndnoteReference">
    <w:name w:val="endnote reference"/>
    <w:semiHidden/>
    <w:unhideWhenUsed/>
    <w:rPr>
      <w:vertAlign w:val="superscript"/>
    </w:rPr>
  </w:style>
  <w:style w:type="character" w:customStyle="1" w:styleId="Marker">
    <w:name w:val="Marker"/>
    <w:rPr>
      <w:color w:val="0000FF"/>
    </w:rPr>
  </w:style>
  <w:style w:type="character" w:customStyle="1" w:styleId="Marker1">
    <w:name w:val="Marker1"/>
    <w:rPr>
      <w:color w:val="008000"/>
    </w:rPr>
  </w:style>
  <w:style w:type="character" w:customStyle="1" w:styleId="Marker2">
    <w:name w:val="Marker2"/>
    <w:rPr>
      <w:color w:val="FF0000"/>
    </w:rPr>
  </w:style>
  <w:style w:type="character" w:customStyle="1" w:styleId="Added">
    <w:name w:val="Added"/>
    <w:rPr>
      <w:b/>
      <w:bCs w:val="0"/>
      <w:u w:val="single"/>
    </w:rPr>
  </w:style>
  <w:style w:type="character" w:customStyle="1" w:styleId="Deleted">
    <w:name w:val="Deleted"/>
    <w:rPr>
      <w:strike/>
    </w:rPr>
  </w:style>
  <w:style w:type="table" w:styleId="TableGrid">
    <w:name w:val="Table Grid"/>
    <w:basedOn w:val="TableNormal"/>
    <w:pPr>
      <w:spacing w:before="120" w:after="120"/>
      <w:jc w:val="both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semiHidden="0" w:uiPriority="0" w:unhideWhenUsed="0" w:qFormat="1"/>
    <w:lsdException w:name="table of figures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/>
      <w:b/>
      <w:bCs/>
      <w:smallCaps/>
      <w:sz w:val="24"/>
      <w:szCs w:val="32"/>
    </w:rPr>
  </w:style>
  <w:style w:type="paragraph" w:styleId="Heading2">
    <w:name w:val="heading 2"/>
    <w:basedOn w:val="Normal"/>
    <w:next w:val="Text1"/>
    <w:link w:val="Heading2Char"/>
    <w:qFormat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Text1"/>
    <w:link w:val="Heading3Char"/>
    <w:qFormat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Cs/>
      <w:i/>
      <w:sz w:val="24"/>
      <w:szCs w:val="26"/>
    </w:rPr>
  </w:style>
  <w:style w:type="paragraph" w:styleId="Heading4">
    <w:name w:val="heading 4"/>
    <w:basedOn w:val="Normal"/>
    <w:next w:val="Text1"/>
    <w:link w:val="Heading4Char"/>
    <w:qFormat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/>
      <w:b/>
      <w:bCs/>
      <w:smallCaps/>
      <w:sz w:val="24"/>
      <w:szCs w:val="32"/>
      <w:lang w:eastAsia="en-US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semiHidden/>
    <w:rPr>
      <w:rFonts w:ascii="Times New Roman" w:eastAsia="Times New Roman" w:hAnsi="Times New Roman"/>
      <w:bCs/>
      <w:i/>
      <w:sz w:val="24"/>
      <w:szCs w:val="26"/>
      <w:lang w:eastAsia="en-US"/>
    </w:rPr>
  </w:style>
  <w:style w:type="character" w:customStyle="1" w:styleId="Heading4Char">
    <w:name w:val="Heading 4 Char"/>
    <w:link w:val="Heading4"/>
    <w:semiHidden/>
    <w:rPr>
      <w:rFonts w:ascii="Times New Roman" w:eastAsia="Times New Roman" w:hAnsi="Times New Roman"/>
      <w:bCs/>
      <w:sz w:val="24"/>
      <w:szCs w:val="28"/>
      <w:lang w:eastAsia="en-US"/>
    </w:rPr>
  </w:style>
  <w:style w:type="character" w:styleId="Hyperlink">
    <w:name w:val="Hyperlink"/>
    <w:unhideWhenUsed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paragraph" w:customStyle="1" w:styleId="Text1">
    <w:name w:val="Text 1"/>
    <w:basedOn w:val="Normal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unhideWhenUsed/>
    <w:pPr>
      <w:tabs>
        <w:tab w:val="right" w:leader="dot" w:pos="9071"/>
      </w:tabs>
      <w:spacing w:before="30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unhideWhenUsed/>
    <w:pPr>
      <w:tabs>
        <w:tab w:val="right" w:leader="dot" w:pos="9071"/>
      </w:tabs>
      <w:spacing w:before="24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unhideWhenUsed/>
    <w:pPr>
      <w:tabs>
        <w:tab w:val="right" w:leader="dot" w:pos="9071"/>
      </w:tabs>
      <w:spacing w:before="18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unhideWhenUsed/>
    <w:pPr>
      <w:tabs>
        <w:tab w:val="right" w:leader="dot" w:pos="9071"/>
      </w:tabs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unhideWhenUsed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rFonts w:ascii="Times New Roman" w:eastAsia="Times New Roman" w:hAnsi="Times New Roman"/>
      <w:lang w:eastAsia="en-US"/>
    </w:rPr>
  </w:style>
  <w:style w:type="paragraph" w:styleId="CommentText">
    <w:name w:val="annotation text"/>
    <w:basedOn w:val="Normal"/>
    <w:link w:val="CommentTextChar"/>
    <w:semiHidden/>
    <w:unhideWhenUsed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semiHidden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pPr>
      <w:spacing w:before="120" w:after="120" w:line="240" w:lineRule="auto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unhideWhenUsed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semiHidden/>
    <w:rPr>
      <w:rFonts w:ascii="Times New Roman" w:eastAsia="Times New Roman" w:hAnsi="Times New Roman"/>
      <w:lang w:eastAsia="en-US"/>
    </w:rPr>
  </w:style>
  <w:style w:type="paragraph" w:styleId="ListBullet">
    <w:name w:val="List Bullet"/>
    <w:basedOn w:val="Normal"/>
    <w:semiHidden/>
    <w:unhideWhenUsed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Number">
    <w:name w:val="List Number"/>
    <w:basedOn w:val="Normal"/>
    <w:semiHidden/>
    <w:unhideWhenUsed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Bullet2">
    <w:name w:val="List Bullet 2"/>
    <w:basedOn w:val="Normal"/>
    <w:semiHidden/>
    <w:unhideWhenUsed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Bullet3">
    <w:name w:val="List Bullet 3"/>
    <w:basedOn w:val="Normal"/>
    <w:semiHidden/>
    <w:unhideWhenUsed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Bullet4">
    <w:name w:val="List Bullet 4"/>
    <w:basedOn w:val="Normal"/>
    <w:semiHidden/>
    <w:unhideWhenUsed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Number2">
    <w:name w:val="List Number 2"/>
    <w:basedOn w:val="Normal"/>
    <w:semiHidden/>
    <w:unhideWhenUsed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Number3">
    <w:name w:val="List Number 3"/>
    <w:basedOn w:val="Normal"/>
    <w:semiHidden/>
    <w:unhideWhenUsed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Number4">
    <w:name w:val="List Number 4"/>
    <w:basedOn w:val="Normal"/>
    <w:semiHidden/>
    <w:unhideWhenUsed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lang w:eastAsia="de-DE"/>
    </w:rPr>
  </w:style>
  <w:style w:type="character" w:customStyle="1" w:styleId="CommentSubjectChar">
    <w:name w:val="Comment Subject Char"/>
    <w:link w:val="CommentSubject"/>
    <w:semiHidden/>
    <w:rPr>
      <w:rFonts w:ascii="Times New Roman" w:eastAsia="Times New Roman" w:hAnsi="Times New Roman"/>
      <w:b/>
      <w:bCs/>
      <w:lang w:eastAsia="de-DE"/>
    </w:rPr>
  </w:style>
  <w:style w:type="paragraph" w:styleId="BalloonText">
    <w:name w:val="Balloon Text"/>
    <w:basedOn w:val="Normal"/>
    <w:link w:val="BalloonTextChar"/>
    <w:semiHidden/>
    <w:unhideWhenUsed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alloonTextChar">
    <w:name w:val="Balloon Text Char"/>
    <w:link w:val="BalloonText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Revision">
    <w:name w:val="Revision"/>
    <w:uiPriority w:val="99"/>
    <w:semiHidden/>
    <w:rPr>
      <w:rFonts w:ascii="Times New Roman" w:eastAsia="Times New Roman" w:hAnsi="Times New Roman"/>
      <w:sz w:val="24"/>
      <w:szCs w:val="24"/>
      <w:lang w:eastAsia="en-US"/>
    </w:rPr>
  </w:style>
  <w:style w:type="paragraph" w:styleId="TOCHeading">
    <w:name w:val="TOC Heading"/>
    <w:basedOn w:val="Normal"/>
    <w:next w:val="Normal"/>
    <w:qFormat/>
    <w:pPr>
      <w:spacing w:before="120" w:after="24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/>
      <w:sz w:val="24"/>
    </w:rPr>
  </w:style>
  <w:style w:type="paragraph" w:customStyle="1" w:styleId="Text2">
    <w:name w:val="Text 2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3">
    <w:name w:val="Text 3"/>
    <w:basedOn w:val="Normal"/>
    <w:pPr>
      <w:spacing w:before="120" w:after="120" w:line="240" w:lineRule="auto"/>
      <w:ind w:left="19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4">
    <w:name w:val="Text 4"/>
    <w:basedOn w:val="Normal"/>
    <w:pPr>
      <w:spacing w:before="120" w:after="120" w:line="240" w:lineRule="auto"/>
      <w:ind w:left="25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Centered">
    <w:name w:val="Normal Centered"/>
    <w:basedOn w:val="Normal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ormalLeft">
    <w:name w:val="Normal Left"/>
    <w:basedOn w:val="Normal"/>
    <w:pPr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Right">
    <w:name w:val="Normal Right"/>
    <w:basedOn w:val="Normal"/>
    <w:pPr>
      <w:spacing w:before="120" w:after="12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QuotedText">
    <w:name w:val="Quoted Text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">
    <w:name w:val="Point 0"/>
    <w:basedOn w:val="Normal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">
    <w:name w:val="Point 1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">
    <w:name w:val="Point 2"/>
    <w:basedOn w:val="Normal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">
    <w:name w:val="Point 3"/>
    <w:basedOn w:val="Normal"/>
    <w:pPr>
      <w:spacing w:before="120" w:after="120" w:line="240" w:lineRule="auto"/>
      <w:ind w:left="2551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">
    <w:name w:val="Point 4"/>
    <w:basedOn w:val="Normal"/>
    <w:pPr>
      <w:spacing w:before="120" w:after="120" w:line="240" w:lineRule="auto"/>
      <w:ind w:left="3118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1">
    <w:name w:val="PointDouble 1"/>
    <w:basedOn w:val="Normal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2">
    <w:name w:val="PointDouble 2"/>
    <w:basedOn w:val="Normal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3">
    <w:name w:val="PointDouble 3"/>
    <w:basedOn w:val="Normal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4">
    <w:name w:val="PointDouble 4"/>
    <w:basedOn w:val="Normal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1">
    <w:name w:val="NumPar 1"/>
    <w:basedOn w:val="Normal"/>
    <w:next w:val="Text1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1">
    <w:name w:val="Manual NumPar 1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2">
    <w:name w:val="Manual NumPar 2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3">
    <w:name w:val="Manual NumPar 3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4">
    <w:name w:val="Manual NumPar 4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QuotedNumPar">
    <w:name w:val="Quoted NumPar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ChapterTitle">
    <w:name w:val="ChapterTitle"/>
    <w:basedOn w:val="Normal"/>
    <w:next w:val="Normal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z w:val="32"/>
      <w:szCs w:val="24"/>
    </w:rPr>
  </w:style>
  <w:style w:type="paragraph" w:customStyle="1" w:styleId="PartTitle">
    <w:name w:val="PartTitle"/>
    <w:basedOn w:val="Normal"/>
    <w:next w:val="ChapterTitle"/>
    <w:pPr>
      <w:keepNext/>
      <w:pageBreakBefore/>
      <w:spacing w:before="120" w:after="360" w:line="240" w:lineRule="auto"/>
      <w:jc w:val="center"/>
    </w:pPr>
    <w:rPr>
      <w:rFonts w:ascii="Times New Roman" w:eastAsia="Times New Roman" w:hAnsi="Times New Roman"/>
      <w:b/>
      <w:sz w:val="36"/>
      <w:szCs w:val="24"/>
    </w:rPr>
  </w:style>
  <w:style w:type="paragraph" w:customStyle="1" w:styleId="SectionTitle">
    <w:name w:val="SectionTitle"/>
    <w:basedOn w:val="Normal"/>
    <w:next w:val="Heading1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mallCaps/>
      <w:sz w:val="28"/>
      <w:szCs w:val="24"/>
    </w:rPr>
  </w:style>
  <w:style w:type="paragraph" w:customStyle="1" w:styleId="TableTitle">
    <w:name w:val="Table Titl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Point0number">
    <w:name w:val="Point 0 (number)"/>
    <w:basedOn w:val="Normal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number">
    <w:name w:val="Point 1 (number)"/>
    <w:basedOn w:val="Normal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number">
    <w:name w:val="Point 2 (number)"/>
    <w:basedOn w:val="Normal"/>
    <w:pPr>
      <w:numPr>
        <w:ilvl w:val="4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number">
    <w:name w:val="Point 3 (number)"/>
    <w:basedOn w:val="Normal"/>
    <w:pPr>
      <w:numPr>
        <w:ilvl w:val="6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letter">
    <w:name w:val="Point 0 (letter)"/>
    <w:basedOn w:val="Normal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letter">
    <w:name w:val="Point 1 (letter)"/>
    <w:basedOn w:val="Normal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letter">
    <w:name w:val="Point 2 (letter)"/>
    <w:basedOn w:val="Normal"/>
    <w:pPr>
      <w:numPr>
        <w:ilvl w:val="5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letter">
    <w:name w:val="Point 3 (letter)"/>
    <w:basedOn w:val="Normal"/>
    <w:pPr>
      <w:numPr>
        <w:ilvl w:val="7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letter">
    <w:name w:val="Point 4 (letter)"/>
    <w:basedOn w:val="Normal"/>
    <w:pPr>
      <w:numPr>
        <w:ilvl w:val="8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0">
    <w:name w:val="Bullet 0"/>
    <w:basedOn w:val="Normal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1">
    <w:name w:val="Bullet 1"/>
    <w:basedOn w:val="Normal"/>
    <w:pPr>
      <w:numPr>
        <w:numId w:val="1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2">
    <w:name w:val="Bullet 2"/>
    <w:basedOn w:val="Normal"/>
    <w:pPr>
      <w:numPr>
        <w:numId w:val="1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3">
    <w:name w:val="Bullet 3"/>
    <w:basedOn w:val="Normal"/>
    <w:pPr>
      <w:numPr>
        <w:numId w:val="2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4">
    <w:name w:val="Bullet 4"/>
    <w:basedOn w:val="Normal"/>
    <w:pPr>
      <w:numPr>
        <w:numId w:val="2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nnexetitreexpos">
    <w:name w:val="Annexe titre (exposé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pplicationdirecte">
    <w:name w:val="Application directe"/>
    <w:basedOn w:val="Normal"/>
    <w:next w:val="Fait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 w:line="240" w:lineRule="auto"/>
    </w:pPr>
    <w:rPr>
      <w:rFonts w:ascii="Times New Roman" w:eastAsia="Times New Roman" w:hAnsi="Times New Roman"/>
      <w:i/>
      <w:sz w:val="24"/>
      <w:szCs w:val="24"/>
    </w:rPr>
  </w:style>
  <w:style w:type="paragraph" w:customStyle="1" w:styleId="Avertissementtitre">
    <w:name w:val="Avertissement titre"/>
    <w:basedOn w:val="Normal"/>
    <w:next w:val="Normal"/>
    <w:pPr>
      <w:keepNext/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Confidence">
    <w:name w:val="Confidence"/>
    <w:basedOn w:val="Normal"/>
    <w:next w:val="Normal"/>
    <w:pPr>
      <w:spacing w:before="360"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ypedudocumentPagedecouverture">
    <w:name w:val="Type du document (Page de couverture)"/>
    <w:basedOn w:val="Normal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fidentialit">
    <w:name w:val="Confidentialité"/>
    <w:basedOn w:val="Normal"/>
    <w:next w:val="TypedudocumentPagedecouverture"/>
    <w:pPr>
      <w:spacing w:before="240" w:after="240" w:line="240" w:lineRule="auto"/>
      <w:ind w:left="5103"/>
      <w:jc w:val="both"/>
    </w:pPr>
    <w:rPr>
      <w:rFonts w:ascii="Times New Roman" w:eastAsia="Times New Roman" w:hAnsi="Times New Roman"/>
      <w:i/>
      <w:sz w:val="32"/>
      <w:szCs w:val="24"/>
    </w:rPr>
  </w:style>
  <w:style w:type="paragraph" w:customStyle="1" w:styleId="Titreobjet">
    <w:name w:val="Titre objet"/>
    <w:basedOn w:val="Normal"/>
    <w:next w:val="Sous-titreobjet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Typedudocument">
    <w:name w:val="Type du document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Sous-titreobjet">
    <w:name w:val="Sous-titre objet"/>
    <w:basedOn w:val="Normal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Considrant">
    <w:name w:val="Considérant"/>
    <w:basedOn w:val="Normal"/>
    <w:pPr>
      <w:numPr>
        <w:numId w:val="2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rigendum">
    <w:name w:val="Corrigendum"/>
    <w:basedOn w:val="Normal"/>
    <w:next w:val="Normal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dadoption">
    <w:name w:val="Date d'adoption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Rfrenceinstitutionnelle">
    <w:name w:val="Référence institutionnell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Emission">
    <w:name w:val="Emission"/>
    <w:basedOn w:val="Normal"/>
    <w:next w:val="Rfrenceinstitutionnelle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Exposdesmotifstitre">
    <w:name w:val="Exposé des motifs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szCs w:val="24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frenceinterne">
    <w:name w:val="Référence interne"/>
    <w:basedOn w:val="Normal"/>
    <w:next w:val="Rfrenceinterinstitutionnelle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Rfrenceinterinstitutionnelle">
    <w:name w:val="Référence interinstitutionnelle"/>
    <w:basedOn w:val="Normal"/>
    <w:next w:val="Statut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Statut">
    <w:name w:val="Statut"/>
    <w:basedOn w:val="Normal"/>
    <w:next w:val="Typedudocument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ManualConsidrant">
    <w:name w:val="Manual Considérant"/>
    <w:basedOn w:val="Normal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mdelinstitution">
    <w:name w:val="Nom de l'institution"/>
    <w:basedOn w:val="Normal"/>
    <w:next w:val="Emission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dress">
    <w:name w:val="Address"/>
    <w:basedOn w:val="Normal"/>
    <w:next w:val="Normal"/>
    <w:pPr>
      <w:keepLines/>
      <w:spacing w:before="120" w:after="120" w:line="360" w:lineRule="auto"/>
      <w:ind w:left="3402"/>
    </w:pPr>
    <w:rPr>
      <w:rFonts w:ascii="Times New Roman" w:eastAsia="Times New Roman" w:hAnsi="Times New Roman"/>
      <w:sz w:val="24"/>
      <w:szCs w:val="24"/>
    </w:rPr>
  </w:style>
  <w:style w:type="paragraph" w:customStyle="1" w:styleId="Objetexterne">
    <w:name w:val="Objet externe"/>
    <w:basedOn w:val="Normal"/>
    <w:next w:val="Normal"/>
    <w:pPr>
      <w:spacing w:before="120" w:after="120" w:line="240" w:lineRule="auto"/>
      <w:jc w:val="both"/>
    </w:pPr>
    <w:rPr>
      <w:rFonts w:ascii="Times New Roman" w:eastAsia="Times New Roman" w:hAnsi="Times New Roman"/>
      <w:i/>
      <w:caps/>
      <w:sz w:val="24"/>
      <w:szCs w:val="24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upertitre">
    <w:name w:val="Supertitre"/>
    <w:basedOn w:val="Normal"/>
    <w:next w:val="Normal"/>
    <w:pPr>
      <w:spacing w:after="60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Languesfaisantfoi">
    <w:name w:val="Langues faisant foi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Rfrencecroise">
    <w:name w:val="Référence croisée"/>
    <w:basedOn w:val="Normal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Fichefinanciretitre">
    <w:name w:val="Fiche financièr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Volume">
    <w:name w:val="Volum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Typeacteprincipal">
    <w:name w:val="Type acte principal"/>
    <w:basedOn w:val="Normal"/>
    <w:next w:val="Objetacteprincipal"/>
    <w:pPr>
      <w:spacing w:after="24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Accompagnant">
    <w:name w:val="Accompagnant"/>
    <w:basedOn w:val="Normal"/>
    <w:next w:val="Typeacteprincipal"/>
    <w:pPr>
      <w:spacing w:after="240" w:line="240" w:lineRule="auto"/>
      <w:jc w:val="center"/>
    </w:pPr>
    <w:rPr>
      <w:rFonts w:ascii="Times New Roman" w:eastAsia="Times New Roman" w:hAnsi="Times New Roman"/>
      <w:b/>
      <w:i/>
      <w:sz w:val="24"/>
      <w:szCs w:val="24"/>
    </w:rPr>
  </w:style>
  <w:style w:type="paragraph" w:customStyle="1" w:styleId="Objetacteprincipal">
    <w:name w:val="Objet acte principal"/>
    <w:basedOn w:val="Normal"/>
    <w:next w:val="Titrearticle"/>
    <w:pPr>
      <w:spacing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istBullet1">
    <w:name w:val="List Bullet 1"/>
    <w:basedOn w:val="Normal"/>
    <w:pPr>
      <w:numPr>
        <w:numId w:val="2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">
    <w:name w:val="List Dash"/>
    <w:basedOn w:val="Normal"/>
    <w:pPr>
      <w:numPr>
        <w:numId w:val="2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1">
    <w:name w:val="List Dash 1"/>
    <w:basedOn w:val="Normal"/>
    <w:pPr>
      <w:numPr>
        <w:numId w:val="2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2">
    <w:name w:val="List Dash 2"/>
    <w:basedOn w:val="Normal"/>
    <w:pPr>
      <w:numPr>
        <w:numId w:val="2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3">
    <w:name w:val="List Dash 3"/>
    <w:basedOn w:val="Normal"/>
    <w:pPr>
      <w:numPr>
        <w:numId w:val="2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4">
    <w:name w:val="List Dash 4"/>
    <w:basedOn w:val="Normal"/>
    <w:pPr>
      <w:numPr>
        <w:numId w:val="2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Number1">
    <w:name w:val="List Number 1"/>
    <w:basedOn w:val="Text1"/>
    <w:pPr>
      <w:numPr>
        <w:numId w:val="29"/>
      </w:numPr>
    </w:pPr>
    <w:rPr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Number1Level2">
    <w:name w:val="List Number 1 (Level 2)"/>
    <w:basedOn w:val="Text1"/>
    <w:pPr>
      <w:numPr>
        <w:ilvl w:val="1"/>
        <w:numId w:val="29"/>
      </w:numPr>
    </w:pPr>
    <w:rPr>
      <w:lang w:eastAsia="de-DE"/>
    </w:rPr>
  </w:style>
  <w:style w:type="paragraph" w:customStyle="1" w:styleId="ListNumber2Level2">
    <w:name w:val="List Number 2 (Level 2)"/>
    <w:basedOn w:val="Text2"/>
    <w:pPr>
      <w:numPr>
        <w:ilvl w:val="1"/>
        <w:numId w:val="7"/>
      </w:numPr>
    </w:pPr>
    <w:rPr>
      <w:lang w:eastAsia="de-DE"/>
    </w:rPr>
  </w:style>
  <w:style w:type="paragraph" w:customStyle="1" w:styleId="ListNumber3Level2">
    <w:name w:val="List Number 3 (Level 2)"/>
    <w:basedOn w:val="Text3"/>
    <w:pPr>
      <w:numPr>
        <w:ilvl w:val="1"/>
        <w:numId w:val="8"/>
      </w:numPr>
    </w:pPr>
    <w:rPr>
      <w:lang w:eastAsia="de-DE"/>
    </w:rPr>
  </w:style>
  <w:style w:type="paragraph" w:customStyle="1" w:styleId="ListNumber4Level2">
    <w:name w:val="List Number 4 (Level 2)"/>
    <w:basedOn w:val="Text4"/>
    <w:pPr>
      <w:numPr>
        <w:ilvl w:val="1"/>
        <w:numId w:val="9"/>
      </w:numPr>
    </w:pPr>
    <w:rPr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Number1Level3">
    <w:name w:val="List Number 1 (Level 3)"/>
    <w:basedOn w:val="Text1"/>
    <w:pPr>
      <w:numPr>
        <w:ilvl w:val="2"/>
        <w:numId w:val="29"/>
      </w:numPr>
    </w:pPr>
    <w:rPr>
      <w:lang w:eastAsia="de-DE"/>
    </w:rPr>
  </w:style>
  <w:style w:type="paragraph" w:customStyle="1" w:styleId="ListNumber2Level3">
    <w:name w:val="List Number 2 (Level 3)"/>
    <w:basedOn w:val="Text2"/>
    <w:pPr>
      <w:numPr>
        <w:ilvl w:val="2"/>
        <w:numId w:val="7"/>
      </w:numPr>
    </w:pPr>
    <w:rPr>
      <w:lang w:eastAsia="de-DE"/>
    </w:rPr>
  </w:style>
  <w:style w:type="paragraph" w:customStyle="1" w:styleId="ListNumber3Level3">
    <w:name w:val="List Number 3 (Level 3)"/>
    <w:basedOn w:val="Text3"/>
    <w:pPr>
      <w:numPr>
        <w:ilvl w:val="2"/>
        <w:numId w:val="8"/>
      </w:numPr>
    </w:pPr>
    <w:rPr>
      <w:lang w:eastAsia="de-DE"/>
    </w:rPr>
  </w:style>
  <w:style w:type="paragraph" w:customStyle="1" w:styleId="ListNumber4Level3">
    <w:name w:val="List Number 4 (Level 3)"/>
    <w:basedOn w:val="Text4"/>
    <w:pPr>
      <w:numPr>
        <w:ilvl w:val="2"/>
        <w:numId w:val="9"/>
      </w:numPr>
    </w:pPr>
    <w:rPr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Number1Level4">
    <w:name w:val="List Number 1 (Level 4)"/>
    <w:basedOn w:val="Text1"/>
    <w:pPr>
      <w:numPr>
        <w:ilvl w:val="3"/>
        <w:numId w:val="29"/>
      </w:numPr>
    </w:pPr>
    <w:rPr>
      <w:lang w:eastAsia="de-DE"/>
    </w:rPr>
  </w:style>
  <w:style w:type="paragraph" w:customStyle="1" w:styleId="ListNumber2Level4">
    <w:name w:val="List Number 2 (Level 4)"/>
    <w:basedOn w:val="Text2"/>
    <w:pPr>
      <w:numPr>
        <w:ilvl w:val="3"/>
        <w:numId w:val="7"/>
      </w:numPr>
    </w:pPr>
    <w:rPr>
      <w:lang w:eastAsia="de-DE"/>
    </w:rPr>
  </w:style>
  <w:style w:type="paragraph" w:customStyle="1" w:styleId="ListNumber3Level4">
    <w:name w:val="List Number 3 (Level 4)"/>
    <w:basedOn w:val="Text3"/>
    <w:pPr>
      <w:numPr>
        <w:ilvl w:val="3"/>
        <w:numId w:val="8"/>
      </w:numPr>
    </w:pPr>
    <w:rPr>
      <w:lang w:eastAsia="de-DE"/>
    </w:rPr>
  </w:style>
  <w:style w:type="paragraph" w:customStyle="1" w:styleId="ListNumber4Level4">
    <w:name w:val="List Number 4 (Level 4)"/>
    <w:basedOn w:val="Text4"/>
    <w:pPr>
      <w:numPr>
        <w:ilvl w:val="3"/>
        <w:numId w:val="9"/>
      </w:numPr>
    </w:pPr>
    <w:rPr>
      <w:lang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Sous-titreobjetprliminaire">
    <w:name w:val="Sous-titre objet (préliminaire)"/>
    <w:basedOn w:val="Normal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de-DE"/>
    </w:rPr>
  </w:style>
  <w:style w:type="paragraph" w:customStyle="1" w:styleId="Statutprliminaire">
    <w:name w:val="Statut (préliminai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de-DE"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de-DE"/>
    </w:rPr>
  </w:style>
  <w:style w:type="paragraph" w:customStyle="1" w:styleId="c19marge1">
    <w:name w:val="c19marge1"/>
    <w:basedOn w:val="Normal"/>
    <w:pPr>
      <w:spacing w:after="240" w:line="240" w:lineRule="auto"/>
      <w:ind w:left="1247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08dispositif">
    <w:name w:val="c08dispositif"/>
    <w:basedOn w:val="Normal"/>
    <w:pPr>
      <w:spacing w:before="100" w:beforeAutospacing="1" w:after="240" w:line="240" w:lineRule="auto"/>
      <w:ind w:left="1134" w:hanging="567"/>
      <w:jc w:val="both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styleId="CommentReference">
    <w:name w:val="annotation reference"/>
    <w:semiHidden/>
    <w:unhideWhenUsed/>
    <w:rPr>
      <w:rFonts w:ascii="Times New Roman" w:hAnsi="Times New Roman" w:cs="Times New Roman" w:hint="default"/>
      <w:sz w:val="16"/>
    </w:rPr>
  </w:style>
  <w:style w:type="character" w:styleId="EndnoteReference">
    <w:name w:val="endnote reference"/>
    <w:semiHidden/>
    <w:unhideWhenUsed/>
    <w:rPr>
      <w:vertAlign w:val="superscript"/>
    </w:rPr>
  </w:style>
  <w:style w:type="character" w:customStyle="1" w:styleId="Marker">
    <w:name w:val="Marker"/>
    <w:rPr>
      <w:color w:val="0000FF"/>
    </w:rPr>
  </w:style>
  <w:style w:type="character" w:customStyle="1" w:styleId="Marker1">
    <w:name w:val="Marker1"/>
    <w:rPr>
      <w:color w:val="008000"/>
    </w:rPr>
  </w:style>
  <w:style w:type="character" w:customStyle="1" w:styleId="Marker2">
    <w:name w:val="Marker2"/>
    <w:rPr>
      <w:color w:val="FF0000"/>
    </w:rPr>
  </w:style>
  <w:style w:type="character" w:customStyle="1" w:styleId="Added">
    <w:name w:val="Added"/>
    <w:rPr>
      <w:b/>
      <w:bCs w:val="0"/>
      <w:u w:val="single"/>
    </w:rPr>
  </w:style>
  <w:style w:type="character" w:customStyle="1" w:styleId="Deleted">
    <w:name w:val="Deleted"/>
    <w:rPr>
      <w:strike/>
    </w:rPr>
  </w:style>
  <w:style w:type="table" w:styleId="TableGrid">
    <w:name w:val="Table Grid"/>
    <w:basedOn w:val="TableNormal"/>
    <w:pPr>
      <w:spacing w:before="120" w:after="120"/>
      <w:jc w:val="both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transparency/regexpert/index.cfm?Lang=PL" TargetMode="External"/><Relationship Id="rId1" Type="http://schemas.openxmlformats.org/officeDocument/2006/relationships/hyperlink" Target="https://ec.europa.eu/info/law/better-regulation/have-your-say_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7EC0-CCF6-403A-A15F-211B9D15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2225</Words>
  <Characters>11437</Characters>
  <Application>Microsoft Office Word</Application>
  <DocSecurity>0</DocSecurity>
  <Lines>1039</Lines>
  <Paragraphs>910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12752</CharactersWithSpaces>
  <SharedDoc>false</SharedDoc>
  <HLinks>
    <vt:vector size="6" baseType="variant"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http://ec.europa.eu/transparency/regexpert/index.cfm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17</cp:revision>
  <cp:lastPrinted>2019-11-14T13:03:00Z</cp:lastPrinted>
  <dcterms:created xsi:type="dcterms:W3CDTF">2019-12-02T09:58:00Z</dcterms:created>
  <dcterms:modified xsi:type="dcterms:W3CDTF">2019-12-12T10:11:00Z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7.0, Build 20190717</vt:lpwstr>
  </property>
  <property fmtid="{D5CDD505-2E9C-101B-9397-08002B2CF9AE}" pid="7" name="Created using">
    <vt:lpwstr>LW 6.0.1, Build 20180503</vt:lpwstr>
  </property>
  <property fmtid="{D5CDD505-2E9C-101B-9397-08002B2CF9AE}" pid="8" name="CPTemplateID">
    <vt:lpwstr>CP-003</vt:lpwstr>
  </property>
</Properties>
</file>