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F3EF4C9-1D3D-4960-9D34-8A0E13A14B73" style="width:450.7pt;height:307.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POROČILO KOMISIJE</w:t>
      </w:r>
    </w:p>
    <w:p>
      <w:pPr>
        <w:pStyle w:val="Titreobjet"/>
        <w:rPr>
          <w:noProof/>
        </w:rPr>
      </w:pPr>
      <w:r>
        <w:rPr>
          <w:noProof/>
        </w:rPr>
        <w:t>O DELU ODBOROV V LETU 2018</w:t>
      </w:r>
    </w:p>
    <w:p>
      <w:pPr>
        <w:pStyle w:val="Sous-titreobjet"/>
        <w:rPr>
          <w:noProof/>
        </w:rPr>
      </w:pPr>
    </w:p>
    <w:p>
      <w:pPr>
        <w:spacing w:line="240" w:lineRule="auto"/>
        <w:jc w:val="both"/>
        <w:rPr>
          <w:rFonts w:ascii="Times New Roman" w:hAnsi="Times New Roman"/>
          <w:noProof/>
          <w:sz w:val="24"/>
          <w:szCs w:val="24"/>
        </w:rPr>
      </w:pPr>
      <w:r>
        <w:rPr>
          <w:rFonts w:ascii="Times New Roman" w:hAnsi="Times New Roman"/>
          <w:noProof/>
        </w:rPr>
        <w:t>Komisija v skladu s členom 10(2) Uredbe (EU) št. 182/2011 o določitvi splošnih pravil in načel, na podlagi katerih države članice nadzirajo izvajanje izvedbenih pooblastil Komisije</w:t>
      </w:r>
      <w:r>
        <w:rPr>
          <w:rFonts w:ascii="Times New Roman" w:hAnsi="Times New Roman"/>
          <w:noProof/>
          <w:vertAlign w:val="superscript"/>
        </w:rPr>
        <w:footnoteReference w:id="1"/>
      </w:r>
      <w:r>
        <w:rPr>
          <w:rFonts w:ascii="Times New Roman" w:hAnsi="Times New Roman"/>
          <w:noProof/>
        </w:rPr>
        <w:t xml:space="preserve"> (v nadaljnjem besedilu: uredba o postopku v odboru), objavlja letno poročilo o delu odborov za leto 2018.</w:t>
      </w:r>
    </w:p>
    <w:p>
      <w:pPr>
        <w:spacing w:line="240" w:lineRule="auto"/>
        <w:jc w:val="both"/>
        <w:rPr>
          <w:rFonts w:ascii="Times New Roman" w:hAnsi="Times New Roman"/>
          <w:noProof/>
          <w:sz w:val="24"/>
          <w:szCs w:val="24"/>
        </w:rPr>
      </w:pPr>
      <w:r>
        <w:rPr>
          <w:rFonts w:ascii="Times New Roman" w:hAnsi="Times New Roman"/>
          <w:noProof/>
        </w:rPr>
        <w:t>To poročilo vsebuje pregled sprememb v sistemu postopka v odboru v letu 2018 in povzetek dejavnosti odborov. Poročilu je priložen delovni dokument služb Komisije s podrobnimi statističnimi podatki o delu posameznih odborov.</w:t>
      </w:r>
    </w:p>
    <w:p>
      <w:pPr>
        <w:spacing w:line="240" w:lineRule="auto"/>
        <w:jc w:val="both"/>
        <w:rPr>
          <w:rFonts w:ascii="Times New Roman" w:hAnsi="Times New Roman"/>
          <w:noProof/>
          <w:sz w:val="24"/>
          <w:szCs w:val="24"/>
        </w:rPr>
      </w:pPr>
    </w:p>
    <w:p>
      <w:pPr>
        <w:pStyle w:val="ManualHeading1"/>
        <w:rPr>
          <w:noProof/>
          <w:color w:val="FF0000"/>
        </w:rPr>
      </w:pPr>
      <w:r>
        <w:t>1.</w:t>
      </w:r>
      <w:r>
        <w:tab/>
      </w:r>
      <w:r>
        <w:rPr>
          <w:noProof/>
        </w:rPr>
        <w:t>Pregled sprememb v sistemu postopka v odboru v letu 2018</w:t>
      </w:r>
    </w:p>
    <w:p>
      <w:pPr>
        <w:pStyle w:val="ManualHeading2"/>
        <w:rPr>
          <w:noProof/>
        </w:rPr>
      </w:pPr>
      <w:r>
        <w:t>1.1.</w:t>
      </w:r>
      <w:r>
        <w:tab/>
      </w:r>
      <w:r>
        <w:rPr>
          <w:noProof/>
        </w:rPr>
        <w:t>Splošne spremembe</w:t>
      </w:r>
    </w:p>
    <w:p>
      <w:pPr>
        <w:spacing w:line="240" w:lineRule="auto"/>
        <w:jc w:val="both"/>
        <w:rPr>
          <w:rFonts w:ascii="Times New Roman" w:hAnsi="Times New Roman"/>
          <w:b/>
          <w:noProof/>
          <w:sz w:val="24"/>
          <w:szCs w:val="24"/>
        </w:rPr>
      </w:pPr>
      <w:r>
        <w:rPr>
          <w:rFonts w:ascii="Times New Roman" w:hAnsi="Times New Roman"/>
          <w:noProof/>
        </w:rPr>
        <w:t>Kot je opisano v poročilu za leto 2013</w:t>
      </w:r>
      <w:r>
        <w:rPr>
          <w:rFonts w:ascii="Times New Roman" w:hAnsi="Times New Roman"/>
          <w:noProof/>
          <w:vertAlign w:val="superscript"/>
        </w:rPr>
        <w:footnoteReference w:id="2"/>
      </w:r>
      <w:r>
        <w:rPr>
          <w:rFonts w:ascii="Times New Roman" w:hAnsi="Times New Roman"/>
          <w:noProof/>
        </w:rPr>
        <w:t>, so bili vsi postopki v odboru, ki jih je določal starejši sklep o postopku v odboru</w:t>
      </w:r>
      <w:r>
        <w:rPr>
          <w:rFonts w:ascii="Times New Roman" w:hAnsi="Times New Roman"/>
          <w:noProof/>
          <w:vertAlign w:val="superscript"/>
        </w:rPr>
        <w:footnoteReference w:id="3"/>
      </w:r>
      <w:r>
        <w:rPr>
          <w:rFonts w:ascii="Times New Roman" w:hAnsi="Times New Roman"/>
          <w:noProof/>
        </w:rPr>
        <w:t>, z izjemo regulativnega postopka s pregledom samodejno prilagojeni novim postopkom v odboru, ki jih določa uredba o postopku v odboru.</w:t>
      </w:r>
    </w:p>
    <w:p>
      <w:pPr>
        <w:spacing w:line="240" w:lineRule="auto"/>
        <w:jc w:val="both"/>
        <w:rPr>
          <w:rFonts w:ascii="Times New Roman" w:hAnsi="Times New Roman"/>
          <w:noProof/>
          <w:sz w:val="24"/>
          <w:szCs w:val="24"/>
        </w:rPr>
      </w:pPr>
      <w:r>
        <w:rPr>
          <w:rFonts w:ascii="Times New Roman" w:hAnsi="Times New Roman"/>
          <w:noProof/>
        </w:rPr>
        <w:t>Zato so v letu 2018 komitološki odbori delovali v skladu s postopkoma, določenima v uredbi o postopku v odboru, tj. svetovalnim postopkom (člen 4) in postopkom pregleda (člen 5), ter v skladu z regulativnim postopkom s pregledom, določenim v členu 5a sklepa o postopku v odboru.</w:t>
      </w:r>
    </w:p>
    <w:p>
      <w:pPr>
        <w:spacing w:line="240" w:lineRule="auto"/>
        <w:jc w:val="both"/>
        <w:rPr>
          <w:rFonts w:ascii="Times New Roman" w:hAnsi="Times New Roman"/>
          <w:noProof/>
          <w:sz w:val="24"/>
          <w:szCs w:val="24"/>
        </w:rPr>
      </w:pPr>
      <w:r>
        <w:rPr>
          <w:rFonts w:ascii="Times New Roman" w:hAnsi="Times New Roman"/>
          <w:noProof/>
        </w:rPr>
        <w:t>Medinstitucionalni sporazum o boljši pripravi zakonodaje z dne 13. aprila 2016</w:t>
      </w:r>
      <w:r>
        <w:rPr>
          <w:rStyle w:val="FootnoteReference"/>
          <w:rFonts w:ascii="Times New Roman" w:hAnsi="Times New Roman"/>
          <w:noProof/>
        </w:rPr>
        <w:footnoteReference w:id="4"/>
      </w:r>
      <w:r>
        <w:rPr>
          <w:rFonts w:ascii="Times New Roman" w:hAnsi="Times New Roman"/>
          <w:noProof/>
        </w:rPr>
        <w:t xml:space="preserve"> v točki 27 opozarja na potrebo po uskladitvi regulativnega postopka s pregledom:</w:t>
      </w:r>
    </w:p>
    <w:p>
      <w:pPr>
        <w:spacing w:line="240" w:lineRule="auto"/>
        <w:jc w:val="both"/>
        <w:rPr>
          <w:rFonts w:ascii="Times New Roman" w:hAnsi="Times New Roman"/>
          <w:noProof/>
          <w:sz w:val="24"/>
          <w:szCs w:val="24"/>
        </w:rPr>
      </w:pPr>
      <w:r>
        <w:rPr>
          <w:rFonts w:ascii="Times New Roman" w:hAnsi="Times New Roman"/>
          <w:noProof/>
        </w:rPr>
        <w:t>„Tri institucije se zavedajo, da je treba vso obstoječo zakonodajo uskladiti s pravnim okvirom, uvedenim z Lizbonsko pogodbo, pri čemer je zlasti pomembna potreba po čim hitrejši uskladitvi vseh temeljnih aktov, ki še vedno vsebujejo sklice na regulativni postopek s pregledom. Komisija bo predlog za to drugo uskladitev pripravila do konca leta 2016.“</w:t>
      </w:r>
    </w:p>
    <w:p>
      <w:pPr>
        <w:spacing w:line="240" w:lineRule="auto"/>
        <w:jc w:val="both"/>
        <w:rPr>
          <w:rFonts w:ascii="Times New Roman" w:hAnsi="Times New Roman"/>
          <w:noProof/>
          <w:sz w:val="24"/>
          <w:szCs w:val="24"/>
        </w:rPr>
      </w:pPr>
      <w:r>
        <w:rPr>
          <w:rFonts w:ascii="Times New Roman" w:hAnsi="Times New Roman"/>
          <w:noProof/>
        </w:rPr>
        <w:t>V skladu s to zavezo je Komisija sprejela predlog za uskladitev temeljnih aktov, v katerih je predviden regulativni postopek s pregledom, z delegiranimi in izvedbenimi akti</w:t>
      </w:r>
      <w:r>
        <w:rPr>
          <w:rStyle w:val="FootnoteReference"/>
          <w:rFonts w:ascii="Times New Roman" w:hAnsi="Times New Roman"/>
          <w:noProof/>
        </w:rPr>
        <w:footnoteReference w:id="5"/>
      </w:r>
      <w:r>
        <w:rPr>
          <w:rFonts w:ascii="Times New Roman" w:hAnsi="Times New Roman"/>
          <w:noProof/>
        </w:rPr>
        <w:t>. Sprejela je tudi drugi predlog, ki zadeva uskladitev temeljnih aktov samo na področju pravosodja</w:t>
      </w:r>
      <w:r>
        <w:rPr>
          <w:rStyle w:val="FootnoteReference"/>
          <w:rFonts w:ascii="Times New Roman" w:hAnsi="Times New Roman"/>
          <w:noProof/>
        </w:rPr>
        <w:footnoteReference w:id="6"/>
      </w:r>
      <w:r>
        <w:rPr>
          <w:rFonts w:ascii="Times New Roman" w:hAnsi="Times New Roman"/>
          <w:noProof/>
        </w:rPr>
        <w:t>. Medinstitucionalna pogajanja o prvem spisu so bila delno zaključena. Zakonodajalec se je strinjal z uskladitvijo 64 zadevnih temeljnih aktov</w:t>
      </w:r>
      <w:r>
        <w:rPr>
          <w:rStyle w:val="FootnoteReference"/>
          <w:rFonts w:ascii="Times New Roman" w:hAnsi="Times New Roman"/>
          <w:noProof/>
        </w:rPr>
        <w:footnoteReference w:id="7"/>
      </w:r>
      <w:r>
        <w:rPr>
          <w:rFonts w:ascii="Times New Roman" w:hAnsi="Times New Roman"/>
          <w:noProof/>
        </w:rPr>
        <w:t xml:space="preserve">, pogajanja o preostalih aktih in aktih s področja pravosodja pa se bodo nadaljevala. Če uskladitev poteka iz regulativnega postopka s pregledom v delegirane akte, zadevni odbori ne bodo več imeli nobene vloge, tako da bodo v prihodnosti ustrezni delegirani akti pripravljeni s pomočjo strokovnih skupin. </w:t>
      </w:r>
    </w:p>
    <w:p>
      <w:pPr>
        <w:spacing w:line="240" w:lineRule="auto"/>
        <w:jc w:val="both"/>
        <w:rPr>
          <w:rFonts w:ascii="Times New Roman" w:hAnsi="Times New Roman"/>
          <w:noProof/>
          <w:sz w:val="24"/>
          <w:szCs w:val="24"/>
        </w:rPr>
      </w:pPr>
      <w:r>
        <w:rPr>
          <w:rFonts w:ascii="Times New Roman" w:hAnsi="Times New Roman"/>
          <w:noProof/>
        </w:rPr>
        <w:t>Komisija je dne 26. februarja 2016 sprejela Poročilo o izvajanju Uredbe (EU) št. 182/2011</w:t>
      </w:r>
      <w:r>
        <w:rPr>
          <w:rStyle w:val="FootnoteReference"/>
          <w:rFonts w:ascii="Times New Roman" w:hAnsi="Times New Roman"/>
          <w:noProof/>
        </w:rPr>
        <w:footnoteReference w:id="8"/>
      </w:r>
      <w:r>
        <w:rPr>
          <w:rFonts w:ascii="Times New Roman" w:hAnsi="Times New Roman"/>
          <w:noProof/>
        </w:rPr>
        <w:t>. V njem je sklenila, da je pravni okvir za postopek v odboru na splošno učinkovit. Poudarila pa je tudi tedanji politični problem nepredložitev mnenja (rezultati „brez mnenja“), zlasti na nekaj zelo občutljivih področjih, kot je odobritev gensko spremenjenih organizmov. Komisija je nato 14. februarja 2017 sprejela predlog uredbe Evropskega parlamenta in Sveta o spremembi Uredbe o postopku v odboru (EU) št. 182/2011</w:t>
      </w:r>
      <w:r>
        <w:rPr>
          <w:rStyle w:val="FootnoteReference"/>
          <w:rFonts w:ascii="Times New Roman" w:hAnsi="Times New Roman"/>
          <w:noProof/>
        </w:rPr>
        <w:footnoteReference w:id="9"/>
      </w:r>
      <w:r>
        <w:rPr>
          <w:rFonts w:ascii="Times New Roman" w:hAnsi="Times New Roman"/>
          <w:noProof/>
        </w:rPr>
        <w:t>. V predlogu so zajete številne ciljno usmerjene spremembe delovanja odbora za pritožbe, da bi se izboljšalo stanje v zvezi z nepredlaganjem mnenj na občutljivih področjih. Vendar je ta spis trenutno blokiran v medinstitucionalnih pogajanjih.</w:t>
      </w:r>
    </w:p>
    <w:p>
      <w:pPr>
        <w:spacing w:line="240" w:lineRule="auto"/>
        <w:jc w:val="both"/>
        <w:rPr>
          <w:rFonts w:ascii="Times New Roman" w:hAnsi="Times New Roman"/>
          <w:noProof/>
          <w:sz w:val="24"/>
          <w:szCs w:val="24"/>
        </w:rPr>
      </w:pPr>
      <w:r>
        <w:rPr>
          <w:rFonts w:ascii="Times New Roman" w:hAnsi="Times New Roman"/>
          <w:noProof/>
        </w:rPr>
        <w:t xml:space="preserve">Med tremi institucijami so bila zaključena pogajanja o nezavezujočih merilih za uporabo členov 290 in 291 Pogodbe o delovanju Evropske unije, torej o razmejitvi med delegiranimi in izvedbenimi akti. Končno besedilo meril za razmejitev je bilo objavljeno v </w:t>
      </w:r>
      <w:r>
        <w:rPr>
          <w:rFonts w:ascii="Times New Roman" w:hAnsi="Times New Roman"/>
          <w:i/>
          <w:iCs/>
          <w:noProof/>
        </w:rPr>
        <w:t>Uradnem listu</w:t>
      </w:r>
      <w:r>
        <w:rPr>
          <w:rFonts w:ascii="Times New Roman" w:hAnsi="Times New Roman"/>
          <w:noProof/>
        </w:rPr>
        <w:t xml:space="preserve"> 3. julija 2019</w:t>
      </w:r>
      <w:r>
        <w:rPr>
          <w:rStyle w:val="FootnoteReference"/>
          <w:rFonts w:ascii="Times New Roman" w:hAnsi="Times New Roman"/>
          <w:noProof/>
        </w:rPr>
        <w:footnoteReference w:id="10"/>
      </w:r>
      <w:r>
        <w:rPr>
          <w:rFonts w:ascii="Times New Roman" w:hAnsi="Times New Roman"/>
          <w:noProof/>
        </w:rPr>
        <w:t xml:space="preserve">. </w:t>
      </w:r>
    </w:p>
    <w:p>
      <w:pPr>
        <w:spacing w:line="240" w:lineRule="auto"/>
        <w:jc w:val="both"/>
        <w:rPr>
          <w:rFonts w:ascii="Times New Roman" w:hAnsi="Times New Roman"/>
          <w:noProof/>
          <w:sz w:val="24"/>
          <w:szCs w:val="24"/>
        </w:rPr>
      </w:pPr>
      <w:r>
        <w:rPr>
          <w:rFonts w:ascii="Times New Roman" w:hAnsi="Times New Roman"/>
          <w:noProof/>
        </w:rPr>
        <w:t>Komisija se je v sporočilu Boljše pravno urejanje za boljše rezultate iz maja 2015 zavezala, da bo javno objavila osnutke besedil delegiranih aktov in osnutke pomembnih izvedbenih aktov za štiritedensko obdobje za predložitev povratnih informacij, v katerem lahko deležniki predložijo svoje pripombe. Leta 2018 je bilo na spletnem mestu Komisije „Povejte svoje mnenje“ objavljenih 165 takih osnutkov aktov</w:t>
      </w:r>
      <w:r>
        <w:rPr>
          <w:rStyle w:val="FootnoteReference"/>
          <w:rFonts w:ascii="Times New Roman" w:hAnsi="Times New Roman"/>
          <w:noProof/>
        </w:rPr>
        <w:footnoteReference w:id="11"/>
      </w:r>
      <w:r>
        <w:rPr>
          <w:rFonts w:ascii="Times New Roman" w:hAnsi="Times New Roman"/>
          <w:noProof/>
        </w:rPr>
        <w:t xml:space="preserve">. </w:t>
      </w:r>
    </w:p>
    <w:p>
      <w:pPr>
        <w:pStyle w:val="ManualHeading2"/>
        <w:rPr>
          <w:noProof/>
        </w:rPr>
      </w:pPr>
      <w:r>
        <w:t>1.2.</w:t>
      </w:r>
      <w:r>
        <w:tab/>
      </w:r>
      <w:r>
        <w:rPr>
          <w:noProof/>
        </w:rPr>
        <w:t>Razvoj sodne prakse</w:t>
      </w:r>
    </w:p>
    <w:p>
      <w:pPr>
        <w:spacing w:line="240" w:lineRule="auto"/>
        <w:jc w:val="both"/>
        <w:rPr>
          <w:rFonts w:ascii="Times New Roman" w:hAnsi="Times New Roman"/>
          <w:noProof/>
          <w:sz w:val="24"/>
          <w:szCs w:val="24"/>
        </w:rPr>
      </w:pPr>
      <w:r>
        <w:rPr>
          <w:rFonts w:ascii="Times New Roman" w:hAnsi="Times New Roman"/>
          <w:noProof/>
        </w:rPr>
        <w:t>Splošno sodišče je v sodbi z dne 13. decembra 2018 v združenih zadevah T-339/16, T-352/16 in T-391/16 obravnavalo vprašanje bistvenih elementov temeljnega akta. Sodišče je analiziralo, ali so mejne vrednosti emisij vozil štele za bistveni element temeljnega akta, za katerega Komisija ni imela pristojnosti, da ga spremeni, čeprav so bile te omejitve določene v prilogi k temeljnemu aktu. Splošno sodišče je v obravnavani zadevi preučilo uvodne izjave in normativni del temeljnega akta ter ugotovilo, da so bile mejne vrednosti emisij, določene v prilogi k temeljnemu aktu, bistvena in „celo osrednja“ določba akta, saj je bil namen vseh drugih določb tega akta zagotoviti spoštovanje teh omejitev, izrecnih določb, ki bi Komisijo pooblaščale, da jih spremeni, pa ni bilo.</w:t>
      </w:r>
    </w:p>
    <w:p>
      <w:pPr>
        <w:pStyle w:val="ManualHeading1"/>
        <w:rPr>
          <w:noProof/>
        </w:rPr>
      </w:pPr>
      <w:r>
        <w:rPr>
          <w:noProof/>
        </w:rPr>
        <w:br w:type="page"/>
      </w:r>
      <w:r>
        <w:t>2.</w:t>
      </w:r>
      <w:r>
        <w:tab/>
      </w:r>
      <w:r>
        <w:rPr>
          <w:noProof/>
        </w:rPr>
        <w:t>Pregled dejavnosti</w:t>
      </w:r>
    </w:p>
    <w:p>
      <w:pPr>
        <w:pStyle w:val="ManualHeading2"/>
        <w:rPr>
          <w:noProof/>
        </w:rPr>
      </w:pPr>
      <w:r>
        <w:t>2.1.</w:t>
      </w:r>
      <w:r>
        <w:tab/>
      </w:r>
      <w:r>
        <w:rPr>
          <w:noProof/>
        </w:rPr>
        <w:t>Število odborov in sej</w:t>
      </w:r>
    </w:p>
    <w:p>
      <w:pPr>
        <w:spacing w:line="240" w:lineRule="auto"/>
        <w:jc w:val="both"/>
        <w:rPr>
          <w:rFonts w:ascii="Times New Roman" w:hAnsi="Times New Roman"/>
          <w:noProof/>
          <w:sz w:val="24"/>
          <w:szCs w:val="24"/>
        </w:rPr>
      </w:pPr>
      <w:r>
        <w:rPr>
          <w:rFonts w:ascii="Times New Roman" w:hAnsi="Times New Roman"/>
          <w:noProof/>
        </w:rPr>
        <w:t>Pomembno je razlikovati med komitološkimi odbori na eni strani in drugimi subjekti, še posebej „strokovnimi skupinami“, ki jih ustanovi Komisija, na drugi strani. Slednje Komisiji</w:t>
      </w:r>
      <w:r>
        <w:rPr>
          <w:rFonts w:ascii="Times New Roman" w:hAnsi="Times New Roman"/>
          <w:noProof/>
          <w:vertAlign w:val="superscript"/>
        </w:rPr>
        <w:footnoteReference w:id="12"/>
      </w:r>
      <w:r>
        <w:rPr>
          <w:rFonts w:ascii="Times New Roman" w:hAnsi="Times New Roman"/>
          <w:noProof/>
        </w:rPr>
        <w:t xml:space="preserve"> zagotavljajo strokovno znanje pri pripravi in izvajanju politike in delegiranih aktov, medtem ko komitološki odbori Komisiji pomagajo pri izvajanju izvedbenih pooblastil, ki so ji bila podeljena s temeljnimi pravnimi akti. To poročilo obravnava izključno komitološke odbore. Število dejavnih komitoloških odborov v obdobju od 1. januarja do 31. decembra 2018 je bilo izračunano po področjih dejavnosti (glej preglednico I). Za primerjavo so navedeni tudi podatki za preteklo leto (stanje na dan 31. decembra 2017). Oddelki in sestave se ne štejejo ločeno, saj pripadajo skupnemu matičnemu odboru.</w:t>
      </w:r>
    </w:p>
    <w:p>
      <w:pPr>
        <w:keepNext/>
        <w:spacing w:line="240" w:lineRule="auto"/>
        <w:rPr>
          <w:rFonts w:ascii="Times New Roman" w:hAnsi="Times New Roman"/>
          <w:b/>
          <w:noProof/>
          <w:sz w:val="24"/>
          <w:szCs w:val="24"/>
          <w:u w:val="single"/>
        </w:rPr>
      </w:pPr>
      <w:r>
        <w:rPr>
          <w:rFonts w:ascii="Times New Roman" w:hAnsi="Times New Roman"/>
          <w:b/>
          <w:noProof/>
          <w:u w:val="single"/>
        </w:rPr>
        <w:t xml:space="preserve">PREGLEDNICA I – </w:t>
      </w:r>
      <w:r>
        <w:rPr>
          <w:rFonts w:ascii="Times New Roman" w:hAnsi="Times New Roman"/>
          <w:b/>
          <w:smallCaps/>
          <w:noProof/>
          <w:u w:val="single"/>
        </w:rPr>
        <w:t>Skupno število odborov</w:t>
      </w:r>
    </w:p>
    <w:tbl>
      <w:tblPr>
        <w:tblW w:w="5000" w:type="pct"/>
        <w:tblLook w:val="0000" w:firstRow="0" w:lastRow="0" w:firstColumn="0" w:lastColumn="0" w:noHBand="0" w:noVBand="0"/>
      </w:tblPr>
      <w:tblGrid>
        <w:gridCol w:w="6092"/>
        <w:gridCol w:w="1593"/>
        <w:gridCol w:w="1601"/>
      </w:tblGrid>
      <w:tr>
        <w:trPr>
          <w:trHeight w:val="510"/>
        </w:trPr>
        <w:tc>
          <w:tcPr>
            <w:tcW w:w="3280" w:type="pct"/>
            <w:tcBorders>
              <w:top w:val="single" w:sz="4" w:space="0" w:color="auto"/>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Področje politike</w:t>
            </w:r>
          </w:p>
        </w:tc>
        <w:tc>
          <w:tcPr>
            <w:tcW w:w="85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62" w:type="pct"/>
            <w:tcBorders>
              <w:top w:val="single" w:sz="4" w:space="0" w:color="auto"/>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 (kmetijstvo in razvoj podeželja)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 (proračun)</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 (podnebni ukrepi)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 (komunikacijska omrežja, vsebine in tehnologija)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 (mednarodno sodelovanje in razvoj)</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 (informatika)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 (izobraževanje in kultura)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 (gospodarske in finančne zadeve)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 (humanitarna pomoč in civilna zaščita)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 (zaposlovanje, socialne zadeve in vključevanje)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 (energetika)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 (okolje)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 (Eurostat)</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 (finančna stabilnost, finančne storitve in unija kapitalskih trgov)</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 (Služba za instrumente zunanje politike)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 (notranji trg, industrija, podjetništvo ter MSP)</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42</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44</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 (migracije in notranje zadeve)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 (pravosodje in potrošniki)</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25</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MARE (pomorske zadeve in ribištvo)</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 (mobilnost in promet)</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 (sosedstvo in širitvena pogajanja)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 (Evropski urad za boj proti goljufijam)</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 (regionalna in mestna politika)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 (raziskave in inovacije)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 (zdravje in varnost hrane)</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 (Generalni sekretariat)</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 (obdavčenje in carinska unija)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 (trgovina)</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r>
      <w:tr>
        <w:trPr>
          <w:trHeight w:val="255"/>
        </w:trPr>
        <w:tc>
          <w:tcPr>
            <w:tcW w:w="328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SKUPAJ:</w:t>
            </w:r>
          </w:p>
        </w:tc>
        <w:tc>
          <w:tcPr>
            <w:tcW w:w="858" w:type="pct"/>
            <w:tcBorders>
              <w:top w:val="nil"/>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267</w:t>
            </w:r>
          </w:p>
        </w:tc>
        <w:tc>
          <w:tcPr>
            <w:tcW w:w="862"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275</w:t>
            </w:r>
          </w:p>
        </w:tc>
      </w:tr>
    </w:tbl>
    <w:p>
      <w:pPr>
        <w:spacing w:line="240" w:lineRule="auto"/>
        <w:jc w:val="both"/>
        <w:rPr>
          <w:rFonts w:ascii="Times New Roman" w:hAnsi="Times New Roman"/>
          <w:i/>
          <w:noProof/>
          <w:sz w:val="18"/>
          <w:szCs w:val="18"/>
        </w:rPr>
      </w:pPr>
      <w:r>
        <w:rPr>
          <w:rFonts w:ascii="Times New Roman" w:hAnsi="Times New Roman"/>
          <w:noProof/>
          <w:sz w:val="18"/>
          <w:szCs w:val="18"/>
        </w:rPr>
        <w:t xml:space="preserve">* </w:t>
      </w:r>
      <w:r>
        <w:rPr>
          <w:rFonts w:ascii="Times New Roman" w:hAnsi="Times New Roman"/>
          <w:i/>
          <w:noProof/>
          <w:sz w:val="18"/>
          <w:szCs w:val="18"/>
        </w:rPr>
        <w:t>Vključno z odborom za pritožbe (za potrebe registra komitologije je odbor za pritožbe registriran kot odbor v pristojnosti Generalnega sekretariata; v praksi ga upravljajo vse zadevne službe).</w:t>
      </w:r>
    </w:p>
    <w:p>
      <w:pPr>
        <w:spacing w:line="240" w:lineRule="auto"/>
        <w:jc w:val="both"/>
        <w:rPr>
          <w:rFonts w:ascii="Times New Roman" w:hAnsi="Times New Roman"/>
          <w:noProof/>
          <w:sz w:val="24"/>
          <w:szCs w:val="24"/>
        </w:rPr>
      </w:pPr>
      <w:r>
        <w:rPr>
          <w:rFonts w:ascii="Times New Roman" w:hAnsi="Times New Roman"/>
          <w:noProof/>
        </w:rPr>
        <w:t>Leta 2018 so se komitološki odbori na splošno lahko razčlenili glede na vrsto postopka, po katerem so delovali (svetovalni postopek, postopek pregleda in regulativni postopek s pregledom − glej preglednico II). Nekateri odbori, ki so uporabljali več postopkov, so ločeni od ostalih odborov, ki so delovali po enem samem postopku.</w:t>
      </w:r>
    </w:p>
    <w:p>
      <w:pPr>
        <w:keepNext/>
        <w:spacing w:line="240" w:lineRule="auto"/>
        <w:rPr>
          <w:rFonts w:ascii="Times New Roman" w:hAnsi="Times New Roman"/>
          <w:b/>
          <w:smallCaps/>
          <w:noProof/>
          <w:sz w:val="24"/>
          <w:szCs w:val="24"/>
          <w:u w:val="single"/>
        </w:rPr>
      </w:pPr>
      <w:r>
        <w:rPr>
          <w:rFonts w:ascii="Times New Roman" w:hAnsi="Times New Roman"/>
          <w:b/>
          <w:noProof/>
          <w:u w:val="single"/>
        </w:rPr>
        <w:t xml:space="preserve">PREGLEDNICA II – </w:t>
      </w:r>
      <w:r>
        <w:rPr>
          <w:rFonts w:ascii="Times New Roman" w:hAnsi="Times New Roman"/>
          <w:b/>
          <w:smallCaps/>
          <w:noProof/>
          <w:u w:val="single"/>
        </w:rPr>
        <w:t>Število odborov glede na postopek</w:t>
      </w:r>
    </w:p>
    <w:tbl>
      <w:tblPr>
        <w:tblW w:w="5171" w:type="pct"/>
        <w:tblInd w:w="-318" w:type="dxa"/>
        <w:tblLook w:val="0000" w:firstRow="0" w:lastRow="0" w:firstColumn="0" w:lastColumn="0" w:noHBand="0" w:noVBand="0"/>
      </w:tblPr>
      <w:tblGrid>
        <w:gridCol w:w="1418"/>
        <w:gridCol w:w="1635"/>
        <w:gridCol w:w="1637"/>
        <w:gridCol w:w="1637"/>
        <w:gridCol w:w="1642"/>
        <w:gridCol w:w="1635"/>
      </w:tblGrid>
      <w:tr>
        <w:trPr>
          <w:trHeight w:val="510"/>
        </w:trPr>
        <w:tc>
          <w:tcPr>
            <w:tcW w:w="739" w:type="pct"/>
            <w:vMerge w:val="restart"/>
            <w:tcBorders>
              <w:top w:val="single" w:sz="4" w:space="0" w:color="auto"/>
              <w:left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3409" w:type="pct"/>
            <w:gridSpan w:val="4"/>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Vrsta postopka</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r>
      <w:tr>
        <w:trPr>
          <w:trHeight w:val="510"/>
        </w:trPr>
        <w:tc>
          <w:tcPr>
            <w:tcW w:w="739" w:type="pct"/>
            <w:vMerge/>
            <w:tcBorders>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p>
        </w:tc>
        <w:tc>
          <w:tcPr>
            <w:tcW w:w="851"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Svetovalni postopek</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Pregled</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Regulativni postopek s pregledom</w:t>
            </w:r>
          </w:p>
        </w:tc>
        <w:tc>
          <w:tcPr>
            <w:tcW w:w="855"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Deluje po več postopkih</w:t>
            </w:r>
          </w:p>
        </w:tc>
        <w:tc>
          <w:tcPr>
            <w:tcW w:w="852"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SKUPAJ:</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9</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30</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5</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8</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44</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12</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25</w:t>
            </w:r>
          </w:p>
        </w:tc>
      </w:tr>
      <w:tr>
        <w:trPr>
          <w:trHeight w:val="240"/>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MOVE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8</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sz w:val="18"/>
                <w:szCs w:val="18"/>
              </w:rPr>
            </w:pPr>
            <w:r>
              <w:rPr>
                <w:rFonts w:ascii="Times New Roman" w:hAnsi="Times New Roman"/>
                <w:bCs/>
                <w:noProof/>
                <w:sz w:val="18"/>
                <w:szCs w:val="18"/>
              </w:rPr>
              <w:t>4</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16</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OLAF</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6</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17</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10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2</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13</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sz w:val="18"/>
                <w:szCs w:val="18"/>
              </w:rPr>
            </w:pPr>
            <w:r>
              <w:rPr>
                <w:rFonts w:ascii="Times New Roman" w:hAnsi="Times New Roman"/>
                <w:noProof/>
                <w:sz w:val="18"/>
                <w:szCs w:val="18"/>
              </w:rPr>
              <w:t>4</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0</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7</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sz w:val="18"/>
                <w:szCs w:val="18"/>
              </w:rPr>
            </w:pPr>
            <w:r>
              <w:rPr>
                <w:rFonts w:ascii="Times New Roman" w:hAnsi="Times New Roman"/>
                <w:noProof/>
                <w:sz w:val="18"/>
                <w:szCs w:val="18"/>
              </w:rPr>
              <w:t>14</w:t>
            </w:r>
          </w:p>
        </w:tc>
      </w:tr>
      <w:tr>
        <w:trPr>
          <w:trHeight w:val="255"/>
        </w:trPr>
        <w:tc>
          <w:tcPr>
            <w:tcW w:w="73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right"/>
              <w:rPr>
                <w:rFonts w:ascii="Times New Roman" w:hAnsi="Times New Roman"/>
                <w:b/>
                <w:bCs/>
                <w:noProof/>
                <w:color w:val="000000"/>
                <w:sz w:val="18"/>
                <w:szCs w:val="18"/>
              </w:rPr>
            </w:pPr>
            <w:r>
              <w:rPr>
                <w:rFonts w:ascii="Times New Roman" w:hAnsi="Times New Roman"/>
                <w:b/>
                <w:bCs/>
                <w:noProof/>
                <w:sz w:val="18"/>
                <w:szCs w:val="18"/>
              </w:rPr>
              <w:t>SKUPAJ:</w:t>
            </w:r>
          </w:p>
        </w:tc>
        <w:tc>
          <w:tcPr>
            <w:tcW w:w="851"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23</w:t>
            </w:r>
          </w:p>
        </w:tc>
        <w:tc>
          <w:tcPr>
            <w:tcW w:w="852"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100</w:t>
            </w:r>
          </w:p>
        </w:tc>
        <w:tc>
          <w:tcPr>
            <w:tcW w:w="852"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21</w:t>
            </w:r>
          </w:p>
        </w:tc>
        <w:tc>
          <w:tcPr>
            <w:tcW w:w="855"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130</w:t>
            </w:r>
          </w:p>
        </w:tc>
        <w:tc>
          <w:tcPr>
            <w:tcW w:w="852"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274</w:t>
            </w:r>
          </w:p>
        </w:tc>
      </w:tr>
    </w:tbl>
    <w:p>
      <w:pPr>
        <w:spacing w:line="240" w:lineRule="auto"/>
        <w:jc w:val="both"/>
        <w:rPr>
          <w:rFonts w:ascii="Times New Roman" w:hAnsi="Times New Roman"/>
          <w:noProof/>
          <w:sz w:val="18"/>
          <w:szCs w:val="18"/>
        </w:rPr>
      </w:pPr>
      <w:r>
        <w:rPr>
          <w:rFonts w:ascii="Times New Roman" w:hAnsi="Times New Roman"/>
          <w:noProof/>
          <w:sz w:val="18"/>
          <w:szCs w:val="18"/>
        </w:rPr>
        <w:t xml:space="preserve">* </w:t>
      </w:r>
      <w:r>
        <w:rPr>
          <w:rFonts w:ascii="Times New Roman" w:hAnsi="Times New Roman"/>
          <w:i/>
          <w:noProof/>
          <w:sz w:val="18"/>
          <w:szCs w:val="18"/>
        </w:rPr>
        <w:t>Vključno z odborom za pritožbe.</w:t>
      </w:r>
    </w:p>
    <w:p>
      <w:pPr>
        <w:spacing w:line="240" w:lineRule="auto"/>
        <w:jc w:val="both"/>
        <w:rPr>
          <w:rFonts w:ascii="Times New Roman" w:hAnsi="Times New Roman"/>
          <w:noProof/>
          <w:sz w:val="24"/>
          <w:szCs w:val="24"/>
        </w:rPr>
      </w:pPr>
      <w:r>
        <w:rPr>
          <w:rFonts w:ascii="Times New Roman" w:hAnsi="Times New Roman"/>
          <w:noProof/>
        </w:rPr>
        <w:t xml:space="preserve">Število odborov ni edini kazalnik dejavnosti na komitološki ravni. Tudi </w:t>
      </w:r>
      <w:r>
        <w:rPr>
          <w:rFonts w:ascii="Times New Roman" w:hAnsi="Times New Roman"/>
          <w:i/>
          <w:noProof/>
        </w:rPr>
        <w:t>število sej</w:t>
      </w:r>
      <w:r>
        <w:rPr>
          <w:rFonts w:ascii="Times New Roman" w:hAnsi="Times New Roman"/>
          <w:noProof/>
        </w:rPr>
        <w:t xml:space="preserve"> in </w:t>
      </w:r>
      <w:r>
        <w:rPr>
          <w:rFonts w:ascii="Times New Roman" w:hAnsi="Times New Roman"/>
          <w:i/>
          <w:iCs/>
          <w:noProof/>
        </w:rPr>
        <w:t>število pisnih postopkov</w:t>
      </w:r>
      <w:r>
        <w:rPr>
          <w:rFonts w:ascii="Times New Roman" w:hAnsi="Times New Roman"/>
          <w:i/>
          <w:noProof/>
          <w:vertAlign w:val="superscript"/>
        </w:rPr>
        <w:footnoteReference w:id="13"/>
      </w:r>
      <w:r>
        <w:rPr>
          <w:rFonts w:ascii="Times New Roman" w:hAnsi="Times New Roman"/>
          <w:noProof/>
        </w:rPr>
        <w:t xml:space="preserve"> v letu 2018 ponazarjata splošno intenzivnost dela, tako na ravni področij kot tudi v posameznih odborih (preglednica III).</w:t>
      </w:r>
    </w:p>
    <w:p>
      <w:pPr>
        <w:keepNext/>
        <w:spacing w:line="240" w:lineRule="auto"/>
        <w:rPr>
          <w:rFonts w:ascii="Times New Roman" w:hAnsi="Times New Roman"/>
          <w:b/>
          <w:noProof/>
          <w:sz w:val="24"/>
          <w:szCs w:val="24"/>
          <w:u w:val="single"/>
        </w:rPr>
      </w:pPr>
      <w:r>
        <w:rPr>
          <w:noProof/>
        </w:rPr>
        <w:br w:type="page"/>
      </w:r>
      <w:r>
        <w:rPr>
          <w:rFonts w:ascii="Times New Roman" w:hAnsi="Times New Roman"/>
          <w:b/>
          <w:noProof/>
          <w:u w:val="single"/>
        </w:rPr>
        <w:t xml:space="preserve">PREGLEDNICA III – </w:t>
      </w:r>
      <w:r>
        <w:rPr>
          <w:rFonts w:ascii="Times New Roman" w:hAnsi="Times New Roman"/>
          <w:b/>
          <w:smallCaps/>
          <w:noProof/>
          <w:u w:val="single"/>
        </w:rPr>
        <w:t>Število sej in pisnih postopkov</w:t>
      </w:r>
    </w:p>
    <w:tbl>
      <w:tblPr>
        <w:tblW w:w="5000" w:type="pct"/>
        <w:tblLook w:val="0000" w:firstRow="0" w:lastRow="0" w:firstColumn="0" w:lastColumn="0" w:noHBand="0" w:noVBand="0"/>
      </w:tblPr>
      <w:tblGrid>
        <w:gridCol w:w="1596"/>
        <w:gridCol w:w="1536"/>
        <w:gridCol w:w="1538"/>
        <w:gridCol w:w="1540"/>
        <w:gridCol w:w="1538"/>
        <w:gridCol w:w="1538"/>
      </w:tblGrid>
      <w:tr>
        <w:trPr>
          <w:trHeight w:val="510"/>
        </w:trPr>
        <w:tc>
          <w:tcPr>
            <w:tcW w:w="860" w:type="pct"/>
            <w:vMerge w:val="restart"/>
            <w:tcBorders>
              <w:top w:val="single" w:sz="4" w:space="0" w:color="auto"/>
              <w:left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val="restart"/>
            <w:tcBorders>
              <w:top w:val="single" w:sz="4" w:space="0" w:color="auto"/>
              <w:left w:val="nil"/>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Število odborov </w:t>
            </w:r>
          </w:p>
        </w:tc>
        <w:tc>
          <w:tcPr>
            <w:tcW w:w="1657"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Seje</w:t>
            </w:r>
          </w:p>
        </w:tc>
        <w:tc>
          <w:tcPr>
            <w:tcW w:w="1656"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Pisni postopki</w:t>
            </w:r>
          </w:p>
        </w:tc>
      </w:tr>
      <w:tr>
        <w:trPr>
          <w:trHeight w:val="510"/>
        </w:trPr>
        <w:tc>
          <w:tcPr>
            <w:tcW w:w="860" w:type="pct"/>
            <w:vMerge/>
            <w:tcBorders>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7" w:type="pct"/>
            <w:vMerge/>
            <w:tcBorders>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9"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828" w:type="pct"/>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35</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r>
      <w:tr>
        <w:trPr>
          <w:trHeight w:val="240"/>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218</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494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430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33</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36</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21</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27</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29</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r>
      <w:tr>
        <w:trPr>
          <w:trHeight w:val="255"/>
        </w:trPr>
        <w:tc>
          <w:tcPr>
            <w:tcW w:w="86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SKUPAJ:</w:t>
            </w:r>
          </w:p>
        </w:tc>
        <w:tc>
          <w:tcPr>
            <w:tcW w:w="827"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p>
        </w:tc>
        <w:tc>
          <w:tcPr>
            <w:tcW w:w="828"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616</w:t>
            </w:r>
          </w:p>
        </w:tc>
        <w:tc>
          <w:tcPr>
            <w:tcW w:w="829" w:type="pct"/>
            <w:tcBorders>
              <w:top w:val="nil"/>
              <w:left w:val="nil"/>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620</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1 024</w:t>
            </w:r>
          </w:p>
        </w:tc>
        <w:tc>
          <w:tcPr>
            <w:tcW w:w="828" w:type="pct"/>
            <w:tcBorders>
              <w:top w:val="nil"/>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880</w:t>
            </w:r>
          </w:p>
        </w:tc>
      </w:tr>
    </w:tbl>
    <w:p>
      <w:pPr>
        <w:spacing w:line="240" w:lineRule="auto"/>
        <w:jc w:val="both"/>
        <w:rPr>
          <w:rFonts w:ascii="Times New Roman" w:hAnsi="Times New Roman"/>
          <w:i/>
          <w:noProof/>
          <w:sz w:val="18"/>
          <w:szCs w:val="18"/>
        </w:rPr>
      </w:pPr>
      <w:r>
        <w:rPr>
          <w:rFonts w:ascii="Times New Roman" w:hAnsi="Times New Roman"/>
          <w:i/>
          <w:noProof/>
          <w:sz w:val="18"/>
          <w:szCs w:val="18"/>
        </w:rPr>
        <w:t>* seje/pisni postopek odbora za pritožbe</w:t>
      </w:r>
    </w:p>
    <w:p>
      <w:pPr>
        <w:spacing w:line="240" w:lineRule="auto"/>
        <w:jc w:val="both"/>
        <w:rPr>
          <w:rFonts w:ascii="Times New Roman" w:hAnsi="Times New Roman"/>
          <w:b/>
          <w:noProof/>
          <w:sz w:val="24"/>
          <w:szCs w:val="24"/>
        </w:rPr>
      </w:pPr>
    </w:p>
    <w:p>
      <w:pPr>
        <w:pStyle w:val="ManualHeading2"/>
        <w:rPr>
          <w:noProof/>
        </w:rPr>
      </w:pPr>
      <w:r>
        <w:t>2.2.</w:t>
      </w:r>
      <w:r>
        <w:tab/>
      </w:r>
      <w:r>
        <w:rPr>
          <w:noProof/>
        </w:rPr>
        <w:t>Število mnenj in izvedbenih aktov/ukrepov</w:t>
      </w:r>
    </w:p>
    <w:p>
      <w:pPr>
        <w:spacing w:line="240" w:lineRule="auto"/>
        <w:jc w:val="both"/>
        <w:rPr>
          <w:rFonts w:ascii="Times New Roman" w:hAnsi="Times New Roman"/>
          <w:noProof/>
          <w:sz w:val="24"/>
          <w:szCs w:val="24"/>
        </w:rPr>
      </w:pPr>
      <w:r>
        <w:rPr>
          <w:rFonts w:ascii="Times New Roman" w:hAnsi="Times New Roman"/>
          <w:noProof/>
        </w:rPr>
        <w:t xml:space="preserve">To poročilo kot vedno zajema skupne podatke o uradnih </w:t>
      </w:r>
      <w:r>
        <w:rPr>
          <w:rFonts w:ascii="Times New Roman" w:hAnsi="Times New Roman"/>
          <w:i/>
          <w:iCs/>
          <w:noProof/>
        </w:rPr>
        <w:t>mnenjih</w:t>
      </w:r>
      <w:r>
        <w:rPr>
          <w:rFonts w:ascii="Times New Roman" w:hAnsi="Times New Roman"/>
          <w:noProof/>
        </w:rPr>
        <w:t xml:space="preserve">, ki jih predložijo odbori, in o nadaljnjih </w:t>
      </w:r>
      <w:r>
        <w:rPr>
          <w:rFonts w:ascii="Times New Roman" w:hAnsi="Times New Roman"/>
          <w:i/>
          <w:iCs/>
          <w:noProof/>
        </w:rPr>
        <w:t>izvedbenih aktih</w:t>
      </w:r>
      <w:r>
        <w:rPr>
          <w:rFonts w:ascii="Times New Roman" w:hAnsi="Times New Roman"/>
          <w:noProof/>
        </w:rPr>
        <w:t>/</w:t>
      </w:r>
      <w:r>
        <w:rPr>
          <w:rFonts w:ascii="Times New Roman" w:hAnsi="Times New Roman"/>
          <w:i/>
          <w:iCs/>
          <w:noProof/>
        </w:rPr>
        <w:t>ukrepih</w:t>
      </w:r>
      <w:r>
        <w:rPr>
          <w:rFonts w:ascii="Times New Roman" w:hAnsi="Times New Roman"/>
          <w:noProof/>
        </w:rPr>
        <w:t>, ki jih sprejme Komisija</w:t>
      </w:r>
      <w:r>
        <w:rPr>
          <w:rFonts w:ascii="Times New Roman" w:hAnsi="Times New Roman"/>
          <w:noProof/>
          <w:vertAlign w:val="superscript"/>
        </w:rPr>
        <w:footnoteReference w:id="14"/>
      </w:r>
      <w:r>
        <w:rPr>
          <w:rFonts w:ascii="Times New Roman" w:hAnsi="Times New Roman"/>
          <w:noProof/>
        </w:rPr>
        <w:t xml:space="preserve">. Ti podatki odražajo količinsko izmerljivo „produktivnost“ odborov (glej razpredelnico IV). </w:t>
      </w:r>
    </w:p>
    <w:p>
      <w:pPr>
        <w:spacing w:line="240" w:lineRule="auto"/>
        <w:jc w:val="both"/>
        <w:rPr>
          <w:rFonts w:ascii="Times New Roman" w:hAnsi="Times New Roman"/>
          <w:noProof/>
          <w:sz w:val="24"/>
          <w:szCs w:val="24"/>
        </w:rPr>
      </w:pPr>
      <w:r>
        <w:rPr>
          <w:rFonts w:ascii="Times New Roman" w:hAnsi="Times New Roman"/>
          <w:noProof/>
        </w:rPr>
        <w:t>Evropski parlament in Svet imata pravico do nadzora v skladu s členom 11 uredbe o postopku v odboru.  Leta 2018 je Evropski parlament sprejel 9 resolucij na podlagi člena 11 uredbe o postopku v odboru, Svet pa ni sprejel nobene take resolucije.</w:t>
      </w:r>
    </w:p>
    <w:p>
      <w:pPr>
        <w:spacing w:line="240" w:lineRule="auto"/>
        <w:jc w:val="both"/>
        <w:rPr>
          <w:rFonts w:ascii="Times New Roman" w:hAnsi="Times New Roman"/>
          <w:noProof/>
          <w:sz w:val="24"/>
          <w:szCs w:val="24"/>
        </w:rPr>
      </w:pPr>
    </w:p>
    <w:p>
      <w:pPr>
        <w:keepNext/>
        <w:spacing w:line="240" w:lineRule="auto"/>
        <w:rPr>
          <w:rFonts w:ascii="Times New Roman" w:hAnsi="Times New Roman"/>
          <w:b/>
          <w:smallCaps/>
          <w:noProof/>
          <w:sz w:val="24"/>
          <w:szCs w:val="24"/>
          <w:u w:val="single"/>
        </w:rPr>
      </w:pPr>
      <w:r>
        <w:rPr>
          <w:rFonts w:ascii="Times New Roman" w:hAnsi="Times New Roman"/>
          <w:b/>
          <w:noProof/>
          <w:u w:val="single"/>
        </w:rPr>
        <w:t xml:space="preserve">PREGLEDNICA IV – </w:t>
      </w:r>
      <w:r>
        <w:rPr>
          <w:rFonts w:ascii="Times New Roman" w:hAnsi="Times New Roman"/>
          <w:b/>
          <w:smallCaps/>
          <w:noProof/>
          <w:u w:val="single"/>
        </w:rPr>
        <w:t>Število sprejetih mnenj in izvedbenih aktov/ukrepov</w:t>
      </w:r>
    </w:p>
    <w:tbl>
      <w:tblPr>
        <w:tblW w:w="5000" w:type="pct"/>
        <w:tblLook w:val="0000" w:firstRow="0" w:lastRow="0" w:firstColumn="0" w:lastColumn="0" w:noHBand="0" w:noVBand="0"/>
      </w:tblPr>
      <w:tblGrid>
        <w:gridCol w:w="976"/>
        <w:gridCol w:w="1384"/>
        <w:gridCol w:w="1386"/>
        <w:gridCol w:w="1386"/>
        <w:gridCol w:w="1388"/>
        <w:gridCol w:w="1385"/>
        <w:gridCol w:w="1381"/>
      </w:tblGrid>
      <w:tr>
        <w:trPr>
          <w:trHeight w:val="510"/>
        </w:trPr>
        <w:tc>
          <w:tcPr>
            <w:tcW w:w="510"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1497"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Mnenja</w:t>
            </w:r>
            <w:r>
              <w:rPr>
                <w:rStyle w:val="FootnoteReference"/>
                <w:rFonts w:ascii="Times New Roman" w:hAnsi="Times New Roman"/>
                <w:b/>
                <w:noProof/>
                <w:sz w:val="18"/>
                <w:szCs w:val="18"/>
              </w:rPr>
              <w:footnoteReference w:id="15"/>
            </w:r>
          </w:p>
        </w:tc>
        <w:tc>
          <w:tcPr>
            <w:tcW w:w="1499"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Sprejeti izvedbeni</w:t>
            </w:r>
            <w:r>
              <w:rPr>
                <w:rFonts w:ascii="Times New Roman" w:hAnsi="Times New Roman"/>
                <w:b/>
                <w:noProof/>
                <w:sz w:val="18"/>
                <w:szCs w:val="18"/>
              </w:rPr>
              <w:br/>
              <w:t>akti</w:t>
            </w:r>
          </w:p>
        </w:tc>
        <w:tc>
          <w:tcPr>
            <w:tcW w:w="1494" w:type="pct"/>
            <w:gridSpan w:val="2"/>
            <w:tcBorders>
              <w:top w:val="single" w:sz="4" w:space="0" w:color="auto"/>
              <w:left w:val="nil"/>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 Regulativni postopek s pregledom – sprejeti</w:t>
            </w:r>
            <w:r>
              <w:rPr>
                <w:rFonts w:ascii="Times New Roman" w:hAnsi="Times New Roman"/>
                <w:b/>
                <w:noProof/>
                <w:sz w:val="18"/>
                <w:szCs w:val="18"/>
              </w:rPr>
              <w:br/>
              <w:t>akti</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2017</w:t>
            </w:r>
          </w:p>
        </w:tc>
        <w:tc>
          <w:tcPr>
            <w:tcW w:w="746"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noProof/>
                <w:color w:val="000000"/>
                <w:sz w:val="18"/>
                <w:szCs w:val="18"/>
                <w:highlight w:val="cyan"/>
              </w:rPr>
            </w:pPr>
            <w:r>
              <w:rPr>
                <w:rFonts w:ascii="Times New Roman" w:hAnsi="Times New Roman"/>
                <w:b/>
                <w:noProof/>
                <w:sz w:val="18"/>
                <w:szCs w:val="18"/>
              </w:rPr>
              <w:t>2018</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137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14</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3</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18</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6</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15</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68</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61</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11</w:t>
            </w:r>
          </w:p>
        </w:tc>
      </w:tr>
      <w:tr>
        <w:trPr>
          <w:trHeight w:val="240"/>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74</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highlight w:val="cyan"/>
              </w:rPr>
            </w:pPr>
            <w:r>
              <w:rPr>
                <w:rFonts w:ascii="Times New Roman" w:hAnsi="Times New Roman"/>
                <w:bCs/>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4</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248</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225</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159</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803</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629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753</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603</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38</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r>
              <w:rPr>
                <w:rFonts w:ascii="Times New Roman" w:hAnsi="Times New Roman"/>
                <w:noProof/>
                <w:sz w:val="18"/>
                <w:szCs w:val="18"/>
              </w:rPr>
              <w:t>*</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12</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79</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56</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85</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57</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59</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86</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52</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highlight w:val="cyan"/>
              </w:rPr>
            </w:pPr>
            <w:r>
              <w:rPr>
                <w:rFonts w:ascii="Times New Roman" w:hAnsi="Times New Roman"/>
                <w:noProof/>
                <w:sz w:val="18"/>
                <w:szCs w:val="18"/>
              </w:rPr>
              <w:t>0</w:t>
            </w:r>
          </w:p>
        </w:tc>
      </w:tr>
      <w:tr>
        <w:trPr>
          <w:trHeight w:val="255"/>
        </w:trPr>
        <w:tc>
          <w:tcPr>
            <w:tcW w:w="510"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right"/>
              <w:rPr>
                <w:rFonts w:ascii="Times New Roman" w:hAnsi="Times New Roman"/>
                <w:b/>
                <w:bCs/>
                <w:noProof/>
                <w:color w:val="000000"/>
                <w:sz w:val="18"/>
                <w:szCs w:val="18"/>
              </w:rPr>
            </w:pPr>
            <w:r>
              <w:rPr>
                <w:rFonts w:ascii="Times New Roman" w:hAnsi="Times New Roman"/>
                <w:b/>
                <w:noProof/>
                <w:sz w:val="18"/>
                <w:szCs w:val="18"/>
              </w:rPr>
              <w:t>SKUPAJ:</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1906</w:t>
            </w:r>
          </w:p>
        </w:tc>
        <w:tc>
          <w:tcPr>
            <w:tcW w:w="749"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1633</w:t>
            </w:r>
          </w:p>
        </w:tc>
        <w:tc>
          <w:tcPr>
            <w:tcW w:w="749"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1687</w:t>
            </w:r>
          </w:p>
        </w:tc>
        <w:tc>
          <w:tcPr>
            <w:tcW w:w="750" w:type="pct"/>
            <w:tcBorders>
              <w:top w:val="nil"/>
              <w:left w:val="single" w:sz="4" w:space="0" w:color="auto"/>
              <w:bottom w:val="single" w:sz="4" w:space="0" w:color="auto"/>
              <w:right w:val="single" w:sz="4" w:space="0" w:color="auto"/>
            </w:tcBorders>
            <w:shd w:val="clear" w:color="auto" w:fill="FFFF99"/>
            <w:noWrap/>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1456</w:t>
            </w:r>
          </w:p>
        </w:tc>
        <w:tc>
          <w:tcPr>
            <w:tcW w:w="748" w:type="pct"/>
            <w:tcBorders>
              <w:top w:val="nil"/>
              <w:left w:val="single" w:sz="4" w:space="0" w:color="auto"/>
              <w:bottom w:val="single" w:sz="4" w:space="0" w:color="auto"/>
              <w:right w:val="single" w:sz="4" w:space="0" w:color="auto"/>
            </w:tcBorders>
            <w:shd w:val="clear" w:color="auto" w:fill="FFFF99"/>
            <w:vAlign w:val="center"/>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113</w:t>
            </w:r>
          </w:p>
        </w:tc>
        <w:tc>
          <w:tcPr>
            <w:tcW w:w="746"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highlight w:val="cyan"/>
              </w:rPr>
            </w:pPr>
            <w:r>
              <w:rPr>
                <w:rFonts w:ascii="Times New Roman" w:hAnsi="Times New Roman"/>
                <w:b/>
                <w:bCs/>
                <w:noProof/>
                <w:sz w:val="18"/>
                <w:szCs w:val="18"/>
              </w:rPr>
              <w:t>90</w:t>
            </w:r>
          </w:p>
        </w:tc>
      </w:tr>
    </w:tbl>
    <w:p>
      <w:pPr>
        <w:spacing w:line="240" w:lineRule="auto"/>
        <w:ind w:left="240" w:hanging="240"/>
        <w:jc w:val="both"/>
        <w:rPr>
          <w:rFonts w:ascii="Times New Roman" w:hAnsi="Times New Roman"/>
          <w:i/>
          <w:noProof/>
          <w:sz w:val="18"/>
          <w:szCs w:val="18"/>
        </w:rPr>
      </w:pPr>
      <w:r>
        <w:rPr>
          <w:rFonts w:ascii="Times New Roman" w:hAnsi="Times New Roman"/>
          <w:i/>
          <w:noProof/>
          <w:sz w:val="18"/>
          <w:szCs w:val="18"/>
        </w:rPr>
        <w:t>* Vključno z mnenji odbora za pritožbe in sprejetimi akti.</w:t>
      </w:r>
      <w:r>
        <w:rPr>
          <w:rFonts w:ascii="Times New Roman" w:hAnsi="Times New Roman"/>
          <w:i/>
          <w:noProof/>
          <w:sz w:val="18"/>
          <w:szCs w:val="18"/>
        </w:rPr>
        <w:tab/>
      </w:r>
      <w:r>
        <w:rPr>
          <w:rFonts w:ascii="Times New Roman" w:hAnsi="Times New Roman"/>
          <w:i/>
          <w:noProof/>
          <w:sz w:val="18"/>
          <w:szCs w:val="18"/>
        </w:rPr>
        <w:br/>
      </w:r>
    </w:p>
    <w:p>
      <w:pPr>
        <w:pStyle w:val="ManualHeading2"/>
        <w:rPr>
          <w:noProof/>
        </w:rPr>
      </w:pPr>
      <w:r>
        <w:t>2.3.</w:t>
      </w:r>
      <w:r>
        <w:tab/>
      </w:r>
      <w:r>
        <w:rPr>
          <w:noProof/>
        </w:rPr>
        <w:t>Seje odbora za pritožbe</w:t>
      </w:r>
    </w:p>
    <w:p>
      <w:pPr>
        <w:spacing w:line="240" w:lineRule="auto"/>
        <w:jc w:val="both"/>
        <w:rPr>
          <w:rFonts w:ascii="Times New Roman" w:hAnsi="Times New Roman"/>
          <w:noProof/>
          <w:sz w:val="24"/>
          <w:szCs w:val="24"/>
        </w:rPr>
      </w:pPr>
      <w:r>
        <w:rPr>
          <w:rFonts w:ascii="Times New Roman" w:hAnsi="Times New Roman"/>
          <w:noProof/>
        </w:rPr>
        <w:t>Odbor za pritožbe se je v letu 2018 srečal še šestkrat in razpravljal o 12 osnutkih izvedbenih aktov (na področju zdravja in potrošnikov), ki jih je predložila Komisija. Odbor za pritožbe v vseh 12 primerih ni podal nobenega mnenja. Komisija se je v letu 2018 odločila sprejeti 11 izvedbenih aktov, glede katerih na ta način ni prejela nobenega mnenja.</w:t>
      </w:r>
    </w:p>
    <w:p>
      <w:pPr>
        <w:pStyle w:val="ManualHeading2"/>
        <w:rPr>
          <w:noProof/>
        </w:rPr>
      </w:pPr>
      <w:r>
        <w:t>2.4.</w:t>
      </w:r>
      <w:r>
        <w:tab/>
      </w:r>
      <w:r>
        <w:rPr>
          <w:noProof/>
        </w:rPr>
        <w:t xml:space="preserve">Uporaba regulativnega postopka s pregledom </w:t>
      </w:r>
    </w:p>
    <w:p>
      <w:pPr>
        <w:spacing w:line="240" w:lineRule="auto"/>
        <w:jc w:val="both"/>
        <w:rPr>
          <w:rFonts w:ascii="Times New Roman" w:hAnsi="Times New Roman"/>
          <w:noProof/>
          <w:sz w:val="24"/>
          <w:szCs w:val="24"/>
        </w:rPr>
      </w:pPr>
      <w:r>
        <w:rPr>
          <w:rFonts w:ascii="Times New Roman" w:hAnsi="Times New Roman"/>
          <w:noProof/>
        </w:rPr>
        <w:t>Kakor je bilo navedeno v oddelku 1, preoblikovanje postopka v odboru iz leta 2011 ni vplivalo na regulativni postopek s pregledom. Ta postopek se v okviru nove zakonodaje ne more več uporabljati, vendar se še vedno pojavlja v mnogih obstoječih temeljnih aktih in se bo v okviru teh aktov uporabljal še naprej, dokler ne bodo usklajeni. V letu 2018 je bilo sprejetih 90 ukrepov na podlagi regulativnega postopka s pregledom (glej preglednico V). Pravica do ugovora je bila uporabljena enkrat, in sicer jo je uveljavljal Evropski parlament; leta 2017 je bila prav tako uporabljena enkrat.</w:t>
      </w:r>
    </w:p>
    <w:p>
      <w:pPr>
        <w:keepNext/>
        <w:spacing w:line="240" w:lineRule="auto"/>
        <w:rPr>
          <w:rFonts w:ascii="Times New Roman" w:hAnsi="Times New Roman"/>
          <w:b/>
          <w:smallCaps/>
          <w:noProof/>
          <w:sz w:val="24"/>
          <w:szCs w:val="24"/>
          <w:u w:val="single"/>
        </w:rPr>
      </w:pPr>
      <w:r>
        <w:rPr>
          <w:rFonts w:ascii="Times New Roman" w:hAnsi="Times New Roman"/>
          <w:b/>
          <w:noProof/>
          <w:u w:val="single"/>
        </w:rPr>
        <w:t xml:space="preserve">PREGLEDNICA V – </w:t>
      </w:r>
      <w:r>
        <w:rPr>
          <w:rFonts w:ascii="Times New Roman" w:hAnsi="Times New Roman"/>
          <w:b/>
          <w:smallCaps/>
          <w:noProof/>
          <w:u w:val="single"/>
        </w:rPr>
        <w:t xml:space="preserve">Število ukrepov, sprejetih na podlagi regulativnega postopka s pregledom </w:t>
      </w:r>
    </w:p>
    <w:tbl>
      <w:tblPr>
        <w:tblW w:w="5000" w:type="pct"/>
        <w:tblLook w:val="0000" w:firstRow="0" w:lastRow="0" w:firstColumn="0" w:lastColumn="0" w:noHBand="0" w:noVBand="0"/>
      </w:tblPr>
      <w:tblGrid>
        <w:gridCol w:w="1714"/>
        <w:gridCol w:w="2524"/>
        <w:gridCol w:w="2526"/>
        <w:gridCol w:w="2522"/>
      </w:tblGrid>
      <w:tr>
        <w:trPr>
          <w:trHeight w:val="597"/>
        </w:trPr>
        <w:tc>
          <w:tcPr>
            <w:tcW w:w="923" w:type="pct"/>
            <w:tcBorders>
              <w:top w:val="single" w:sz="4" w:space="0" w:color="auto"/>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noProof/>
                <w:color w:val="000000"/>
                <w:sz w:val="18"/>
                <w:szCs w:val="18"/>
              </w:rPr>
            </w:pPr>
            <w:r>
              <w:rPr>
                <w:rFonts w:ascii="Times New Roman" w:hAnsi="Times New Roman"/>
                <w:noProof/>
                <w:sz w:val="18"/>
                <w:szCs w:val="18"/>
              </w:rPr>
              <w:t> </w:t>
            </w: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Regulativni postopek s pregledom – sprejeti</w:t>
            </w:r>
            <w:r>
              <w:rPr>
                <w:rFonts w:ascii="Times New Roman" w:hAnsi="Times New Roman"/>
                <w:b/>
                <w:noProof/>
                <w:sz w:val="18"/>
                <w:szCs w:val="18"/>
              </w:rPr>
              <w:br/>
              <w:t>z regulativnim postopkom s pregledom</w:t>
            </w:r>
          </w:p>
        </w:tc>
        <w:tc>
          <w:tcPr>
            <w:tcW w:w="1360"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Evropski parlament je nasprotoval sprejetju osnutkov ukrepov </w:t>
            </w:r>
          </w:p>
        </w:tc>
        <w:tc>
          <w:tcPr>
            <w:tcW w:w="1359" w:type="pct"/>
            <w:tcBorders>
              <w:top w:val="single" w:sz="4" w:space="0" w:color="auto"/>
              <w:left w:val="nil"/>
              <w:bottom w:val="single" w:sz="4" w:space="0" w:color="auto"/>
              <w:right w:val="single" w:sz="4" w:space="0" w:color="auto"/>
            </w:tcBorders>
            <w:shd w:val="clear" w:color="auto" w:fill="FFFF99"/>
            <w:vAlign w:val="bottom"/>
          </w:tcPr>
          <w:p>
            <w:pPr>
              <w:spacing w:after="0" w:line="240" w:lineRule="auto"/>
              <w:jc w:val="center"/>
              <w:rPr>
                <w:rFonts w:ascii="Times New Roman" w:hAnsi="Times New Roman"/>
                <w:b/>
                <w:noProof/>
                <w:color w:val="000000"/>
                <w:sz w:val="18"/>
                <w:szCs w:val="18"/>
              </w:rPr>
            </w:pPr>
            <w:r>
              <w:rPr>
                <w:rFonts w:ascii="Times New Roman" w:hAnsi="Times New Roman"/>
                <w:b/>
                <w:noProof/>
                <w:sz w:val="18"/>
                <w:szCs w:val="18"/>
              </w:rPr>
              <w:t xml:space="preserve">Svet je nasprotoval sprejetju osnutkov ukrepov </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AGRI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BUDG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CLIMA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CNECT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DEVCO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DIGIT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EAC</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ECFIN</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ECHO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EMPL</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ENER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ENV</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ESTAT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FISMA</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6</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FPI</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GROW</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15</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HOME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JUST</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MARE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MOVE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11</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40"/>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NEAR</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bCs/>
                <w:noProof/>
                <w:color w:val="000000"/>
                <w:sz w:val="18"/>
                <w:szCs w:val="18"/>
              </w:rPr>
            </w:pPr>
            <w:r>
              <w:rPr>
                <w:rFonts w:ascii="Times New Roman" w:hAnsi="Times New Roman"/>
                <w:b/>
                <w:noProof/>
                <w:sz w:val="18"/>
                <w:szCs w:val="18"/>
              </w:rPr>
              <w:t>OLAF</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Cs/>
                <w:noProof/>
                <w:color w:val="000000"/>
                <w:sz w:val="18"/>
                <w:szCs w:val="18"/>
              </w:rPr>
            </w:pPr>
            <w:r>
              <w:rPr>
                <w:rFonts w:ascii="Times New Roman" w:hAnsi="Times New Roman"/>
                <w:bCs/>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REGIO</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RTD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SANTE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38</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SG</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TAXUD</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rPr>
                <w:rFonts w:ascii="Times New Roman" w:hAnsi="Times New Roman"/>
                <w:b/>
                <w:noProof/>
                <w:color w:val="000000"/>
                <w:sz w:val="18"/>
                <w:szCs w:val="18"/>
              </w:rPr>
            </w:pPr>
            <w:r>
              <w:rPr>
                <w:rFonts w:ascii="Times New Roman" w:hAnsi="Times New Roman"/>
                <w:b/>
                <w:noProof/>
                <w:sz w:val="18"/>
                <w:szCs w:val="18"/>
              </w:rPr>
              <w:t>TRADE</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noProof/>
                <w:color w:val="000000"/>
                <w:sz w:val="18"/>
                <w:szCs w:val="18"/>
              </w:rPr>
            </w:pPr>
            <w:r>
              <w:rPr>
                <w:rFonts w:ascii="Times New Roman" w:hAnsi="Times New Roman"/>
                <w:noProof/>
                <w:sz w:val="18"/>
                <w:szCs w:val="18"/>
              </w:rPr>
              <w:t>0</w:t>
            </w:r>
          </w:p>
        </w:tc>
      </w:tr>
      <w:tr>
        <w:trPr>
          <w:trHeight w:val="255"/>
        </w:trPr>
        <w:tc>
          <w:tcPr>
            <w:tcW w:w="923" w:type="pct"/>
            <w:tcBorders>
              <w:top w:val="nil"/>
              <w:left w:val="single" w:sz="4" w:space="0" w:color="auto"/>
              <w:bottom w:val="single" w:sz="4" w:space="0" w:color="auto"/>
              <w:right w:val="single" w:sz="4" w:space="0" w:color="auto"/>
            </w:tcBorders>
            <w:shd w:val="clear" w:color="auto" w:fill="FFFF99"/>
            <w:noWrap/>
            <w:vAlign w:val="bottom"/>
          </w:tcPr>
          <w:p>
            <w:pPr>
              <w:spacing w:after="0" w:line="240" w:lineRule="auto"/>
              <w:ind w:left="720"/>
              <w:rPr>
                <w:rFonts w:ascii="Times New Roman" w:hAnsi="Times New Roman"/>
                <w:b/>
                <w:bCs/>
                <w:noProof/>
                <w:color w:val="000000"/>
                <w:sz w:val="18"/>
                <w:szCs w:val="18"/>
              </w:rPr>
            </w:pPr>
            <w:r>
              <w:rPr>
                <w:rFonts w:ascii="Times New Roman" w:hAnsi="Times New Roman"/>
                <w:b/>
                <w:noProof/>
                <w:sz w:val="18"/>
                <w:szCs w:val="18"/>
              </w:rPr>
              <w:t>SKUPAJ:</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90</w:t>
            </w:r>
          </w:p>
        </w:tc>
        <w:tc>
          <w:tcPr>
            <w:tcW w:w="1360"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1</w:t>
            </w:r>
          </w:p>
        </w:tc>
        <w:tc>
          <w:tcPr>
            <w:tcW w:w="1359" w:type="pct"/>
            <w:tcBorders>
              <w:top w:val="nil"/>
              <w:left w:val="nil"/>
              <w:bottom w:val="single" w:sz="4" w:space="0" w:color="auto"/>
              <w:right w:val="single" w:sz="4" w:space="0" w:color="auto"/>
            </w:tcBorders>
            <w:shd w:val="clear" w:color="auto" w:fill="FFFF99"/>
            <w:noWrap/>
            <w:vAlign w:val="bottom"/>
          </w:tcPr>
          <w:p>
            <w:pPr>
              <w:spacing w:after="0" w:line="240" w:lineRule="auto"/>
              <w:jc w:val="center"/>
              <w:rPr>
                <w:rFonts w:ascii="Times New Roman" w:hAnsi="Times New Roman"/>
                <w:b/>
                <w:bCs/>
                <w:noProof/>
                <w:color w:val="000000"/>
                <w:sz w:val="18"/>
                <w:szCs w:val="18"/>
              </w:rPr>
            </w:pPr>
            <w:r>
              <w:rPr>
                <w:rFonts w:ascii="Times New Roman" w:hAnsi="Times New Roman"/>
                <w:b/>
                <w:bCs/>
                <w:noProof/>
                <w:sz w:val="18"/>
                <w:szCs w:val="18"/>
              </w:rPr>
              <w:t>0</w:t>
            </w:r>
          </w:p>
        </w:tc>
      </w:tr>
    </w:tbl>
    <w:p>
      <w:pPr>
        <w:spacing w:line="240" w:lineRule="auto"/>
        <w:jc w:val="both"/>
        <w:rPr>
          <w:rFonts w:ascii="Times New Roman" w:hAnsi="Times New Roman"/>
          <w:b/>
          <w:noProof/>
          <w:sz w:val="24"/>
          <w:szCs w:val="24"/>
        </w:rPr>
      </w:pPr>
    </w:p>
    <w:p>
      <w:pPr>
        <w:pStyle w:val="ManualHeading1"/>
        <w:rPr>
          <w:noProof/>
        </w:rPr>
      </w:pPr>
      <w:r>
        <w:t>3.</w:t>
      </w:r>
      <w:r>
        <w:tab/>
      </w:r>
      <w:r>
        <w:rPr>
          <w:noProof/>
        </w:rPr>
        <w:t>Podrobne informacije o dejavnostih odborov</w:t>
      </w:r>
    </w:p>
    <w:p>
      <w:pPr>
        <w:spacing w:line="240" w:lineRule="auto"/>
        <w:jc w:val="both"/>
        <w:rPr>
          <w:rFonts w:ascii="Times New Roman" w:hAnsi="Times New Roman"/>
          <w:noProof/>
          <w:sz w:val="24"/>
          <w:szCs w:val="24"/>
        </w:rPr>
      </w:pPr>
      <w:r>
        <w:rPr>
          <w:rFonts w:ascii="Times New Roman" w:hAnsi="Times New Roman"/>
          <w:noProof/>
        </w:rPr>
        <w:t>Delovni dokument, ki je priložen temu poročilu, vsebuje podrobne informacije o delu posameznih odborov v letu 2018, ki so razčlenjeni na podlagi različnih zadevnih služb Komisije.</w:t>
      </w:r>
    </w:p>
    <w:p>
      <w:pPr>
        <w:pStyle w:val="ManualHeading1"/>
        <w:rPr>
          <w:noProof/>
        </w:rPr>
      </w:pPr>
      <w:r>
        <w:t>4.</w:t>
      </w:r>
      <w:r>
        <w:tab/>
      </w:r>
      <w:r>
        <w:rPr>
          <w:noProof/>
        </w:rPr>
        <w:t>Zaključek</w:t>
      </w:r>
    </w:p>
    <w:p>
      <w:pPr>
        <w:rPr>
          <w:rFonts w:ascii="Times New Roman" w:hAnsi="Times New Roman"/>
          <w:noProof/>
          <w:sz w:val="24"/>
          <w:szCs w:val="24"/>
        </w:rPr>
      </w:pPr>
      <w:r>
        <w:rPr>
          <w:rFonts w:ascii="Times New Roman" w:hAnsi="Times New Roman"/>
          <w:noProof/>
        </w:rPr>
        <w:t xml:space="preserve">Evropski parlament in Svet sta pozvana, da se seznanita s tem poročilom.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r>
        <w:rPr>
          <w:rStyle w:val="Strong"/>
          <w:b w:val="0"/>
        </w:rPr>
        <w:t>Uredba (EU) št. 182/2011 Evropskega parlamenta in Sveta z dne 16. februarja 2011 o določitvi splošnih pravil in načel, na podlagi katerih države članice nadzirajo izvajanje izvedbenih pooblastil Komisije (UL L 55, 28.2.2011, str. 13).</w:t>
      </w:r>
    </w:p>
  </w:footnote>
  <w:footnote w:id="2">
    <w:p>
      <w:pPr>
        <w:pStyle w:val="FootnoteText"/>
      </w:pPr>
      <w:r>
        <w:rPr>
          <w:rStyle w:val="FootnoteReference"/>
        </w:rPr>
        <w:footnoteRef/>
      </w:r>
      <w:r>
        <w:tab/>
        <w:t>Poročilo Komisije o delu odborov v letu 2013, (COM(2014)572 final).</w:t>
      </w:r>
    </w:p>
  </w:footnote>
  <w:footnote w:id="3">
    <w:p>
      <w:pPr>
        <w:pStyle w:val="FootnoteText"/>
      </w:pPr>
      <w:r>
        <w:rPr>
          <w:rStyle w:val="FootnoteReference"/>
        </w:rPr>
        <w:footnoteRef/>
      </w:r>
      <w:r>
        <w:tab/>
        <w:t>Sklep Sveta 1999/468/ES z dne 28. junija 1999 o določitvi postopkov za uresničevanje Komisiji podeljenih izvedbenih pooblastil ( UL L 184, 17.7.1999, str. 23), kakor je bil spremenjen s Sklepom 2006/512/ES (UL L 200, 22.7.2006, str. 11) (Konsolidirana različica v UL C 255, 21.10.2006, str. 4).</w:t>
      </w:r>
    </w:p>
  </w:footnote>
  <w:footnote w:id="4">
    <w:p>
      <w:pPr>
        <w:pStyle w:val="FootnoteText"/>
      </w:pPr>
      <w:r>
        <w:rPr>
          <w:rStyle w:val="FootnoteReference"/>
        </w:rPr>
        <w:footnoteRef/>
      </w:r>
      <w:r>
        <w:tab/>
        <w:t xml:space="preserve">Medinstitucionalni sporazum med Evropskim parlamentom, Svetom Evropske unije in Evropsko komisijo z dne 13. aprila 2016 o boljši pripravi zakonodaje (UL L 123, 12.5.2016, str. 1). </w:t>
      </w:r>
    </w:p>
  </w:footnote>
  <w:footnote w:id="5">
    <w:p>
      <w:pPr>
        <w:pStyle w:val="FootnoteText"/>
        <w:ind w:left="709" w:hanging="709"/>
      </w:pPr>
      <w:r>
        <w:rPr>
          <w:rStyle w:val="FootnoteReference"/>
        </w:rPr>
        <w:footnoteRef/>
      </w:r>
      <w:r>
        <w:tab/>
        <w:t>Predlog uredbe Evropskega parlamenta in Sveta o prilagoditvi več zakonodajnih aktov, v katerih je določena uporaba regulativnega postopka s pregledom, členoma 290 in 291 Pogodbe o delovanju Evropske unije (COM(2016) 799).</w:t>
      </w:r>
    </w:p>
  </w:footnote>
  <w:footnote w:id="6">
    <w:p>
      <w:pPr>
        <w:pStyle w:val="FootnoteText"/>
      </w:pPr>
      <w:r>
        <w:rPr>
          <w:rStyle w:val="FootnoteReference"/>
        </w:rPr>
        <w:footnoteRef/>
      </w:r>
      <w:r>
        <w:tab/>
        <w:t>Predlog uredbe Evropskega parlamenta in Sveta o prilagoditvi več zakonodajnih aktov na področju pravosodja, v katerih je določena uporaba regulativnega postopka s pregledom, členu 290 Pogodbe o delovanju Evropske unije (COM(2016) 798).</w:t>
      </w:r>
    </w:p>
  </w:footnote>
  <w:footnote w:id="7">
    <w:p>
      <w:pPr>
        <w:pStyle w:val="FootnoteText"/>
      </w:pPr>
      <w:r>
        <w:rPr>
          <w:rStyle w:val="FootnoteReference"/>
        </w:rPr>
        <w:footnoteRef/>
      </w:r>
      <w:r>
        <w:tab/>
        <w:t>Uredba (EU) 2019/1243 Evropskega parlamenta in Sveta z dne 20. junija 2019 o prilagoditvi več zakonodajnih aktov, v katerih je določena uporaba regulativnega postopka s pregledom, členoma 290 in 291 Pogodbe o delovanju Evropske unije (UL L 198, 25.7.2019, str. 241).</w:t>
      </w:r>
    </w:p>
  </w:footnote>
  <w:footnote w:id="8">
    <w:p>
      <w:pPr>
        <w:pStyle w:val="FootnoteText"/>
      </w:pPr>
      <w:r>
        <w:rPr>
          <w:rStyle w:val="FootnoteReference"/>
        </w:rPr>
        <w:footnoteRef/>
      </w:r>
      <w:r>
        <w:tab/>
        <w:t>Poročilo Komisije Evropskemu parlamentu in Svetu o izvajanju Uredbe (EU) št. 182/2011 (COM(2016) 92).</w:t>
      </w:r>
    </w:p>
  </w:footnote>
  <w:footnote w:id="9">
    <w:p>
      <w:pPr>
        <w:pStyle w:val="FootnoteText"/>
      </w:pPr>
      <w:r>
        <w:rPr>
          <w:rStyle w:val="FootnoteReference"/>
        </w:rPr>
        <w:footnoteRef/>
      </w:r>
      <w:r>
        <w:tab/>
        <w:t>Predlog uredbe Evropskega parlamenta in Sveta o spremembi Uredbe (EU) št. 182/2011 o določitvi splošnih pravil in načel, na podlagi katerih države članice nadzirajo izvajanje izvedbenih pooblastil Komisije (COM(2017) 085 final).</w:t>
      </w:r>
    </w:p>
  </w:footnote>
  <w:footnote w:id="10">
    <w:p>
      <w:pPr>
        <w:pStyle w:val="FootnoteText"/>
      </w:pPr>
      <w:r>
        <w:rPr>
          <w:rStyle w:val="FootnoteReference"/>
        </w:rPr>
        <w:footnoteRef/>
      </w:r>
      <w:r>
        <w:tab/>
        <w:t>Medinstitucionalni sporazum o nezavezujočih merilih za uporabo členov 290 in 291 Pogodbe o delovanju Evropske unije (UL C 223, 3.7.2019, str. 1).</w:t>
      </w:r>
    </w:p>
  </w:footnote>
  <w:footnote w:id="11">
    <w:p>
      <w:pPr>
        <w:pStyle w:val="FootnoteText"/>
      </w:pPr>
      <w:r>
        <w:rPr>
          <w:rStyle w:val="FootnoteReference"/>
        </w:rPr>
        <w:footnoteRef/>
      </w:r>
      <w:r>
        <w:t xml:space="preserve"> </w:t>
      </w:r>
      <w:r>
        <w:tab/>
      </w:r>
      <w:hyperlink r:id="rId1" w:history="1">
        <w:r>
          <w:rPr>
            <w:rStyle w:val="Hyperlink"/>
          </w:rPr>
          <w:t>https://ec.europa.eu/info/law/better-regulation/have-your-say_sl</w:t>
        </w:r>
      </w:hyperlink>
      <w:r>
        <w:t xml:space="preserve"> </w:t>
      </w:r>
    </w:p>
  </w:footnote>
  <w:footnote w:id="12">
    <w:p>
      <w:pPr>
        <w:pStyle w:val="FootnoteText"/>
      </w:pPr>
      <w:r>
        <w:rPr>
          <w:rStyle w:val="FootnoteReference"/>
        </w:rPr>
        <w:footnoteRef/>
      </w:r>
      <w:r>
        <w:tab/>
        <w:t xml:space="preserve">Za več informacij glej: </w:t>
      </w:r>
      <w:hyperlink r:id="rId2" w:history="1">
        <w:r>
          <w:rPr>
            <w:rStyle w:val="Hyperlink"/>
          </w:rPr>
          <w:t>http://ec.europa.eu/transparency/regexpert/index.cfm?Lang=SL</w:t>
        </w:r>
      </w:hyperlink>
      <w:r>
        <w:t xml:space="preserve">. </w:t>
      </w:r>
    </w:p>
  </w:footnote>
  <w:footnote w:id="13">
    <w:p>
      <w:pPr>
        <w:pStyle w:val="FootnoteText"/>
      </w:pPr>
      <w:r>
        <w:rPr>
          <w:rStyle w:val="FootnoteReference"/>
        </w:rPr>
        <w:footnoteRef/>
      </w:r>
      <w:r>
        <w:tab/>
        <w:t>Glasovanje odbora lahko poteka na redni seji odbora ali v ustrezno utemeljenih primerih na podlagi pisnega postopka v skladu s členom 3(5) uredbe o postopku v odboru.</w:t>
      </w:r>
    </w:p>
  </w:footnote>
  <w:footnote w:id="14">
    <w:p>
      <w:pPr>
        <w:pStyle w:val="FootnoteText"/>
      </w:pPr>
      <w:r>
        <w:rPr>
          <w:rStyle w:val="FootnoteReference"/>
        </w:rPr>
        <w:footnoteRef/>
      </w:r>
      <w:r>
        <w:tab/>
        <w:t>Opomniti je treba, da so možna razhajanja med številom mnenj in številom izvedbenih aktov/ukrepov v katerem koli letu. Razlogi za to so pojasnjeni v uvodu priloženega delovnega dokumenta služb Komisije.</w:t>
      </w:r>
    </w:p>
  </w:footnote>
  <w:footnote w:id="15">
    <w:p>
      <w:pPr>
        <w:pStyle w:val="FootnoteText"/>
      </w:pPr>
      <w:r>
        <w:rPr>
          <w:rStyle w:val="FootnoteReference"/>
        </w:rPr>
        <w:footnoteRef/>
      </w:r>
      <w:r>
        <w:tab/>
        <w:t>Glasovanje, katerega rezultat je „brez mnenja“, se prišteje skupnemu številu mnenj.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pStyle w:val="ListBullet2"/>
      <w:lvlText w:val=""/>
      <w:lvlJc w:val="left"/>
      <w:pPr>
        <w:tabs>
          <w:tab w:val="num" w:pos="1134"/>
        </w:tabs>
        <w:ind w:left="1134" w:hanging="283"/>
      </w:pPr>
      <w:rPr>
        <w:rFonts w:ascii="Symbol" w:hAnsi="Symbol" w:hint="default"/>
      </w:rPr>
    </w:lvl>
  </w:abstractNum>
  <w:abstractNum w:abstractNumId="3">
    <w:nsid w:val="24E930D7"/>
    <w:multiLevelType w:val="multilevel"/>
    <w:tmpl w:val="EFD2E05E"/>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5">
    <w:nsid w:val="3A5459E8"/>
    <w:multiLevelType w:val="singleLevel"/>
    <w:tmpl w:val="2188C922"/>
    <w:lvl w:ilvl="0">
      <w:start w:val="1"/>
      <w:numFmt w:val="bullet"/>
      <w:pStyle w:val="Tiret1"/>
      <w:lvlText w:val="–"/>
      <w:lvlJc w:val="left"/>
      <w:pPr>
        <w:tabs>
          <w:tab w:val="num" w:pos="1417"/>
        </w:tabs>
        <w:ind w:left="1417" w:hanging="567"/>
      </w:pPr>
    </w:lvl>
  </w:abstractNum>
  <w:abstractNum w:abstractNumId="6">
    <w:nsid w:val="3BA736C9"/>
    <w:multiLevelType w:val="singleLevel"/>
    <w:tmpl w:val="F00A6C0C"/>
    <w:lvl w:ilvl="0">
      <w:start w:val="1"/>
      <w:numFmt w:val="bullet"/>
      <w:pStyle w:val="Tiret0"/>
      <w:lvlText w:val="–"/>
      <w:lvlJc w:val="left"/>
      <w:pPr>
        <w:tabs>
          <w:tab w:val="num" w:pos="850"/>
        </w:tabs>
        <w:ind w:left="850" w:hanging="850"/>
      </w:pPr>
    </w:lvl>
  </w:abstractNum>
  <w:abstractNum w:abstractNumId="7">
    <w:nsid w:val="3C90278F"/>
    <w:multiLevelType w:val="singleLevel"/>
    <w:tmpl w:val="0FE08974"/>
    <w:name w:val="Tiret 1"/>
    <w:lvl w:ilvl="0">
      <w:start w:val="1"/>
      <w:numFmt w:val="bullet"/>
      <w:pStyle w:val="Tiret3"/>
      <w:lvlText w:val="–"/>
      <w:lvlJc w:val="left"/>
      <w:pPr>
        <w:tabs>
          <w:tab w:val="num" w:pos="2551"/>
        </w:tabs>
        <w:ind w:left="2551" w:hanging="567"/>
      </w:pPr>
    </w:lvl>
  </w:abstractNum>
  <w:abstractNum w:abstractNumId="8">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7,134676E-02"/>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48842C30"/>
    <w:multiLevelType w:val="singleLevel"/>
    <w:tmpl w:val="4FA60B90"/>
    <w:name w:val="List Dash"/>
    <w:lvl w:ilvl="0">
      <w:start w:val="1"/>
      <w:numFmt w:val="bullet"/>
      <w:pStyle w:val="Bullet4"/>
      <w:lvlText w:val=""/>
      <w:lvlJc w:val="left"/>
      <w:pPr>
        <w:tabs>
          <w:tab w:val="num" w:pos="3118"/>
        </w:tabs>
        <w:ind w:left="3118" w:hanging="567"/>
      </w:pPr>
      <w:rPr>
        <w:rFonts w:ascii="Symbol" w:hAnsi="Symbol" w:hint="default"/>
      </w:rPr>
    </w:lvl>
  </w:abstractNum>
  <w:abstractNum w:abstractNumId="11">
    <w:nsid w:val="54593082"/>
    <w:multiLevelType w:val="singleLevel"/>
    <w:tmpl w:val="EDE069AC"/>
    <w:name w:val="Tir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568864DC"/>
    <w:multiLevelType w:val="singleLevel"/>
    <w:tmpl w:val="485EBDAC"/>
    <w:name w:val="Tiret 3"/>
    <w:lvl w:ilvl="0">
      <w:start w:val="1"/>
      <w:numFmt w:val="bullet"/>
      <w:pStyle w:val="Tiret4"/>
      <w:lvlText w:val="–"/>
      <w:lvlJc w:val="left"/>
      <w:pPr>
        <w:tabs>
          <w:tab w:val="num" w:pos="3118"/>
        </w:tabs>
        <w:ind w:left="3118" w:hanging="567"/>
      </w:pPr>
    </w:lvl>
  </w:abstractNum>
  <w:abstractNum w:abstractNumId="13">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14">
    <w:nsid w:val="5F342530"/>
    <w:multiLevelType w:val="singleLevel"/>
    <w:tmpl w:val="D5444702"/>
    <w:name w:val="List Dash 2"/>
    <w:lvl w:ilvl="0">
      <w:start w:val="1"/>
      <w:numFmt w:val="bullet"/>
      <w:pStyle w:val="Bullet3"/>
      <w:lvlText w:val=""/>
      <w:lvlJc w:val="left"/>
      <w:pPr>
        <w:tabs>
          <w:tab w:val="num" w:pos="2551"/>
        </w:tabs>
        <w:ind w:left="2551" w:hanging="567"/>
      </w:pPr>
      <w:rPr>
        <w:rFonts w:ascii="Symbol" w:hAnsi="Symbol" w:hint="default"/>
      </w:rPr>
    </w:lvl>
  </w:abstractNum>
  <w:abstractNum w:abstractNumId="15">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17">
    <w:nsid w:val="62970F71"/>
    <w:multiLevelType w:val="singleLevel"/>
    <w:tmpl w:val="5AFA8C72"/>
    <w:name w:val="Bullet 4"/>
    <w:lvl w:ilvl="0">
      <w:start w:val="1"/>
      <w:numFmt w:val="bullet"/>
      <w:pStyle w:val="Tiret2"/>
      <w:lvlText w:val="–"/>
      <w:lvlJc w:val="left"/>
      <w:pPr>
        <w:tabs>
          <w:tab w:val="num" w:pos="1984"/>
        </w:tabs>
        <w:ind w:left="1984" w:hanging="567"/>
      </w:pPr>
    </w:lvl>
  </w:abstractNum>
  <w:abstractNum w:abstractNumId="18">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9">
    <w:nsid w:val="69995580"/>
    <w:multiLevelType w:val="singleLevel"/>
    <w:tmpl w:val="75CC7CBA"/>
    <w:lvl w:ilvl="0">
      <w:start w:val="1"/>
      <w:numFmt w:val="decimal"/>
      <w:pStyle w:val="Considrant"/>
      <w:lvlText w:val="(%1)"/>
      <w:lvlJc w:val="left"/>
      <w:pPr>
        <w:tabs>
          <w:tab w:val="num" w:pos="709"/>
        </w:tabs>
        <w:ind w:left="709" w:hanging="709"/>
      </w:pPr>
    </w:lvl>
  </w:abstractNum>
  <w:abstractNum w:abstractNumId="2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21">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711167E2"/>
    <w:multiLevelType w:val="multilevel"/>
    <w:tmpl w:val="C3843A7A"/>
    <w:name w:val="List Dash 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26F71"/>
    <w:multiLevelType w:val="multilevel"/>
    <w:tmpl w:val="8320DD02"/>
    <w:name w:val="Bullet 0"/>
    <w:lvl w:ilvl="0">
      <w:start w:val="1"/>
      <w:numFmt w:val="decimal"/>
      <w:pStyle w:val="Heading1"/>
      <w:lvlText w:val="%1."/>
      <w:lvlJc w:val="left"/>
      <w:pPr>
        <w:tabs>
          <w:tab w:val="num" w:pos="850"/>
        </w:tabs>
        <w:ind w:left="850" w:hanging="850"/>
      </w:pPr>
      <w:rPr>
        <w:color w:val="auto"/>
      </w:r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BE95D7F"/>
    <w:multiLevelType w:val="multilevel"/>
    <w:tmpl w:val="F126F780"/>
    <w:name w:val="List Bulle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lvl w:ilvl="0">
      <w:start w:val="1"/>
      <w:numFmt w:val="bullet"/>
      <w:pStyle w:val="ListBullet4"/>
      <w:lvlText w:val=""/>
      <w:lvlJc w:val="left"/>
      <w:pPr>
        <w:tabs>
          <w:tab w:val="num" w:pos="1134"/>
        </w:tabs>
        <w:ind w:left="1134" w:hanging="283"/>
      </w:pPr>
      <w:rPr>
        <w:rFonts w:ascii="Symbol" w:hAnsi="Symbol"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28"/>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7"/>
  </w:num>
  <w:num w:numId="13">
    <w:abstractNumId w:val="7"/>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6"/>
  </w:num>
  <w:num w:numId="20">
    <w:abstractNumId w:val="14"/>
  </w:num>
  <w:num w:numId="21">
    <w:abstractNumId w:val="10"/>
  </w:num>
  <w:num w:numId="22">
    <w:abstractNumId w:val="19"/>
    <w:lvlOverride w:ilvl="0">
      <w:startOverride w:val="1"/>
    </w:lvlOverride>
  </w:num>
  <w:num w:numId="23">
    <w:abstractNumId w:val="20"/>
  </w:num>
  <w:num w:numId="24">
    <w:abstractNumId w:val="9"/>
  </w:num>
  <w:num w:numId="25">
    <w:abstractNumId w:val="18"/>
  </w:num>
  <w:num w:numId="26">
    <w:abstractNumId w:val="13"/>
  </w:num>
  <w:num w:numId="27">
    <w:abstractNumId w:val="24"/>
  </w:num>
  <w:num w:numId="28">
    <w:abstractNumId w:val="27"/>
  </w:num>
  <w:num w:numId="29">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F3EF4C9-1D3D-4960-9D34-8A0E13A14B73"/>
    <w:docVar w:name="LW_COVERPAGE_TYPE" w:val="1"/>
    <w:docVar w:name="LW_CROSSREFERENCE" w:val="{SWD(2019) 441 final}"/>
    <w:docVar w:name="LW_DocType" w:val="NORMAL"/>
    <w:docVar w:name="LW_EMISSION" w:val="16.12.2019"/>
    <w:docVar w:name="LW_EMISSION_ISODATE" w:val="2019-12-16"/>
    <w:docVar w:name="LW_EMISSION_LOCATION" w:val="BRX"/>
    <w:docVar w:name="LW_EMISSION_PREFIX" w:val="Bruselj, "/>
    <w:docVar w:name="LW_EMISSION_SUFFIX" w:val=" "/>
    <w:docVar w:name="LW_ID_DOCTYPE_NONLW" w:val="CP-003"/>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 DELU ODBOROV V LETU 2018"/>
    <w:docVar w:name="LW_TYPE.DOC.CP" w:val="PORO\u268?ILO KOMISIJ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table of figures" w:uiPriority="0"/>
    <w:lsdException w:name="annotation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semiHidden/>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character" w:styleId="Hyperlink">
    <w:name w:val="Hyperlink"/>
    <w:unhideWhenUsed/>
    <w:rPr>
      <w:rFonts w:ascii="Times New Roman" w:hAnsi="Times New Roman" w:cs="Times New Roman" w:hint="default"/>
      <w:color w:val="0000FF"/>
      <w:u w:val="single"/>
    </w:rPr>
  </w:style>
  <w:style w:type="character" w:styleId="FollowedHyperlink">
    <w:name w:val="FollowedHyperlink"/>
    <w:semiHidden/>
    <w:unhideWhenUsed/>
    <w:rPr>
      <w:color w:val="800080"/>
      <w:u w:val="single"/>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autoRedefine/>
    <w:semiHidden/>
    <w:unhideWhenUsed/>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autoRedefine/>
    <w:semiHidden/>
    <w:unhideWhenUsed/>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autoRedefine/>
    <w:semiHidden/>
    <w:unhideWhenUsed/>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autoRedefine/>
    <w:semiHidden/>
    <w:unhideWhenUsed/>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autoRedefine/>
    <w:semiHidden/>
    <w:unhideWhenUsed/>
    <w:pPr>
      <w:tabs>
        <w:tab w:val="right" w:leader="dot" w:pos="9071"/>
      </w:tabs>
      <w:spacing w:before="120" w:after="12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Pr>
      <w:rFonts w:ascii="Times New Roman" w:eastAsia="Times New Roman" w:hAnsi="Times New Roman"/>
      <w:lang w:eastAsia="en-US"/>
    </w:rPr>
  </w:style>
  <w:style w:type="paragraph" w:styleId="CommentText">
    <w:name w:val="annotation text"/>
    <w:basedOn w:val="Normal"/>
    <w:link w:val="CommentTextChar"/>
    <w:semiHidden/>
    <w:unhideWhenUsed/>
    <w:pPr>
      <w:spacing w:before="120" w:after="120" w:line="240" w:lineRule="auto"/>
      <w:jc w:val="both"/>
    </w:pPr>
    <w:rPr>
      <w:rFonts w:ascii="Times New Roman" w:eastAsia="Times New Roman" w:hAnsi="Times New Roman"/>
      <w:sz w:val="20"/>
      <w:szCs w:val="20"/>
      <w:lang w:eastAsia="en-GB"/>
    </w:rPr>
  </w:style>
  <w:style w:type="character" w:customStyle="1" w:styleId="CommentTextChar">
    <w:name w:val="Comment Text Char"/>
    <w:link w:val="CommentText"/>
    <w:semiHidden/>
    <w:rPr>
      <w:rFonts w:ascii="Times New Roman" w:eastAsia="Times New Roman" w:hAnsi="Times New Roman"/>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styleId="Caption">
    <w:name w:val="caption"/>
    <w:basedOn w:val="Normal"/>
    <w:next w:val="Normal"/>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semiHidden/>
    <w:unhideWhenUsed/>
    <w:pPr>
      <w:spacing w:before="120" w:after="120" w:line="240" w:lineRule="auto"/>
      <w:jc w:val="both"/>
    </w:pPr>
    <w:rPr>
      <w:rFonts w:ascii="Times New Roman" w:eastAsia="Times New Roman" w:hAnsi="Times New Roman"/>
      <w:sz w:val="24"/>
      <w:szCs w:val="24"/>
    </w:rPr>
  </w:style>
  <w:style w:type="paragraph" w:styleId="EndnoteText">
    <w:name w:val="endnote text"/>
    <w:basedOn w:val="Normal"/>
    <w:link w:val="EndnoteTextChar"/>
    <w:semiHidden/>
    <w:unhideWhenUsed/>
    <w:pPr>
      <w:spacing w:before="120" w:after="12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en-US"/>
    </w:rPr>
  </w:style>
  <w:style w:type="paragraph" w:styleId="ListBullet">
    <w:name w:val="List Bullet"/>
    <w:basedOn w:val="Normal"/>
    <w:semiHidden/>
    <w:unhideWhenUsed/>
    <w:pPr>
      <w:numPr>
        <w:numId w:val="2"/>
      </w:numPr>
      <w:spacing w:before="120" w:after="120" w:line="240" w:lineRule="auto"/>
      <w:jc w:val="both"/>
    </w:pPr>
    <w:rPr>
      <w:rFonts w:ascii="Times New Roman" w:eastAsia="Times New Roman" w:hAnsi="Times New Roman"/>
      <w:sz w:val="24"/>
      <w:szCs w:val="24"/>
      <w:lang w:eastAsia="de-DE"/>
    </w:rPr>
  </w:style>
  <w:style w:type="paragraph" w:styleId="ListNumber">
    <w:name w:val="List Number"/>
    <w:basedOn w:val="Normal"/>
    <w:semiHidden/>
    <w:unhideWhenUsed/>
    <w:pPr>
      <w:numPr>
        <w:numId w:val="3"/>
      </w:numPr>
      <w:spacing w:before="120" w:after="120" w:line="240" w:lineRule="auto"/>
      <w:jc w:val="both"/>
    </w:pPr>
    <w:rPr>
      <w:rFonts w:ascii="Times New Roman" w:eastAsia="Times New Roman" w:hAnsi="Times New Roman"/>
      <w:sz w:val="24"/>
      <w:szCs w:val="24"/>
      <w:lang w:eastAsia="de-DE"/>
    </w:rPr>
  </w:style>
  <w:style w:type="paragraph" w:styleId="ListBullet2">
    <w:name w:val="List Bullet 2"/>
    <w:basedOn w:val="Normal"/>
    <w:semiHidden/>
    <w:unhideWhenUsed/>
    <w:pPr>
      <w:numPr>
        <w:numId w:val="4"/>
      </w:numPr>
      <w:spacing w:before="120" w:after="120" w:line="240" w:lineRule="auto"/>
      <w:jc w:val="both"/>
    </w:pPr>
    <w:rPr>
      <w:rFonts w:ascii="Times New Roman" w:eastAsia="Times New Roman" w:hAnsi="Times New Roman"/>
      <w:sz w:val="24"/>
      <w:szCs w:val="24"/>
      <w:lang w:eastAsia="de-DE"/>
    </w:rPr>
  </w:style>
  <w:style w:type="paragraph" w:styleId="ListBullet3">
    <w:name w:val="List Bullet 3"/>
    <w:basedOn w:val="Normal"/>
    <w:semiHidden/>
    <w:unhideWhenUsed/>
    <w:pPr>
      <w:numPr>
        <w:numId w:val="5"/>
      </w:numPr>
      <w:spacing w:before="120" w:after="120" w:line="240" w:lineRule="auto"/>
      <w:jc w:val="both"/>
    </w:pPr>
    <w:rPr>
      <w:rFonts w:ascii="Times New Roman" w:eastAsia="Times New Roman" w:hAnsi="Times New Roman"/>
      <w:sz w:val="24"/>
      <w:szCs w:val="24"/>
      <w:lang w:eastAsia="de-DE"/>
    </w:rPr>
  </w:style>
  <w:style w:type="paragraph" w:styleId="ListBullet4">
    <w:name w:val="List Bullet 4"/>
    <w:basedOn w:val="Normal"/>
    <w:semiHidden/>
    <w:unhideWhenUsed/>
    <w:pPr>
      <w:numPr>
        <w:numId w:val="6"/>
      </w:numPr>
      <w:spacing w:before="120" w:after="120" w:line="240" w:lineRule="auto"/>
      <w:jc w:val="both"/>
    </w:pPr>
    <w:rPr>
      <w:rFonts w:ascii="Times New Roman" w:eastAsia="Times New Roman" w:hAnsi="Times New Roman"/>
      <w:sz w:val="24"/>
      <w:szCs w:val="24"/>
      <w:lang w:eastAsia="de-DE"/>
    </w:rPr>
  </w:style>
  <w:style w:type="paragraph" w:styleId="ListNumber2">
    <w:name w:val="List Number 2"/>
    <w:basedOn w:val="Normal"/>
    <w:semiHidden/>
    <w:unhideWhenUsed/>
    <w:pPr>
      <w:numPr>
        <w:numId w:val="7"/>
      </w:numPr>
      <w:spacing w:before="120" w:after="120" w:line="240" w:lineRule="auto"/>
      <w:jc w:val="both"/>
    </w:pPr>
    <w:rPr>
      <w:rFonts w:ascii="Times New Roman" w:eastAsia="Times New Roman" w:hAnsi="Times New Roman"/>
      <w:sz w:val="24"/>
      <w:szCs w:val="24"/>
      <w:lang w:eastAsia="de-DE"/>
    </w:rPr>
  </w:style>
  <w:style w:type="paragraph" w:styleId="ListNumber3">
    <w:name w:val="List Number 3"/>
    <w:basedOn w:val="Normal"/>
    <w:semiHidden/>
    <w:unhideWhenUsed/>
    <w:pPr>
      <w:numPr>
        <w:numId w:val="8"/>
      </w:numPr>
      <w:spacing w:before="120" w:after="120" w:line="240" w:lineRule="auto"/>
      <w:jc w:val="both"/>
    </w:pPr>
    <w:rPr>
      <w:rFonts w:ascii="Times New Roman" w:eastAsia="Times New Roman" w:hAnsi="Times New Roman"/>
      <w:sz w:val="24"/>
      <w:szCs w:val="24"/>
      <w:lang w:eastAsia="de-DE"/>
    </w:rPr>
  </w:style>
  <w:style w:type="paragraph" w:styleId="ListNumber4">
    <w:name w:val="List Number 4"/>
    <w:basedOn w:val="Normal"/>
    <w:semiHidden/>
    <w:unhideWhenUsed/>
    <w:pPr>
      <w:numPr>
        <w:numId w:val="9"/>
      </w:numPr>
      <w:spacing w:before="120" w:after="120" w:line="240" w:lineRule="auto"/>
      <w:jc w:val="both"/>
    </w:pPr>
    <w:rPr>
      <w:rFonts w:ascii="Times New Roman" w:eastAsia="Times New Roman" w:hAnsi="Times New Roman"/>
      <w:sz w:val="24"/>
      <w:szCs w:val="24"/>
      <w:lang w:eastAsia="de-DE"/>
    </w:rPr>
  </w:style>
  <w:style w:type="paragraph" w:styleId="CommentSubject">
    <w:name w:val="annotation subject"/>
    <w:basedOn w:val="CommentText"/>
    <w:next w:val="CommentText"/>
    <w:link w:val="CommentSubjectChar"/>
    <w:semiHidden/>
    <w:unhideWhenUsed/>
    <w:rPr>
      <w:b/>
      <w:bCs/>
      <w:lang w:eastAsia="de-DE"/>
    </w:rPr>
  </w:style>
  <w:style w:type="character" w:customStyle="1" w:styleId="CommentSubjectChar">
    <w:name w:val="Comment Subject Char"/>
    <w:link w:val="CommentSubject"/>
    <w:semiHidden/>
    <w:rPr>
      <w:rFonts w:ascii="Times New Roman" w:eastAsia="Times New Roman" w:hAnsi="Times New Roman"/>
      <w:b/>
      <w:bCs/>
      <w:lang w:eastAsia="de-DE"/>
    </w:rPr>
  </w:style>
  <w:style w:type="paragraph" w:styleId="BalloonText">
    <w:name w:val="Balloon Text"/>
    <w:basedOn w:val="Normal"/>
    <w:link w:val="BalloonTextChar"/>
    <w:semiHidden/>
    <w:unhideWhenUse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link w:val="BalloonText"/>
    <w:semiHidden/>
    <w:rPr>
      <w:rFonts w:ascii="Tahoma" w:eastAsia="Times New Roman" w:hAnsi="Tahoma" w:cs="Tahoma"/>
      <w:sz w:val="16"/>
      <w:szCs w:val="16"/>
      <w:lang w:eastAsia="de-DE"/>
    </w:rPr>
  </w:style>
  <w:style w:type="paragraph" w:styleId="Revision">
    <w:name w:val="Revision"/>
    <w:uiPriority w:val="99"/>
    <w:semiHidden/>
    <w:rPr>
      <w:rFonts w:ascii="Times New Roman" w:eastAsia="Times New Roman" w:hAnsi="Times New Roman"/>
      <w:sz w:val="24"/>
      <w:szCs w:val="24"/>
      <w:lang w:eastAsia="en-US"/>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b/>
      <w:sz w:val="28"/>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15"/>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15"/>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15"/>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15"/>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paragraph" w:customStyle="1" w:styleId="Point0number">
    <w:name w:val="Point 0 (number)"/>
    <w:basedOn w:val="Normal"/>
    <w:pPr>
      <w:numPr>
        <w:numId w:val="16"/>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16"/>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16"/>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16"/>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16"/>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16"/>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16"/>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16"/>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16"/>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17"/>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18"/>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9"/>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20"/>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TypedudocumentPagedecouverture">
    <w:name w:val="Type du document (Page de couverture)"/>
    <w:basedOn w:val="Normal"/>
    <w:pPr>
      <w:spacing w:before="120" w:after="120" w:line="240" w:lineRule="auto"/>
      <w:jc w:val="both"/>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Considrant">
    <w:name w:val="Considérant"/>
    <w:basedOn w:val="Normal"/>
    <w:pPr>
      <w:numPr>
        <w:numId w:val="22"/>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TypeacteprincipalPagedecouverture">
    <w:name w:val="Type acte principal (Page de couverture)"/>
    <w:basedOn w:val="Typeacteprincipal"/>
    <w:next w:val="ObjetacteprincipalPagedecouverture"/>
  </w:style>
  <w:style w:type="paragraph" w:customStyle="1" w:styleId="AccompagnantPagedecouverture">
    <w:name w:val="Accompagnant (Page de couverture)"/>
    <w:basedOn w:val="Accompagnant"/>
    <w:next w:val="Type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
    <w:pPr>
      <w:numPr>
        <w:numId w:val="24"/>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
    <w:pPr>
      <w:numPr>
        <w:numId w:val="25"/>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
    <w:pPr>
      <w:numPr>
        <w:numId w:val="26"/>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
    <w:pPr>
      <w:numPr>
        <w:numId w:val="27"/>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
    <w:pPr>
      <w:numPr>
        <w:numId w:val="28"/>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pPr>
      <w:numPr>
        <w:numId w:val="29"/>
      </w:numPr>
    </w:pPr>
    <w:rPr>
      <w:lang w:eastAsia="de-DE"/>
    </w:rPr>
  </w:style>
  <w:style w:type="paragraph" w:customStyle="1" w:styleId="ListNumberLevel2">
    <w:name w:val="List Number (Level 2)"/>
    <w:basedOn w:val="Normal"/>
    <w:pPr>
      <w:numPr>
        <w:ilvl w:val="1"/>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pPr>
      <w:numPr>
        <w:ilvl w:val="1"/>
        <w:numId w:val="29"/>
      </w:numPr>
    </w:pPr>
    <w:rPr>
      <w:lang w:eastAsia="de-DE"/>
    </w:rPr>
  </w:style>
  <w:style w:type="paragraph" w:customStyle="1" w:styleId="ListNumber2Level2">
    <w:name w:val="List Number 2 (Level 2)"/>
    <w:basedOn w:val="Text2"/>
    <w:pPr>
      <w:numPr>
        <w:ilvl w:val="1"/>
        <w:numId w:val="7"/>
      </w:numPr>
    </w:pPr>
    <w:rPr>
      <w:lang w:eastAsia="de-DE"/>
    </w:rPr>
  </w:style>
  <w:style w:type="paragraph" w:customStyle="1" w:styleId="ListNumber3Level2">
    <w:name w:val="List Number 3 (Level 2)"/>
    <w:basedOn w:val="Text3"/>
    <w:pPr>
      <w:numPr>
        <w:ilvl w:val="1"/>
        <w:numId w:val="8"/>
      </w:numPr>
    </w:pPr>
    <w:rPr>
      <w:lang w:eastAsia="de-DE"/>
    </w:rPr>
  </w:style>
  <w:style w:type="paragraph" w:customStyle="1" w:styleId="ListNumber4Level2">
    <w:name w:val="List Number 4 (Level 2)"/>
    <w:basedOn w:val="Text4"/>
    <w:pPr>
      <w:numPr>
        <w:ilvl w:val="1"/>
        <w:numId w:val="9"/>
      </w:numPr>
    </w:pPr>
    <w:rPr>
      <w:lang w:eastAsia="de-DE"/>
    </w:rPr>
  </w:style>
  <w:style w:type="paragraph" w:customStyle="1" w:styleId="ListNumberLevel3">
    <w:name w:val="List Number (Level 3)"/>
    <w:basedOn w:val="Normal"/>
    <w:pPr>
      <w:numPr>
        <w:ilvl w:val="2"/>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pPr>
      <w:numPr>
        <w:ilvl w:val="2"/>
        <w:numId w:val="29"/>
      </w:numPr>
    </w:pPr>
    <w:rPr>
      <w:lang w:eastAsia="de-DE"/>
    </w:rPr>
  </w:style>
  <w:style w:type="paragraph" w:customStyle="1" w:styleId="ListNumber2Level3">
    <w:name w:val="List Number 2 (Level 3)"/>
    <w:basedOn w:val="Text2"/>
    <w:pPr>
      <w:numPr>
        <w:ilvl w:val="2"/>
        <w:numId w:val="7"/>
      </w:numPr>
    </w:pPr>
    <w:rPr>
      <w:lang w:eastAsia="de-DE"/>
    </w:rPr>
  </w:style>
  <w:style w:type="paragraph" w:customStyle="1" w:styleId="ListNumber3Level3">
    <w:name w:val="List Number 3 (Level 3)"/>
    <w:basedOn w:val="Text3"/>
    <w:pPr>
      <w:numPr>
        <w:ilvl w:val="2"/>
        <w:numId w:val="8"/>
      </w:numPr>
    </w:pPr>
    <w:rPr>
      <w:lang w:eastAsia="de-DE"/>
    </w:rPr>
  </w:style>
  <w:style w:type="paragraph" w:customStyle="1" w:styleId="ListNumber4Level3">
    <w:name w:val="List Number 4 (Level 3)"/>
    <w:basedOn w:val="Text4"/>
    <w:pPr>
      <w:numPr>
        <w:ilvl w:val="2"/>
        <w:numId w:val="9"/>
      </w:numPr>
    </w:pPr>
    <w:rPr>
      <w:lang w:eastAsia="de-DE"/>
    </w:rPr>
  </w:style>
  <w:style w:type="paragraph" w:customStyle="1" w:styleId="ListNumberLevel4">
    <w:name w:val="List Number (Level 4)"/>
    <w:basedOn w:val="Normal"/>
    <w:pPr>
      <w:numPr>
        <w:ilvl w:val="3"/>
        <w:numId w:val="3"/>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pPr>
      <w:numPr>
        <w:ilvl w:val="3"/>
        <w:numId w:val="29"/>
      </w:numPr>
    </w:pPr>
    <w:rPr>
      <w:lang w:eastAsia="de-DE"/>
    </w:rPr>
  </w:style>
  <w:style w:type="paragraph" w:customStyle="1" w:styleId="ListNumber2Level4">
    <w:name w:val="List Number 2 (Level 4)"/>
    <w:basedOn w:val="Text2"/>
    <w:pPr>
      <w:numPr>
        <w:ilvl w:val="3"/>
        <w:numId w:val="7"/>
      </w:numPr>
    </w:pPr>
    <w:rPr>
      <w:lang w:eastAsia="de-DE"/>
    </w:rPr>
  </w:style>
  <w:style w:type="paragraph" w:customStyle="1" w:styleId="ListNumber3Level4">
    <w:name w:val="List Number 3 (Level 4)"/>
    <w:basedOn w:val="Text3"/>
    <w:pPr>
      <w:numPr>
        <w:ilvl w:val="3"/>
        <w:numId w:val="8"/>
      </w:numPr>
    </w:pPr>
    <w:rPr>
      <w:lang w:eastAsia="de-DE"/>
    </w:rPr>
  </w:style>
  <w:style w:type="paragraph" w:customStyle="1" w:styleId="ListNumber4Level4">
    <w:name w:val="List Number 4 (Level 4)"/>
    <w:basedOn w:val="Text4"/>
    <w:pPr>
      <w:numPr>
        <w:ilvl w:val="3"/>
        <w:numId w:val="9"/>
      </w:numPr>
    </w:pPr>
    <w:rPr>
      <w:lang w:eastAsia="de-DE"/>
    </w:r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lang w:eastAsia="de-DE"/>
    </w:rPr>
  </w:style>
  <w:style w:type="paragraph" w:customStyle="1" w:styleId="c19marge1">
    <w:name w:val="c19marge1"/>
    <w:basedOn w:val="Normal"/>
    <w:pPr>
      <w:spacing w:after="240" w:line="240" w:lineRule="auto"/>
      <w:ind w:left="1247"/>
      <w:jc w:val="both"/>
    </w:pPr>
    <w:rPr>
      <w:rFonts w:ascii="Times New Roman" w:eastAsia="Times New Roman" w:hAnsi="Times New Roman"/>
      <w:sz w:val="24"/>
      <w:szCs w:val="24"/>
      <w:lang w:eastAsia="en-GB"/>
    </w:rPr>
  </w:style>
  <w:style w:type="paragraph" w:customStyle="1" w:styleId="c08dispositif">
    <w:name w:val="c08dispositif"/>
    <w:basedOn w:val="Normal"/>
    <w:pPr>
      <w:spacing w:before="100" w:beforeAutospacing="1" w:after="240" w:line="240" w:lineRule="auto"/>
      <w:ind w:left="1134" w:hanging="567"/>
      <w:jc w:val="both"/>
    </w:pPr>
    <w:rPr>
      <w:rFonts w:ascii="Times New Roman" w:eastAsia="Times New Roman" w:hAnsi="Times New Roman"/>
      <w:b/>
      <w:bCs/>
      <w:sz w:val="24"/>
      <w:szCs w:val="24"/>
      <w:lang w:eastAsia="en-GB"/>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styleId="FootnoteReference">
    <w:name w:val="footnote reference"/>
    <w:uiPriority w:val="99"/>
    <w:semiHidden/>
    <w:unhideWhenUsed/>
    <w:rPr>
      <w:vertAlign w:val="superscript"/>
    </w:rPr>
  </w:style>
  <w:style w:type="character" w:styleId="CommentReference">
    <w:name w:val="annotation reference"/>
    <w:semiHidden/>
    <w:unhideWhenUsed/>
    <w:rPr>
      <w:rFonts w:ascii="Times New Roman" w:hAnsi="Times New Roman" w:cs="Times New Roman" w:hint="default"/>
      <w:sz w:val="16"/>
    </w:rPr>
  </w:style>
  <w:style w:type="character" w:styleId="EndnoteReference">
    <w:name w:val="endnote reference"/>
    <w:semiHidden/>
    <w:unhideWhenUsed/>
    <w:rPr>
      <w:vertAlign w:val="superscript"/>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character" w:customStyle="1" w:styleId="Added">
    <w:name w:val="Added"/>
    <w:rPr>
      <w:b/>
      <w:bCs w:val="0"/>
      <w:u w:val="single"/>
    </w:rPr>
  </w:style>
  <w:style w:type="character" w:customStyle="1" w:styleId="Deleted">
    <w:name w:val="Deleted"/>
    <w:rPr>
      <w:strike/>
    </w:rPr>
  </w:style>
  <w:style w:type="table" w:styleId="TableGrid">
    <w:name w:val="Table Grid"/>
    <w:basedOn w:val="TableNormal"/>
    <w:pPr>
      <w:spacing w:before="120" w:after="120"/>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styleId="Strong">
    <w:name w:val="Strong"/>
    <w:uiPriority w:val="22"/>
    <w:qFormat/>
    <w:rPr>
      <w:b/>
      <w:bCs/>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0514">
      <w:bodyDiv w:val="1"/>
      <w:marLeft w:val="0"/>
      <w:marRight w:val="0"/>
      <w:marTop w:val="0"/>
      <w:marBottom w:val="0"/>
      <w:divBdr>
        <w:top w:val="none" w:sz="0" w:space="0" w:color="auto"/>
        <w:left w:val="none" w:sz="0" w:space="0" w:color="auto"/>
        <w:bottom w:val="none" w:sz="0" w:space="0" w:color="auto"/>
        <w:right w:val="none" w:sz="0" w:space="0" w:color="auto"/>
      </w:divBdr>
    </w:div>
    <w:div w:id="906571101">
      <w:bodyDiv w:val="1"/>
      <w:marLeft w:val="0"/>
      <w:marRight w:val="0"/>
      <w:marTop w:val="0"/>
      <w:marBottom w:val="0"/>
      <w:divBdr>
        <w:top w:val="none" w:sz="0" w:space="0" w:color="auto"/>
        <w:left w:val="none" w:sz="0" w:space="0" w:color="auto"/>
        <w:bottom w:val="none" w:sz="0" w:space="0" w:color="auto"/>
        <w:right w:val="none" w:sz="0" w:space="0" w:color="auto"/>
      </w:divBdr>
    </w:div>
    <w:div w:id="1463501970">
      <w:bodyDiv w:val="1"/>
      <w:marLeft w:val="0"/>
      <w:marRight w:val="0"/>
      <w:marTop w:val="0"/>
      <w:marBottom w:val="0"/>
      <w:divBdr>
        <w:top w:val="none" w:sz="0" w:space="0" w:color="auto"/>
        <w:left w:val="none" w:sz="0" w:space="0" w:color="auto"/>
        <w:bottom w:val="none" w:sz="0" w:space="0" w:color="auto"/>
        <w:right w:val="none" w:sz="0" w:space="0" w:color="auto"/>
      </w:divBdr>
    </w:div>
    <w:div w:id="1650162362">
      <w:bodyDiv w:val="1"/>
      <w:marLeft w:val="0"/>
      <w:marRight w:val="0"/>
      <w:marTop w:val="0"/>
      <w:marBottom w:val="0"/>
      <w:divBdr>
        <w:top w:val="none" w:sz="0" w:space="0" w:color="auto"/>
        <w:left w:val="none" w:sz="0" w:space="0" w:color="auto"/>
        <w:bottom w:val="none" w:sz="0" w:space="0" w:color="auto"/>
        <w:right w:val="none" w:sz="0" w:space="0" w:color="auto"/>
      </w:divBdr>
    </w:div>
    <w:div w:id="20236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Lang=SL" TargetMode="External"/><Relationship Id="rId1" Type="http://schemas.openxmlformats.org/officeDocument/2006/relationships/hyperlink" Target="https://ec.europa.eu/info/law/better-regulation/have-your-say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B0B6-0F6E-49AD-8649-104E8887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2221</Words>
  <Characters>10022</Characters>
  <Application>Microsoft Office Word</Application>
  <DocSecurity>0</DocSecurity>
  <Lines>1002</Lines>
  <Paragraphs>941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11302</CharactersWithSpaces>
  <SharedDoc>false</SharedDoc>
  <HLinks>
    <vt:vector size="6" baseType="variant">
      <vt:variant>
        <vt:i4>6225942</vt:i4>
      </vt:variant>
      <vt:variant>
        <vt:i4>0</vt:i4>
      </vt:variant>
      <vt:variant>
        <vt:i4>0</vt:i4>
      </vt:variant>
      <vt:variant>
        <vt:i4>5</vt:i4>
      </vt:variant>
      <vt:variant>
        <vt:lpwstr>http://ec.europa.eu/transparency/regexpert/index.cfm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2019-11-14T13:03:00Z</cp:lastPrinted>
  <dcterms:created xsi:type="dcterms:W3CDTF">2019-12-04T14:16:00Z</dcterms:created>
  <dcterms:modified xsi:type="dcterms:W3CDTF">2019-12-12T10:10:00Z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