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22B64B80-6116-4131-BE2A-F2B25A10B5B7" style="width:450.75pt;height:293.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TOCHeading"/>
        <w:rPr>
          <w:noProof/>
        </w:rPr>
      </w:pPr>
      <w:bookmarkStart w:id="1" w:name="_GoBack"/>
      <w:bookmarkEnd w:id="1"/>
      <w:r>
        <w:rPr>
          <w:noProof/>
        </w:rPr>
        <w:lastRenderedPageBreak/>
        <w:t xml:space="preserve"> </w:t>
      </w:r>
    </w:p>
    <w:sdt>
      <w:sdtPr>
        <w:rPr>
          <w:rFonts w:asciiTheme="minorHAnsi" w:eastAsiaTheme="minorHAnsi" w:hAnsiTheme="minorHAnsi" w:cstheme="minorBidi"/>
          <w:b w:val="0"/>
          <w:noProof/>
          <w:sz w:val="22"/>
          <w:szCs w:val="22"/>
          <w:lang w:eastAsia="en-US"/>
        </w:rPr>
        <w:id w:val="-1324803347"/>
        <w:docPartObj>
          <w:docPartGallery w:val="Table of Contents"/>
          <w:docPartUnique/>
        </w:docPartObj>
      </w:sdtPr>
      <w:sdtEndPr>
        <w:rPr>
          <w:bCs/>
        </w:rPr>
      </w:sdtEndPr>
      <w:sdtContent>
        <w:p>
          <w:pPr>
            <w:pStyle w:val="TOCHeading"/>
            <w:rPr>
              <w:noProof/>
            </w:rPr>
          </w:pPr>
          <w:r>
            <w:rPr>
              <w:noProof/>
            </w:rPr>
            <w:t>Sisällys</w:t>
          </w:r>
        </w:p>
        <w:p>
          <w:pPr>
            <w:pStyle w:val="TOC1"/>
            <w:rPr>
              <w:rFonts w:asciiTheme="minorHAnsi" w:eastAsiaTheme="minorEastAsia" w:hAnsiTheme="minorHAnsi" w:cstheme="minorBidi"/>
              <w:bCs w:val="0"/>
              <w:sz w:val="22"/>
              <w:szCs w:val="22"/>
              <w:lang w:val="en-US" w:eastAsia="en-US"/>
            </w:rPr>
          </w:pPr>
          <w:r>
            <w:fldChar w:fldCharType="begin"/>
          </w:r>
          <w:r>
            <w:instrText xml:space="preserve"> TOC \o "1-3" \h \z \u </w:instrText>
          </w:r>
          <w:r>
            <w:fldChar w:fldCharType="separate"/>
          </w:r>
          <w:hyperlink w:anchor="_Toc26973390" w:history="1">
            <w:r>
              <w:rPr>
                <w:rStyle w:val="Hyperlink"/>
              </w:rPr>
              <w:t>1.</w:t>
            </w:r>
            <w:r>
              <w:rPr>
                <w:rFonts w:asciiTheme="minorHAnsi" w:eastAsiaTheme="minorEastAsia" w:hAnsiTheme="minorHAnsi" w:cstheme="minorBidi"/>
                <w:bCs w:val="0"/>
                <w:sz w:val="22"/>
                <w:szCs w:val="22"/>
                <w:lang w:val="en-US" w:eastAsia="en-US"/>
              </w:rPr>
              <w:tab/>
            </w:r>
            <w:r>
              <w:rPr>
                <w:rStyle w:val="Hyperlink"/>
              </w:rPr>
              <w:t>JOHDANTO</w:t>
            </w:r>
            <w:r>
              <w:rPr>
                <w:webHidden/>
              </w:rPr>
              <w:tab/>
            </w:r>
            <w:r>
              <w:rPr>
                <w:webHidden/>
              </w:rPr>
              <w:fldChar w:fldCharType="begin"/>
            </w:r>
            <w:r>
              <w:rPr>
                <w:webHidden/>
              </w:rPr>
              <w:instrText xml:space="preserve"> PAGEREF _Toc26973390 \h </w:instrText>
            </w:r>
            <w:r>
              <w:rPr>
                <w:webHidden/>
              </w:rPr>
            </w:r>
            <w:r>
              <w:rPr>
                <w:webHidden/>
              </w:rPr>
              <w:fldChar w:fldCharType="separate"/>
            </w:r>
            <w:r>
              <w:rPr>
                <w:webHidden/>
              </w:rPr>
              <w:t>2</w:t>
            </w:r>
            <w:r>
              <w:rPr>
                <w:webHidden/>
              </w:rPr>
              <w:fldChar w:fldCharType="end"/>
            </w:r>
          </w:hyperlink>
        </w:p>
        <w:p>
          <w:pPr>
            <w:pStyle w:val="TOC1"/>
            <w:rPr>
              <w:rFonts w:asciiTheme="minorHAnsi" w:eastAsiaTheme="minorEastAsia" w:hAnsiTheme="minorHAnsi" w:cstheme="minorBidi"/>
              <w:bCs w:val="0"/>
              <w:sz w:val="22"/>
              <w:szCs w:val="22"/>
              <w:lang w:val="en-US" w:eastAsia="en-US"/>
            </w:rPr>
          </w:pPr>
          <w:hyperlink w:anchor="_Toc26973391" w:history="1">
            <w:r>
              <w:rPr>
                <w:rStyle w:val="Hyperlink"/>
              </w:rPr>
              <w:t>2.</w:t>
            </w:r>
            <w:r>
              <w:rPr>
                <w:rFonts w:asciiTheme="minorHAnsi" w:eastAsiaTheme="minorEastAsia" w:hAnsiTheme="minorHAnsi" w:cstheme="minorBidi"/>
                <w:bCs w:val="0"/>
                <w:sz w:val="22"/>
                <w:szCs w:val="22"/>
                <w:lang w:val="en-US" w:eastAsia="en-US"/>
              </w:rPr>
              <w:tab/>
            </w:r>
            <w:r>
              <w:rPr>
                <w:rStyle w:val="Hyperlink"/>
              </w:rPr>
              <w:t>METODOLOGIA</w:t>
            </w:r>
            <w:r>
              <w:rPr>
                <w:webHidden/>
              </w:rPr>
              <w:tab/>
            </w:r>
            <w:r>
              <w:rPr>
                <w:webHidden/>
              </w:rPr>
              <w:fldChar w:fldCharType="begin"/>
            </w:r>
            <w:r>
              <w:rPr>
                <w:webHidden/>
              </w:rPr>
              <w:instrText xml:space="preserve"> PAGEREF _Toc26973391 \h </w:instrText>
            </w:r>
            <w:r>
              <w:rPr>
                <w:webHidden/>
              </w:rPr>
            </w:r>
            <w:r>
              <w:rPr>
                <w:webHidden/>
              </w:rPr>
              <w:fldChar w:fldCharType="separate"/>
            </w:r>
            <w:r>
              <w:rPr>
                <w:webHidden/>
              </w:rPr>
              <w:t>2</w:t>
            </w:r>
            <w:r>
              <w:rPr>
                <w:webHidden/>
              </w:rPr>
              <w:fldChar w:fldCharType="end"/>
            </w:r>
          </w:hyperlink>
        </w:p>
        <w:p>
          <w:pPr>
            <w:pStyle w:val="TOC1"/>
            <w:rPr>
              <w:rFonts w:asciiTheme="minorHAnsi" w:eastAsiaTheme="minorEastAsia" w:hAnsiTheme="minorHAnsi" w:cstheme="minorBidi"/>
              <w:bCs w:val="0"/>
              <w:sz w:val="22"/>
              <w:szCs w:val="22"/>
              <w:lang w:val="en-US" w:eastAsia="en-US"/>
            </w:rPr>
          </w:pPr>
          <w:hyperlink w:anchor="_Toc26973392" w:history="1">
            <w:r>
              <w:rPr>
                <w:rStyle w:val="Hyperlink"/>
              </w:rPr>
              <w:t>3.</w:t>
            </w:r>
            <w:r>
              <w:rPr>
                <w:rFonts w:asciiTheme="minorHAnsi" w:eastAsiaTheme="minorEastAsia" w:hAnsiTheme="minorHAnsi" w:cstheme="minorBidi"/>
                <w:bCs w:val="0"/>
                <w:sz w:val="22"/>
                <w:szCs w:val="22"/>
                <w:lang w:val="en-US" w:eastAsia="en-US"/>
              </w:rPr>
              <w:tab/>
            </w:r>
            <w:r>
              <w:rPr>
                <w:rStyle w:val="Hyperlink"/>
              </w:rPr>
              <w:t>EU:N MEHILÄISHOITOALAN YLEISKATSAUS</w:t>
            </w:r>
            <w:r>
              <w:rPr>
                <w:webHidden/>
              </w:rPr>
              <w:tab/>
            </w:r>
            <w:r>
              <w:rPr>
                <w:webHidden/>
              </w:rPr>
              <w:fldChar w:fldCharType="begin"/>
            </w:r>
            <w:r>
              <w:rPr>
                <w:webHidden/>
              </w:rPr>
              <w:instrText xml:space="preserve"> PAGEREF _Toc26973392 \h </w:instrText>
            </w:r>
            <w:r>
              <w:rPr>
                <w:webHidden/>
              </w:rPr>
            </w:r>
            <w:r>
              <w:rPr>
                <w:webHidden/>
              </w:rPr>
              <w:fldChar w:fldCharType="separate"/>
            </w:r>
            <w:r>
              <w:rPr>
                <w:webHidden/>
              </w:rPr>
              <w:t>3</w:t>
            </w:r>
            <w:r>
              <w:rPr>
                <w:webHidden/>
              </w:rPr>
              <w:fldChar w:fldCharType="end"/>
            </w:r>
          </w:hyperlink>
        </w:p>
        <w:p>
          <w:pPr>
            <w:pStyle w:val="TOC2"/>
            <w:rPr>
              <w:rFonts w:asciiTheme="minorHAnsi" w:eastAsiaTheme="minorEastAsia" w:hAnsiTheme="minorHAnsi" w:cstheme="minorBidi"/>
              <w:bCs w:val="0"/>
              <w:sz w:val="22"/>
              <w:szCs w:val="22"/>
              <w:lang w:val="en-US" w:eastAsia="en-US"/>
            </w:rPr>
          </w:pPr>
          <w:hyperlink w:anchor="_Toc26973393" w:history="1">
            <w:r>
              <w:rPr>
                <w:rStyle w:val="Hyperlink"/>
              </w:rPr>
              <w:t>3.1</w:t>
            </w:r>
            <w:r>
              <w:rPr>
                <w:rFonts w:asciiTheme="minorHAnsi" w:eastAsiaTheme="minorEastAsia" w:hAnsiTheme="minorHAnsi" w:cstheme="minorBidi"/>
                <w:bCs w:val="0"/>
                <w:sz w:val="22"/>
                <w:szCs w:val="22"/>
                <w:lang w:val="en-US" w:eastAsia="en-US"/>
              </w:rPr>
              <w:tab/>
            </w:r>
            <w:r>
              <w:rPr>
                <w:rStyle w:val="Hyperlink"/>
              </w:rPr>
              <w:t>Tuotanto ja hinnat</w:t>
            </w:r>
            <w:r>
              <w:rPr>
                <w:webHidden/>
              </w:rPr>
              <w:tab/>
            </w:r>
            <w:r>
              <w:rPr>
                <w:webHidden/>
              </w:rPr>
              <w:fldChar w:fldCharType="begin"/>
            </w:r>
            <w:r>
              <w:rPr>
                <w:webHidden/>
              </w:rPr>
              <w:instrText xml:space="preserve"> PAGEREF _Toc26973393 \h </w:instrText>
            </w:r>
            <w:r>
              <w:rPr>
                <w:webHidden/>
              </w:rPr>
            </w:r>
            <w:r>
              <w:rPr>
                <w:webHidden/>
              </w:rPr>
              <w:fldChar w:fldCharType="separate"/>
            </w:r>
            <w:r>
              <w:rPr>
                <w:webHidden/>
              </w:rPr>
              <w:t>3</w:t>
            </w:r>
            <w:r>
              <w:rPr>
                <w:webHidden/>
              </w:rPr>
              <w:fldChar w:fldCharType="end"/>
            </w:r>
          </w:hyperlink>
        </w:p>
        <w:p>
          <w:pPr>
            <w:pStyle w:val="TOC2"/>
            <w:rPr>
              <w:rFonts w:asciiTheme="minorHAnsi" w:eastAsiaTheme="minorEastAsia" w:hAnsiTheme="minorHAnsi" w:cstheme="minorBidi"/>
              <w:bCs w:val="0"/>
              <w:sz w:val="22"/>
              <w:szCs w:val="22"/>
              <w:lang w:val="en-US" w:eastAsia="en-US"/>
            </w:rPr>
          </w:pPr>
          <w:hyperlink w:anchor="_Toc26973394" w:history="1">
            <w:r>
              <w:rPr>
                <w:rStyle w:val="Hyperlink"/>
              </w:rPr>
              <w:t>3.2</w:t>
            </w:r>
            <w:r>
              <w:rPr>
                <w:rFonts w:asciiTheme="minorHAnsi" w:eastAsiaTheme="minorEastAsia" w:hAnsiTheme="minorHAnsi" w:cstheme="minorBidi"/>
                <w:bCs w:val="0"/>
                <w:sz w:val="22"/>
                <w:szCs w:val="22"/>
                <w:lang w:val="en-US" w:eastAsia="en-US"/>
              </w:rPr>
              <w:tab/>
            </w:r>
            <w:r>
              <w:rPr>
                <w:rStyle w:val="Hyperlink"/>
              </w:rPr>
              <w:t>Kauppa</w:t>
            </w:r>
            <w:r>
              <w:rPr>
                <w:webHidden/>
              </w:rPr>
              <w:tab/>
            </w:r>
            <w:r>
              <w:rPr>
                <w:webHidden/>
              </w:rPr>
              <w:fldChar w:fldCharType="begin"/>
            </w:r>
            <w:r>
              <w:rPr>
                <w:webHidden/>
              </w:rPr>
              <w:instrText xml:space="preserve"> PAGEREF _Toc26973394 \h </w:instrText>
            </w:r>
            <w:r>
              <w:rPr>
                <w:webHidden/>
              </w:rPr>
            </w:r>
            <w:r>
              <w:rPr>
                <w:webHidden/>
              </w:rPr>
              <w:fldChar w:fldCharType="separate"/>
            </w:r>
            <w:r>
              <w:rPr>
                <w:webHidden/>
              </w:rPr>
              <w:t>5</w:t>
            </w:r>
            <w:r>
              <w:rPr>
                <w:webHidden/>
              </w:rPr>
              <w:fldChar w:fldCharType="end"/>
            </w:r>
          </w:hyperlink>
        </w:p>
        <w:p>
          <w:pPr>
            <w:pStyle w:val="TOC1"/>
            <w:rPr>
              <w:rFonts w:asciiTheme="minorHAnsi" w:eastAsiaTheme="minorEastAsia" w:hAnsiTheme="minorHAnsi" w:cstheme="minorBidi"/>
              <w:bCs w:val="0"/>
              <w:sz w:val="22"/>
              <w:szCs w:val="22"/>
              <w:lang w:val="en-US" w:eastAsia="en-US"/>
            </w:rPr>
          </w:pPr>
          <w:hyperlink w:anchor="_Toc26973395" w:history="1">
            <w:r>
              <w:rPr>
                <w:rStyle w:val="Hyperlink"/>
              </w:rPr>
              <w:t>4.</w:t>
            </w:r>
            <w:r>
              <w:rPr>
                <w:rFonts w:asciiTheme="minorHAnsi" w:eastAsiaTheme="minorEastAsia" w:hAnsiTheme="minorHAnsi" w:cstheme="minorBidi"/>
                <w:bCs w:val="0"/>
                <w:sz w:val="22"/>
                <w:szCs w:val="22"/>
                <w:lang w:val="en-US" w:eastAsia="en-US"/>
              </w:rPr>
              <w:tab/>
            </w:r>
            <w:r>
              <w:rPr>
                <w:rStyle w:val="Hyperlink"/>
              </w:rPr>
              <w:t>KANSALLISTEN MEHILÄISHOITO-OHJELMIEN TOTEUTTAMINEN</w:t>
            </w:r>
            <w:r>
              <w:rPr>
                <w:webHidden/>
              </w:rPr>
              <w:tab/>
            </w:r>
            <w:r>
              <w:rPr>
                <w:webHidden/>
              </w:rPr>
              <w:fldChar w:fldCharType="begin"/>
            </w:r>
            <w:r>
              <w:rPr>
                <w:webHidden/>
              </w:rPr>
              <w:instrText xml:space="preserve"> PAGEREF _Toc26973395 \h </w:instrText>
            </w:r>
            <w:r>
              <w:rPr>
                <w:webHidden/>
              </w:rPr>
            </w:r>
            <w:r>
              <w:rPr>
                <w:webHidden/>
              </w:rPr>
              <w:fldChar w:fldCharType="separate"/>
            </w:r>
            <w:r>
              <w:rPr>
                <w:webHidden/>
              </w:rPr>
              <w:t>6</w:t>
            </w:r>
            <w:r>
              <w:rPr>
                <w:webHidden/>
              </w:rPr>
              <w:fldChar w:fldCharType="end"/>
            </w:r>
          </w:hyperlink>
        </w:p>
        <w:p>
          <w:pPr>
            <w:pStyle w:val="TOC2"/>
            <w:rPr>
              <w:rFonts w:asciiTheme="minorHAnsi" w:eastAsiaTheme="minorEastAsia" w:hAnsiTheme="minorHAnsi" w:cstheme="minorBidi"/>
              <w:bCs w:val="0"/>
              <w:sz w:val="22"/>
              <w:szCs w:val="22"/>
              <w:lang w:val="en-US" w:eastAsia="en-US"/>
            </w:rPr>
          </w:pPr>
          <w:hyperlink w:anchor="_Toc26973396" w:history="1">
            <w:r>
              <w:rPr>
                <w:rStyle w:val="Hyperlink"/>
              </w:rPr>
              <w:t>4.1</w:t>
            </w:r>
            <w:r>
              <w:rPr>
                <w:rFonts w:asciiTheme="minorHAnsi" w:eastAsiaTheme="minorEastAsia" w:hAnsiTheme="minorHAnsi" w:cstheme="minorBidi"/>
                <w:bCs w:val="0"/>
                <w:sz w:val="22"/>
                <w:szCs w:val="22"/>
                <w:lang w:val="en-US" w:eastAsia="en-US"/>
              </w:rPr>
              <w:tab/>
            </w:r>
            <w:r>
              <w:rPr>
                <w:rStyle w:val="Hyperlink"/>
              </w:rPr>
              <w:t>Oikeusperusta</w:t>
            </w:r>
            <w:r>
              <w:rPr>
                <w:webHidden/>
              </w:rPr>
              <w:tab/>
            </w:r>
            <w:r>
              <w:rPr>
                <w:webHidden/>
              </w:rPr>
              <w:fldChar w:fldCharType="begin"/>
            </w:r>
            <w:r>
              <w:rPr>
                <w:webHidden/>
              </w:rPr>
              <w:instrText xml:space="preserve"> PAGEREF _Toc26973396 \h </w:instrText>
            </w:r>
            <w:r>
              <w:rPr>
                <w:webHidden/>
              </w:rPr>
            </w:r>
            <w:r>
              <w:rPr>
                <w:webHidden/>
              </w:rPr>
              <w:fldChar w:fldCharType="separate"/>
            </w:r>
            <w:r>
              <w:rPr>
                <w:webHidden/>
              </w:rPr>
              <w:t>6</w:t>
            </w:r>
            <w:r>
              <w:rPr>
                <w:webHidden/>
              </w:rPr>
              <w:fldChar w:fldCharType="end"/>
            </w:r>
          </w:hyperlink>
        </w:p>
        <w:p>
          <w:pPr>
            <w:pStyle w:val="TOC2"/>
            <w:rPr>
              <w:rFonts w:asciiTheme="minorHAnsi" w:eastAsiaTheme="minorEastAsia" w:hAnsiTheme="minorHAnsi" w:cstheme="minorBidi"/>
              <w:bCs w:val="0"/>
              <w:sz w:val="22"/>
              <w:szCs w:val="22"/>
              <w:lang w:val="en-US" w:eastAsia="en-US"/>
            </w:rPr>
          </w:pPr>
          <w:hyperlink w:anchor="_Toc26973397" w:history="1">
            <w:r>
              <w:rPr>
                <w:rStyle w:val="Hyperlink"/>
              </w:rPr>
              <w:t>4.2</w:t>
            </w:r>
            <w:r>
              <w:rPr>
                <w:rFonts w:asciiTheme="minorHAnsi" w:eastAsiaTheme="minorEastAsia" w:hAnsiTheme="minorHAnsi" w:cstheme="minorBidi"/>
                <w:bCs w:val="0"/>
                <w:sz w:val="22"/>
                <w:szCs w:val="22"/>
                <w:lang w:val="en-US" w:eastAsia="en-US"/>
              </w:rPr>
              <w:tab/>
            </w:r>
            <w:r>
              <w:rPr>
                <w:rStyle w:val="Hyperlink"/>
              </w:rPr>
              <w:t>Tavoitteet ja toimenpiteet</w:t>
            </w:r>
            <w:r>
              <w:rPr>
                <w:webHidden/>
              </w:rPr>
              <w:tab/>
            </w:r>
            <w:r>
              <w:rPr>
                <w:webHidden/>
              </w:rPr>
              <w:fldChar w:fldCharType="begin"/>
            </w:r>
            <w:r>
              <w:rPr>
                <w:webHidden/>
              </w:rPr>
              <w:instrText xml:space="preserve"> PAGEREF _Toc26973397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bCs w:val="0"/>
              <w:sz w:val="22"/>
              <w:szCs w:val="22"/>
              <w:lang w:val="en-US" w:eastAsia="en-US"/>
            </w:rPr>
          </w:pPr>
          <w:hyperlink w:anchor="_Toc26973398" w:history="1">
            <w:r>
              <w:rPr>
                <w:rStyle w:val="Hyperlink"/>
              </w:rPr>
              <w:t>4.3</w:t>
            </w:r>
            <w:r>
              <w:rPr>
                <w:rFonts w:asciiTheme="minorHAnsi" w:eastAsiaTheme="minorEastAsia" w:hAnsiTheme="minorHAnsi" w:cstheme="minorBidi"/>
                <w:bCs w:val="0"/>
                <w:sz w:val="22"/>
                <w:szCs w:val="22"/>
                <w:lang w:val="en-US" w:eastAsia="en-US"/>
              </w:rPr>
              <w:tab/>
            </w:r>
            <w:r>
              <w:rPr>
                <w:rStyle w:val="Hyperlink"/>
              </w:rPr>
              <w:t>Kansallisille mehiläishoito-ohjelmille varattu unionin rahoitus ja sen käyttöaste</w:t>
            </w:r>
            <w:r>
              <w:rPr>
                <w:webHidden/>
              </w:rPr>
              <w:tab/>
            </w:r>
            <w:r>
              <w:rPr>
                <w:webHidden/>
              </w:rPr>
              <w:fldChar w:fldCharType="begin"/>
            </w:r>
            <w:r>
              <w:rPr>
                <w:webHidden/>
              </w:rPr>
              <w:instrText xml:space="preserve"> PAGEREF _Toc26973398 \h </w:instrText>
            </w:r>
            <w:r>
              <w:rPr>
                <w:webHidden/>
              </w:rPr>
            </w:r>
            <w:r>
              <w:rPr>
                <w:webHidden/>
              </w:rPr>
              <w:fldChar w:fldCharType="separate"/>
            </w:r>
            <w:r>
              <w:rPr>
                <w:webHidden/>
              </w:rPr>
              <w:t>8</w:t>
            </w:r>
            <w:r>
              <w:rPr>
                <w:webHidden/>
              </w:rPr>
              <w:fldChar w:fldCharType="end"/>
            </w:r>
          </w:hyperlink>
        </w:p>
        <w:p>
          <w:pPr>
            <w:pStyle w:val="TOC2"/>
            <w:rPr>
              <w:rFonts w:asciiTheme="minorHAnsi" w:eastAsiaTheme="minorEastAsia" w:hAnsiTheme="minorHAnsi" w:cstheme="minorBidi"/>
              <w:bCs w:val="0"/>
              <w:sz w:val="22"/>
              <w:szCs w:val="22"/>
              <w:lang w:val="en-US" w:eastAsia="en-US"/>
            </w:rPr>
          </w:pPr>
          <w:hyperlink w:anchor="_Toc26973399" w:history="1">
            <w:r>
              <w:rPr>
                <w:rStyle w:val="Hyperlink"/>
              </w:rPr>
              <w:t>4.4</w:t>
            </w:r>
            <w:r>
              <w:rPr>
                <w:rFonts w:asciiTheme="minorHAnsi" w:eastAsiaTheme="minorEastAsia" w:hAnsiTheme="minorHAnsi" w:cstheme="minorBidi"/>
                <w:bCs w:val="0"/>
                <w:sz w:val="22"/>
                <w:szCs w:val="22"/>
                <w:lang w:val="en-US" w:eastAsia="en-US"/>
              </w:rPr>
              <w:tab/>
            </w:r>
            <w:r>
              <w:rPr>
                <w:rStyle w:val="Hyperlink"/>
              </w:rPr>
              <w:t>Unionin tuen jakautuminen jäsenvaltioittain</w:t>
            </w:r>
            <w:r>
              <w:rPr>
                <w:webHidden/>
              </w:rPr>
              <w:tab/>
            </w:r>
            <w:r>
              <w:rPr>
                <w:webHidden/>
              </w:rPr>
              <w:fldChar w:fldCharType="begin"/>
            </w:r>
            <w:r>
              <w:rPr>
                <w:webHidden/>
              </w:rPr>
              <w:instrText xml:space="preserve"> PAGEREF _Toc26973399 \h </w:instrText>
            </w:r>
            <w:r>
              <w:rPr>
                <w:webHidden/>
              </w:rPr>
            </w:r>
            <w:r>
              <w:rPr>
                <w:webHidden/>
              </w:rPr>
              <w:fldChar w:fldCharType="separate"/>
            </w:r>
            <w:r>
              <w:rPr>
                <w:webHidden/>
              </w:rPr>
              <w:t>8</w:t>
            </w:r>
            <w:r>
              <w:rPr>
                <w:webHidden/>
              </w:rPr>
              <w:fldChar w:fldCharType="end"/>
            </w:r>
          </w:hyperlink>
        </w:p>
        <w:p>
          <w:pPr>
            <w:pStyle w:val="TOC2"/>
            <w:rPr>
              <w:rFonts w:asciiTheme="minorHAnsi" w:eastAsiaTheme="minorEastAsia" w:hAnsiTheme="minorHAnsi" w:cstheme="minorBidi"/>
              <w:bCs w:val="0"/>
              <w:sz w:val="22"/>
              <w:szCs w:val="22"/>
              <w:lang w:val="en-US" w:eastAsia="en-US"/>
            </w:rPr>
          </w:pPr>
          <w:hyperlink w:anchor="_Toc26973400" w:history="1">
            <w:r>
              <w:rPr>
                <w:rStyle w:val="Hyperlink"/>
              </w:rPr>
              <w:t>4.5</w:t>
            </w:r>
            <w:r>
              <w:rPr>
                <w:rFonts w:asciiTheme="minorHAnsi" w:eastAsiaTheme="minorEastAsia" w:hAnsiTheme="minorHAnsi" w:cstheme="minorBidi"/>
                <w:bCs w:val="0"/>
                <w:sz w:val="22"/>
                <w:szCs w:val="22"/>
                <w:lang w:val="en-US" w:eastAsia="en-US"/>
              </w:rPr>
              <w:tab/>
            </w:r>
            <w:r>
              <w:rPr>
                <w:rStyle w:val="Hyperlink"/>
              </w:rPr>
              <w:t>Menot toimenpidetyypeittäin</w:t>
            </w:r>
            <w:r>
              <w:rPr>
                <w:webHidden/>
              </w:rPr>
              <w:tab/>
            </w:r>
            <w:r>
              <w:rPr>
                <w:webHidden/>
              </w:rPr>
              <w:fldChar w:fldCharType="begin"/>
            </w:r>
            <w:r>
              <w:rPr>
                <w:webHidden/>
              </w:rPr>
              <w:instrText xml:space="preserve"> PAGEREF _Toc26973400 \h </w:instrText>
            </w:r>
            <w:r>
              <w:rPr>
                <w:webHidden/>
              </w:rPr>
            </w:r>
            <w:r>
              <w:rPr>
                <w:webHidden/>
              </w:rPr>
              <w:fldChar w:fldCharType="separate"/>
            </w:r>
            <w:r>
              <w:rPr>
                <w:webHidden/>
              </w:rPr>
              <w:t>9</w:t>
            </w:r>
            <w:r>
              <w:rPr>
                <w:webHidden/>
              </w:rPr>
              <w:fldChar w:fldCharType="end"/>
            </w:r>
          </w:hyperlink>
        </w:p>
        <w:p>
          <w:pPr>
            <w:pStyle w:val="TOC1"/>
            <w:rPr>
              <w:rFonts w:asciiTheme="minorHAnsi" w:eastAsiaTheme="minorEastAsia" w:hAnsiTheme="minorHAnsi" w:cstheme="minorBidi"/>
              <w:bCs w:val="0"/>
              <w:sz w:val="22"/>
              <w:szCs w:val="22"/>
              <w:lang w:val="en-US" w:eastAsia="en-US"/>
            </w:rPr>
          </w:pPr>
          <w:hyperlink w:anchor="_Toc26973401" w:history="1">
            <w:r>
              <w:rPr>
                <w:rStyle w:val="Hyperlink"/>
              </w:rPr>
              <w:t>5.</w:t>
            </w:r>
            <w:r>
              <w:rPr>
                <w:rFonts w:asciiTheme="minorHAnsi" w:eastAsiaTheme="minorEastAsia" w:hAnsiTheme="minorHAnsi" w:cstheme="minorBidi"/>
                <w:bCs w:val="0"/>
                <w:sz w:val="22"/>
                <w:szCs w:val="22"/>
                <w:lang w:val="en-US" w:eastAsia="en-US"/>
              </w:rPr>
              <w:tab/>
            </w:r>
            <w:r>
              <w:rPr>
                <w:rStyle w:val="Hyperlink"/>
              </w:rPr>
              <w:t>MENETELMÄT MEHILÄISPESIEN LUKUMÄÄRÄN MÄÄRITTÄMISEKSI</w:t>
            </w:r>
            <w:r>
              <w:rPr>
                <w:webHidden/>
              </w:rPr>
              <w:tab/>
            </w:r>
            <w:r>
              <w:rPr>
                <w:webHidden/>
              </w:rPr>
              <w:fldChar w:fldCharType="begin"/>
            </w:r>
            <w:r>
              <w:rPr>
                <w:webHidden/>
              </w:rPr>
              <w:instrText xml:space="preserve"> PAGEREF _Toc26973401 \h </w:instrText>
            </w:r>
            <w:r>
              <w:rPr>
                <w:webHidden/>
              </w:rPr>
            </w:r>
            <w:r>
              <w:rPr>
                <w:webHidden/>
              </w:rPr>
              <w:fldChar w:fldCharType="separate"/>
            </w:r>
            <w:r>
              <w:rPr>
                <w:webHidden/>
              </w:rPr>
              <w:t>11</w:t>
            </w:r>
            <w:r>
              <w:rPr>
                <w:webHidden/>
              </w:rPr>
              <w:fldChar w:fldCharType="end"/>
            </w:r>
          </w:hyperlink>
        </w:p>
        <w:p>
          <w:pPr>
            <w:pStyle w:val="TOC1"/>
            <w:rPr>
              <w:rFonts w:asciiTheme="minorHAnsi" w:eastAsiaTheme="minorEastAsia" w:hAnsiTheme="minorHAnsi" w:cstheme="minorBidi"/>
              <w:bCs w:val="0"/>
              <w:sz w:val="22"/>
              <w:szCs w:val="22"/>
              <w:lang w:val="en-US" w:eastAsia="en-US"/>
            </w:rPr>
          </w:pPr>
          <w:hyperlink w:anchor="_Toc26973402" w:history="1">
            <w:r>
              <w:rPr>
                <w:rStyle w:val="Hyperlink"/>
                <w:lang w:val="en-US"/>
              </w:rPr>
              <w:t>6.</w:t>
            </w:r>
            <w:r>
              <w:rPr>
                <w:rFonts w:asciiTheme="minorHAnsi" w:eastAsiaTheme="minorEastAsia" w:hAnsiTheme="minorHAnsi" w:cstheme="minorBidi"/>
                <w:bCs w:val="0"/>
                <w:sz w:val="22"/>
                <w:szCs w:val="22"/>
                <w:lang w:val="en-US" w:eastAsia="en-US"/>
              </w:rPr>
              <w:tab/>
            </w:r>
            <w:r>
              <w:t xml:space="preserve">MEHILÄISHOITO YHTEISESSÄ MAATALOUSPOLITIIKASSA </w:t>
            </w:r>
            <w:r>
              <w:rPr>
                <w:bCs w:val="0"/>
              </w:rPr>
              <w:t>VUODEN 2020 JÄLKEEN</w:t>
            </w:r>
            <w:r>
              <w:rPr>
                <w:webHidden/>
              </w:rPr>
              <w:tab/>
            </w:r>
            <w:r>
              <w:rPr>
                <w:webHidden/>
              </w:rPr>
              <w:fldChar w:fldCharType="begin"/>
            </w:r>
            <w:r>
              <w:rPr>
                <w:webHidden/>
              </w:rPr>
              <w:instrText xml:space="preserve"> PAGEREF _Toc26973402 \h </w:instrText>
            </w:r>
            <w:r>
              <w:rPr>
                <w:webHidden/>
              </w:rPr>
            </w:r>
            <w:r>
              <w:rPr>
                <w:webHidden/>
              </w:rPr>
              <w:fldChar w:fldCharType="separate"/>
            </w:r>
            <w:r>
              <w:rPr>
                <w:webHidden/>
              </w:rPr>
              <w:t>13</w:t>
            </w:r>
            <w:r>
              <w:rPr>
                <w:webHidden/>
              </w:rPr>
              <w:fldChar w:fldCharType="end"/>
            </w:r>
          </w:hyperlink>
        </w:p>
        <w:p>
          <w:pPr>
            <w:pStyle w:val="TOC1"/>
            <w:rPr>
              <w:rFonts w:asciiTheme="minorHAnsi" w:eastAsiaTheme="minorEastAsia" w:hAnsiTheme="minorHAnsi" w:cstheme="minorBidi"/>
              <w:bCs w:val="0"/>
              <w:sz w:val="22"/>
              <w:szCs w:val="22"/>
              <w:lang w:val="en-US" w:eastAsia="en-US"/>
            </w:rPr>
          </w:pPr>
          <w:hyperlink w:anchor="_Toc26973403" w:history="1">
            <w:r>
              <w:rPr>
                <w:rStyle w:val="Hyperlink"/>
              </w:rPr>
              <w:t>7.</w:t>
            </w:r>
            <w:r>
              <w:rPr>
                <w:rFonts w:asciiTheme="minorHAnsi" w:eastAsiaTheme="minorEastAsia" w:hAnsiTheme="minorHAnsi" w:cstheme="minorBidi"/>
                <w:bCs w:val="0"/>
                <w:sz w:val="22"/>
                <w:szCs w:val="22"/>
                <w:lang w:val="en-US" w:eastAsia="en-US"/>
              </w:rPr>
              <w:tab/>
            </w:r>
            <w:r>
              <w:rPr>
                <w:rStyle w:val="Hyperlink"/>
              </w:rPr>
              <w:t>PÄÄTELMÄT</w:t>
            </w:r>
            <w:r>
              <w:rPr>
                <w:webHidden/>
              </w:rPr>
              <w:tab/>
            </w:r>
            <w:r>
              <w:rPr>
                <w:webHidden/>
              </w:rPr>
              <w:fldChar w:fldCharType="begin"/>
            </w:r>
            <w:r>
              <w:rPr>
                <w:webHidden/>
              </w:rPr>
              <w:instrText xml:space="preserve"> PAGEREF _Toc26973403 \h </w:instrText>
            </w:r>
            <w:r>
              <w:rPr>
                <w:webHidden/>
              </w:rPr>
            </w:r>
            <w:r>
              <w:rPr>
                <w:webHidden/>
              </w:rPr>
              <w:fldChar w:fldCharType="separate"/>
            </w:r>
            <w:r>
              <w:rPr>
                <w:webHidden/>
              </w:rPr>
              <w:t>13</w:t>
            </w:r>
            <w:r>
              <w:rPr>
                <w:webHidden/>
              </w:rPr>
              <w:fldChar w:fldCharType="end"/>
            </w:r>
          </w:hyperlink>
        </w:p>
        <w:p>
          <w:pPr>
            <w:rPr>
              <w:noProof/>
            </w:rPr>
          </w:pPr>
          <w:r>
            <w:rPr>
              <w:rFonts w:ascii="Times New Roman" w:eastAsia="Times New Roman" w:hAnsi="Times New Roman" w:cs="Times New Roman"/>
              <w:noProof/>
            </w:rPr>
            <w:fldChar w:fldCharType="end"/>
          </w:r>
        </w:p>
      </w:sdtContent>
    </w:sdt>
    <w:p>
      <w:pPr>
        <w:spacing w:after="0"/>
        <w:rPr>
          <w:noProof/>
        </w:rPr>
        <w:sectPr>
          <w:headerReference w:type="even" r:id="rId16"/>
          <w:headerReference w:type="default" r:id="rId17"/>
          <w:footerReference w:type="even" r:id="rId18"/>
          <w:footerReference w:type="default" r:id="rId19"/>
          <w:headerReference w:type="first" r:id="rId20"/>
          <w:footerReference w:type="first" r:id="rId21"/>
          <w:pgSz w:w="11907" w:h="16839"/>
          <w:pgMar w:top="1134" w:right="1417" w:bottom="1134" w:left="1417" w:header="709" w:footer="709" w:gutter="0"/>
          <w:pgNumType w:start="1"/>
          <w:cols w:space="720"/>
          <w:titlePg/>
          <w:docGrid w:linePitch="299"/>
        </w:sectPr>
      </w:pPr>
    </w:p>
    <w:p>
      <w:pPr>
        <w:pStyle w:val="Heading1"/>
        <w:rPr>
          <w:noProof/>
        </w:rPr>
      </w:pPr>
      <w:bookmarkStart w:id="2" w:name="_Toc26973390"/>
      <w:r>
        <w:rPr>
          <w:noProof/>
        </w:rPr>
        <w:t>1.</w:t>
      </w:r>
      <w:r>
        <w:rPr>
          <w:noProof/>
        </w:rPr>
        <w:tab/>
        <w:t>JOHDANTO</w:t>
      </w:r>
      <w:bookmarkEnd w:id="2"/>
    </w:p>
    <w:p>
      <w:pPr>
        <w:spacing w:after="120"/>
        <w:jc w:val="both"/>
        <w:rPr>
          <w:rFonts w:ascii="Times New Roman" w:hAnsi="Times New Roman" w:cs="Times New Roman"/>
          <w:noProof/>
          <w:sz w:val="24"/>
          <w:szCs w:val="24"/>
        </w:rPr>
      </w:pPr>
      <w:r>
        <w:rPr>
          <w:rFonts w:ascii="Times New Roman" w:hAnsi="Times New Roman"/>
          <w:noProof/>
        </w:rPr>
        <w:t>Mehiläistalous on kooltaan pientä muihin maatalouden aloihin verrattuna, mutta sen rooli on sitäkin tärkeämpi: siitä saatavan hunajan ja muiden mehiläistuotteiden lisäksi se auttaa omalta osaltaan pölyttämään mm. viljelykasveja, hedelmäpuita ja luonnonvaraisia kasveja. Yhteisessä maatalouspolitiikassa (YMP) on käytettävissä useita välineitä, joilla voidaan tukea mehiläishoitoalaa. Näistä yksi on asetuksessa (EU) N:o 1308/2013</w:t>
      </w:r>
      <w:r>
        <w:rPr>
          <w:rStyle w:val="FootnoteReference"/>
          <w:rFonts w:ascii="Times New Roman" w:hAnsi="Times New Roman" w:cs="Times New Roman"/>
          <w:noProof/>
        </w:rPr>
        <w:footnoteReference w:id="1"/>
      </w:r>
      <w:r>
        <w:rPr>
          <w:rFonts w:ascii="Times New Roman" w:hAnsi="Times New Roman"/>
          <w:noProof/>
        </w:rPr>
        <w:t xml:space="preserve"> (YMJ-asetus) säädetyt mehiläishoito-ohjelmat. </w:t>
      </w:r>
    </w:p>
    <w:p>
      <w:pPr>
        <w:spacing w:after="120"/>
        <w:jc w:val="both"/>
        <w:rPr>
          <w:rFonts w:ascii="Times New Roman" w:hAnsi="Times New Roman" w:cs="Times New Roman"/>
          <w:noProof/>
          <w:sz w:val="24"/>
          <w:szCs w:val="24"/>
        </w:rPr>
      </w:pPr>
      <w:r>
        <w:rPr>
          <w:rFonts w:ascii="Times New Roman" w:hAnsi="Times New Roman"/>
          <w:noProof/>
        </w:rPr>
        <w:t>YMJ-asetuksen 225 artiklan a alakohdan mukaan komissio toimittaa Euroopan parlamentille ja neuvostolle joka kolmas vuosi kertomuksen 55, 56 ja 57 artiklassa vahvistettujen mehiläishoitoalaa koskevien toimenpiteiden täytäntöönpanosta, ja siinä käsitellään myös viimeisintä kehitystä mehiläispesien tunnistamisjärjestelmien alalla. Tämä kertomus on laadittu kyseisen säännöksen mukaisesti.  Siihen ei liity lainsäädäntöehdotusta.</w:t>
      </w:r>
    </w:p>
    <w:p>
      <w:pPr>
        <w:spacing w:after="120"/>
        <w:jc w:val="both"/>
        <w:rPr>
          <w:rFonts w:ascii="Times New Roman" w:hAnsi="Times New Roman" w:cs="Times New Roman"/>
          <w:noProof/>
          <w:sz w:val="24"/>
          <w:szCs w:val="24"/>
        </w:rPr>
      </w:pPr>
      <w:r>
        <w:rPr>
          <w:rFonts w:ascii="Times New Roman" w:hAnsi="Times New Roman"/>
          <w:noProof/>
        </w:rPr>
        <w:t>Tämä kertomus koskee mehiläishoitovuosia 2017–2019, jotka vastaavat 1. elokuuta 2016 ja 31. heinäkuuta 2019 välistä ajanjaksoa.  Uusia toimenpiteitä sovellettiin ensimmäistä kertaa näinä mehiläishoitovuosina. Kertomukseen sisältyy aiemmilta mehiläishoitovuosilta saatuja tietoja sekä mehiläishoitovuosille 2020–2022 suunnitellut ohjelmat, jotka on ilmoitettu komissiolle 15. maaliskuuta 2019 mennessä.</w:t>
      </w:r>
    </w:p>
    <w:p>
      <w:pPr>
        <w:spacing w:after="120"/>
        <w:jc w:val="both"/>
        <w:rPr>
          <w:rFonts w:ascii="Times New Roman" w:hAnsi="Times New Roman" w:cs="Times New Roman"/>
          <w:noProof/>
          <w:sz w:val="24"/>
          <w:szCs w:val="24"/>
        </w:rPr>
      </w:pPr>
      <w:r>
        <w:rPr>
          <w:rFonts w:ascii="Times New Roman" w:hAnsi="Times New Roman"/>
          <w:noProof/>
        </w:rPr>
        <w:t>Tämä kertomus on seitsemäs mehiläishoito-ohjelmien toteuttamisesta laadittu komission kertomus Euroopan parlamentille ja neuvostolle. Tässä kertomuksessa ei käsitellä kaikkia mehiläishoidon kannalta olennaisia seikkoja, vaan keskitytään mehiläishoito-ohjelmien täytäntöönpanoon. Siinä esitetään kuitenkin myös lyhyt katsaus EU:n mehiläishoitoalaan ja tiivistelmä komission mehiläishoitoalaa koskevasta ehdotuksesta seuraavaa yhteistä maatalouspolitiikkaa varten.</w:t>
      </w:r>
    </w:p>
    <w:p>
      <w:pPr>
        <w:spacing w:after="120"/>
        <w:jc w:val="both"/>
        <w:rPr>
          <w:rFonts w:ascii="Times New Roman" w:hAnsi="Times New Roman" w:cs="Times New Roman"/>
          <w:noProof/>
          <w:sz w:val="24"/>
          <w:szCs w:val="24"/>
        </w:rPr>
      </w:pPr>
      <w:r>
        <w:rPr>
          <w:rFonts w:ascii="Times New Roman" w:hAnsi="Times New Roman"/>
          <w:noProof/>
        </w:rPr>
        <w:t>EU on tukenut mehiläishoitoalaa suoraan jo vuodesta 1997</w:t>
      </w:r>
      <w:r>
        <w:rPr>
          <w:rStyle w:val="FootnoteReference"/>
          <w:rFonts w:ascii="Times New Roman" w:hAnsi="Times New Roman" w:cs="Times New Roman"/>
          <w:noProof/>
        </w:rPr>
        <w:footnoteReference w:id="2"/>
      </w:r>
      <w:r>
        <w:rPr>
          <w:rFonts w:ascii="Times New Roman" w:hAnsi="Times New Roman"/>
          <w:noProof/>
        </w:rPr>
        <w:t xml:space="preserve"> ja antanut jäsenvaltioille mahdollisuuden laatia kansallisia ohjelmia mehiläishoitoaloilleen. Näiden ohjelmien tavoitteena on parantaa mehiläistuotteiden tuotannon ja kaupan pitämisen yleisiä edellytyksiä. Näitä mehiläistuotteita ovat hunaja, kuningatarhyytelö, siitepöly, kittivaha ja mehiläisvaha. </w:t>
      </w:r>
    </w:p>
    <w:p>
      <w:pPr>
        <w:spacing w:after="120"/>
        <w:jc w:val="both"/>
        <w:rPr>
          <w:rFonts w:ascii="Times New Roman" w:hAnsi="Times New Roman" w:cs="Times New Roman"/>
          <w:noProof/>
          <w:sz w:val="24"/>
          <w:szCs w:val="24"/>
        </w:rPr>
      </w:pPr>
      <w:r>
        <w:rPr>
          <w:rFonts w:ascii="Times New Roman" w:hAnsi="Times New Roman"/>
          <w:noProof/>
        </w:rPr>
        <w:t xml:space="preserve">Euroopan unioni rahoittaa näistä kolme vuotta kestävistä mehiläishoito-ohjelmista 50 prosenttia. Ohjelmat ovat vapaaehtoisia, mutta kaikki jäsenvaltiot ovat päättäneet ottaa ne käyttöön, mikä on osoitus jäsenvaltioiden vahvasta kiinnostuksesta ja alan tarpeista. </w:t>
      </w:r>
    </w:p>
    <w:p>
      <w:pPr>
        <w:spacing w:after="120"/>
        <w:jc w:val="both"/>
        <w:rPr>
          <w:rFonts w:ascii="Times New Roman" w:hAnsi="Times New Roman" w:cs="Times New Roman"/>
          <w:noProof/>
          <w:sz w:val="24"/>
          <w:szCs w:val="24"/>
        </w:rPr>
      </w:pPr>
    </w:p>
    <w:p>
      <w:pPr>
        <w:spacing w:after="120"/>
        <w:jc w:val="both"/>
        <w:rPr>
          <w:rFonts w:ascii="Times New Roman" w:hAnsi="Times New Roman" w:cs="Times New Roman"/>
          <w:noProof/>
          <w:sz w:val="24"/>
          <w:szCs w:val="24"/>
        </w:rPr>
      </w:pPr>
    </w:p>
    <w:p>
      <w:pPr>
        <w:spacing w:after="120"/>
        <w:jc w:val="both"/>
        <w:rPr>
          <w:rFonts w:ascii="Times New Roman" w:hAnsi="Times New Roman" w:cs="Times New Roman"/>
          <w:noProof/>
          <w:sz w:val="24"/>
          <w:szCs w:val="24"/>
        </w:rPr>
      </w:pPr>
    </w:p>
    <w:p>
      <w:pPr>
        <w:pStyle w:val="Heading1"/>
        <w:rPr>
          <w:noProof/>
        </w:rPr>
      </w:pPr>
      <w:bookmarkStart w:id="3" w:name="_Toc26973391"/>
      <w:r>
        <w:rPr>
          <w:noProof/>
        </w:rPr>
        <w:t>2.</w:t>
      </w:r>
      <w:r>
        <w:rPr>
          <w:noProof/>
        </w:rPr>
        <w:tab/>
        <w:t>METODOLOGIA</w:t>
      </w:r>
      <w:bookmarkEnd w:id="3"/>
    </w:p>
    <w:p>
      <w:pPr>
        <w:pStyle w:val="Text1"/>
        <w:spacing w:before="0" w:line="276" w:lineRule="auto"/>
        <w:ind w:left="0"/>
        <w:rPr>
          <w:noProof/>
        </w:rPr>
      </w:pPr>
      <w:r>
        <w:rPr>
          <w:noProof/>
        </w:rPr>
        <w:t>Tämä kertomus perustuu seuraaviin lähteisiin:</w:t>
      </w:r>
    </w:p>
    <w:p>
      <w:pPr>
        <w:pStyle w:val="Text1"/>
        <w:numPr>
          <w:ilvl w:val="0"/>
          <w:numId w:val="3"/>
        </w:numPr>
        <w:spacing w:before="0" w:line="276" w:lineRule="auto"/>
        <w:rPr>
          <w:noProof/>
        </w:rPr>
      </w:pPr>
      <w:r>
        <w:rPr>
          <w:noProof/>
        </w:rPr>
        <w:t>Tiedot, jotka jäsenvaltiot ovat ilmoittaneet mehiläishoitoalan tukea koskevan komission delegoidun asetuksen (EU) 2015/1366</w:t>
      </w:r>
      <w:r>
        <w:rPr>
          <w:rStyle w:val="FootnoteReference"/>
          <w:noProof/>
        </w:rPr>
        <w:footnoteReference w:id="3"/>
      </w:r>
      <w:r>
        <w:rPr>
          <w:noProof/>
        </w:rPr>
        <w:t xml:space="preserve"> mukaisesti, mukaan lukien mehiläispesien lukumäärä niiden alueella.</w:t>
      </w:r>
    </w:p>
    <w:p>
      <w:pPr>
        <w:pStyle w:val="Text1"/>
        <w:numPr>
          <w:ilvl w:val="0"/>
          <w:numId w:val="3"/>
        </w:numPr>
        <w:spacing w:before="0" w:line="276" w:lineRule="auto"/>
        <w:rPr>
          <w:noProof/>
        </w:rPr>
      </w:pPr>
      <w:r>
        <w:rPr>
          <w:noProof/>
        </w:rPr>
        <w:t>Tiedot, jotka jäsenvaltiot ovat ilmoittaneet mehiläishoitoalan tukea koskevan komission täytäntöönpanoasetuksen (EU) 2015/1368</w:t>
      </w:r>
      <w:r>
        <w:rPr>
          <w:rStyle w:val="FootnoteReference"/>
          <w:noProof/>
        </w:rPr>
        <w:footnoteReference w:id="4"/>
      </w:r>
      <w:r>
        <w:rPr>
          <w:noProof/>
        </w:rPr>
        <w:t xml:space="preserve"> mukaisesti, mukaan lukien mainitun asetuksen 10 artiklassa säädetyt vuotuiset täytäntöönpanokertomukset. Noihin vuotuisiin kertomuksiin sisältyy tiivistelmä mehiläishoitovuoden aikana aiheutuneista menoista euroina, jaoteltuna toimenpiteittäin, sekä tulokset kuhunkin täytäntöön pantuun toimenpiteeseen valittujen suoritusindikaattorien perusteella. Näitä indikaattoreita ei kuitenkaan ole yhdenmukaistettu EU:n tasolla, eikä niitä ole käytetty päätelmien tekemiseen tämän kertomuksen yhteydessä.  </w:t>
      </w:r>
    </w:p>
    <w:p>
      <w:pPr>
        <w:pStyle w:val="NormalWeb"/>
        <w:numPr>
          <w:ilvl w:val="0"/>
          <w:numId w:val="3"/>
        </w:numPr>
        <w:spacing w:before="0" w:beforeAutospacing="0" w:after="120" w:afterAutospacing="0" w:line="276" w:lineRule="auto"/>
        <w:jc w:val="both"/>
        <w:rPr>
          <w:noProof/>
        </w:rPr>
      </w:pPr>
      <w:r>
        <w:rPr>
          <w:noProof/>
        </w:rPr>
        <w:t>Tiedot, jotka on saatu jäsenvaltioilta mehiläishoitoalalla toteutettavista toimista annetun komission asetuksen (EY) N:o 917/2004</w:t>
      </w:r>
      <w:r>
        <w:rPr>
          <w:rStyle w:val="FootnoteReference"/>
          <w:noProof/>
        </w:rPr>
        <w:footnoteReference w:id="5"/>
      </w:r>
      <w:r>
        <w:rPr>
          <w:noProof/>
        </w:rPr>
        <w:t xml:space="preserve"> mukaisesti, jossa vahvistetaan kansallista mehiläishoito-ohjelmaa koskevat säännöt mehiläishoitovuoteen 2016 asti. </w:t>
      </w:r>
    </w:p>
    <w:p>
      <w:pPr>
        <w:pStyle w:val="NormalWeb"/>
        <w:numPr>
          <w:ilvl w:val="0"/>
          <w:numId w:val="3"/>
        </w:numPr>
        <w:spacing w:before="0" w:beforeAutospacing="0" w:after="120" w:afterAutospacing="0" w:line="276" w:lineRule="auto"/>
        <w:jc w:val="both"/>
        <w:rPr>
          <w:noProof/>
        </w:rPr>
      </w:pPr>
      <w:r>
        <w:rPr>
          <w:noProof/>
        </w:rPr>
        <w:t>Hunajan tuotantoa ja kansainvälistä kauppaa koskevat tiedot, jotka ovat peräisin Eurostatilta</w:t>
      </w:r>
      <w:r>
        <w:rPr>
          <w:rStyle w:val="FootnoteReference"/>
          <w:noProof/>
        </w:rPr>
        <w:footnoteReference w:id="6"/>
      </w:r>
      <w:r>
        <w:rPr>
          <w:noProof/>
        </w:rPr>
        <w:t xml:space="preserve"> sekä UN Comtrade -tietokannasta</w:t>
      </w:r>
      <w:r>
        <w:rPr>
          <w:rStyle w:val="FootnoteReference"/>
          <w:noProof/>
        </w:rPr>
        <w:footnoteReference w:id="7"/>
      </w:r>
      <w:r>
        <w:rPr>
          <w:noProof/>
        </w:rPr>
        <w:t xml:space="preserve"> ja Yhdistyneiden kansakuntien elintarvike- ja maatalousjärjestöltä (FAO)</w:t>
      </w:r>
      <w:r>
        <w:rPr>
          <w:rStyle w:val="FootnoteReference"/>
          <w:noProof/>
        </w:rPr>
        <w:footnoteReference w:id="8"/>
      </w:r>
      <w:r>
        <w:rPr>
          <w:noProof/>
        </w:rPr>
        <w:t>.</w:t>
      </w:r>
    </w:p>
    <w:p>
      <w:pPr>
        <w:pStyle w:val="Text1"/>
        <w:spacing w:before="0" w:line="276" w:lineRule="auto"/>
        <w:ind w:left="0"/>
        <w:rPr>
          <w:rStyle w:val="Heading1Char"/>
          <w:noProof/>
        </w:rPr>
      </w:pPr>
      <w:r>
        <w:rPr>
          <w:noProof/>
        </w:rPr>
        <w:t>Tarkempia lukuja ja yhteenvetotaulukoita hunajamarkkinoista ja kansallisista mehiläishoito-ohjelmista on saatavilla komission verkkosivustolla</w:t>
      </w:r>
      <w:r>
        <w:rPr>
          <w:rStyle w:val="FootnoteReference"/>
          <w:noProof/>
        </w:rPr>
        <w:footnoteReference w:id="9"/>
      </w:r>
      <w:r>
        <w:rPr>
          <w:noProof/>
        </w:rPr>
        <w:t>.</w:t>
      </w:r>
    </w:p>
    <w:p>
      <w:pPr>
        <w:pStyle w:val="Heading1"/>
        <w:rPr>
          <w:noProof/>
        </w:rPr>
      </w:pPr>
      <w:bookmarkStart w:id="4" w:name="_Toc26973392"/>
      <w:r>
        <w:rPr>
          <w:noProof/>
        </w:rPr>
        <w:t>3.</w:t>
      </w:r>
      <w:r>
        <w:rPr>
          <w:noProof/>
        </w:rPr>
        <w:tab/>
        <w:t>EU:N MEHILÄISHOITOALAN YLEISKATSAUS</w:t>
      </w:r>
      <w:bookmarkEnd w:id="4"/>
    </w:p>
    <w:p>
      <w:pPr>
        <w:pStyle w:val="Heading2"/>
        <w:rPr>
          <w:b w:val="0"/>
          <w:noProof/>
        </w:rPr>
      </w:pPr>
      <w:bookmarkStart w:id="5" w:name="_Toc26973393"/>
      <w:r>
        <w:rPr>
          <w:rStyle w:val="Heading2Char"/>
          <w:b/>
          <w:noProof/>
        </w:rPr>
        <w:t>3.1</w:t>
      </w:r>
      <w:r>
        <w:rPr>
          <w:rStyle w:val="Heading2Char"/>
          <w:b/>
          <w:noProof/>
        </w:rPr>
        <w:tab/>
        <w:t>Tuotanto ja hinnat</w:t>
      </w:r>
      <w:bookmarkEnd w:id="5"/>
    </w:p>
    <w:p>
      <w:pPr>
        <w:pStyle w:val="Text1"/>
        <w:spacing w:line="276" w:lineRule="auto"/>
        <w:ind w:left="0"/>
        <w:rPr>
          <w:b/>
          <w:noProof/>
          <w:u w:val="single"/>
        </w:rPr>
      </w:pPr>
      <w:r>
        <w:rPr>
          <w:b/>
          <w:noProof/>
          <w:u w:val="single"/>
        </w:rPr>
        <w:t>Tuotanto</w:t>
      </w:r>
    </w:p>
    <w:p>
      <w:pPr>
        <w:pStyle w:val="Text1"/>
        <w:spacing w:line="276" w:lineRule="auto"/>
        <w:ind w:left="0"/>
        <w:rPr>
          <w:noProof/>
        </w:rPr>
      </w:pPr>
      <w:r>
        <w:rPr>
          <w:noProof/>
        </w:rPr>
        <w:t xml:space="preserve">Vuosien 2020–2022 ohjelmista ilmoitetut luvut osoittavat, että EU:ssa oli noin 17,5 miljoonaa mehiläispesää, joita hoiti 650 000 mehiläishoitajaa. Mehiläishoitajien määrä on kasvanut siitä, mitä ilmoitettiin vuonna 2016 vuosien 2017–2019 ohjelmista. On kuitenkin huomattava, että ei ole olemassa yhdenmukaistettua menetelmää, jolla määriteltäisiin mehiläishoitajat tai arvioitaisiin mehiläishoitajien lukumäärä. Lukumäärän muutos ei siten välttämättä kuvasta alan yleistä suuntausta. </w:t>
      </w:r>
    </w:p>
    <w:p>
      <w:pPr>
        <w:pStyle w:val="Text1"/>
        <w:spacing w:line="276" w:lineRule="auto"/>
        <w:ind w:left="0"/>
        <w:rPr>
          <w:i/>
          <w:noProof/>
        </w:rPr>
      </w:pPr>
      <w:r>
        <w:rPr>
          <w:i/>
          <w:noProof/>
        </w:rPr>
        <w:t>Kuva 1: Mehiläishoitajien lukumäärä</w:t>
      </w:r>
    </w:p>
    <w:p>
      <w:pPr>
        <w:pStyle w:val="Text1"/>
        <w:spacing w:line="276" w:lineRule="auto"/>
        <w:ind w:left="0"/>
        <w:rPr>
          <w:noProof/>
        </w:rPr>
      </w:pPr>
      <w:r>
        <w:rPr>
          <w:noProof/>
          <w:lang w:val="en-GB" w:eastAsia="en-GB"/>
        </w:rPr>
        <w:drawing>
          <wp:inline distT="0" distB="0" distL="0" distR="0">
            <wp:extent cx="5759450"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476500"/>
                    </a:xfrm>
                    <a:prstGeom prst="rect">
                      <a:avLst/>
                    </a:prstGeom>
                    <a:noFill/>
                    <a:ln>
                      <a:noFill/>
                    </a:ln>
                  </pic:spPr>
                </pic:pic>
              </a:graphicData>
            </a:graphic>
          </wp:inline>
        </w:drawing>
      </w:r>
      <w:r>
        <w:rPr>
          <w:noProof/>
        </w:rPr>
        <w:t>Alalla tuotettiin 280 000 tonnia hunajaa vuonna 2018, joten EU on Kiinan (550 000 tonnia</w:t>
      </w:r>
      <w:r>
        <w:rPr>
          <w:rStyle w:val="FootnoteReference"/>
          <w:noProof/>
        </w:rPr>
        <w:footnoteReference w:id="10"/>
      </w:r>
      <w:r>
        <w:rPr>
          <w:noProof/>
        </w:rPr>
        <w:t>) jälkeen toiseksi suurin hunajantuottaja. EU:n tuotanto on kasvanut 16 prosentilla vuodesta 2014, jolloin se oli 240 000 tonnia, mutta EU ei vieläkään tuota riittävästi hunajaa oman kulutuksensa kattamiseksi. Vuonna 2018 sen omavaraisuusaste</w:t>
      </w:r>
      <w:r>
        <w:rPr>
          <w:rStyle w:val="FootnoteReference"/>
          <w:noProof/>
        </w:rPr>
        <w:footnoteReference w:id="11"/>
      </w:r>
      <w:r>
        <w:rPr>
          <w:noProof/>
        </w:rPr>
        <w:t xml:space="preserve"> oli noin 60 prosenttia, eli suunnilleen samalla tasolla kuin vuonna 2015. Suurin EU:hun tuodun hunajan toimittaja on Kiina (40 prosenttia tuonnista), ja toiseksi suurin on Ukraina (20 prosenttia tuonnista).</w:t>
      </w:r>
    </w:p>
    <w:p>
      <w:pPr>
        <w:pStyle w:val="Text1"/>
        <w:spacing w:line="276" w:lineRule="auto"/>
        <w:ind w:left="0"/>
        <w:rPr>
          <w:noProof/>
        </w:rPr>
      </w:pPr>
    </w:p>
    <w:p>
      <w:pPr>
        <w:rPr>
          <w:rFonts w:ascii="Times New Roman" w:hAnsi="Times New Roman" w:cs="Times New Roman"/>
          <w:noProof/>
          <w:color w:val="FF0000"/>
          <w:sz w:val="24"/>
          <w:szCs w:val="24"/>
        </w:rPr>
      </w:pPr>
      <w:r>
        <w:rPr>
          <w:rFonts w:ascii="Times New Roman" w:hAnsi="Times New Roman"/>
          <w:i/>
          <w:noProof/>
        </w:rPr>
        <w:t>Kuva 2: Hunajantuotanto EU:ssa vuosina 2017 ja 2018</w:t>
      </w:r>
      <w:r>
        <w:rPr>
          <w:noProof/>
          <w:lang w:val="en-GB" w:eastAsia="en-GB"/>
        </w:rPr>
        <w:drawing>
          <wp:inline distT="0" distB="0" distL="0" distR="0">
            <wp:extent cx="5901070" cy="32639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70" cy="3263900"/>
                    </a:xfrm>
                    <a:prstGeom prst="rect">
                      <a:avLst/>
                    </a:prstGeom>
                    <a:noFill/>
                    <a:ln>
                      <a:noFill/>
                    </a:ln>
                  </pic:spPr>
                </pic:pic>
              </a:graphicData>
            </a:graphic>
          </wp:inline>
        </w:drawing>
      </w:r>
    </w:p>
    <w:p>
      <w:pPr>
        <w:pStyle w:val="Text1"/>
        <w:spacing w:line="276" w:lineRule="auto"/>
        <w:ind w:left="0"/>
        <w:rPr>
          <w:rFonts w:eastAsiaTheme="minorHAnsi"/>
          <w:b/>
          <w:noProof/>
          <w:u w:val="single"/>
        </w:rPr>
      </w:pPr>
      <w:r>
        <w:rPr>
          <w:b/>
          <w:noProof/>
          <w:u w:val="single"/>
        </w:rPr>
        <w:t>Hinnat</w:t>
      </w:r>
    </w:p>
    <w:p>
      <w:pPr>
        <w:pStyle w:val="Text1"/>
        <w:spacing w:line="276" w:lineRule="auto"/>
        <w:ind w:left="0"/>
        <w:rPr>
          <w:noProof/>
        </w:rPr>
      </w:pPr>
      <w:r>
        <w:rPr>
          <w:noProof/>
        </w:rPr>
        <w:t xml:space="preserve">Hunajan hinta vaihtelee suuresti eri jäsenvaltioiden sekä eri laatujen ja myyntipisteiden välillä. Monikukkahunajan keskimääräinen hinta EU:ssa </w:t>
      </w:r>
      <w:r>
        <w:rPr>
          <w:noProof/>
          <w:u w:val="single"/>
        </w:rPr>
        <w:t>tuotantopaikalla</w:t>
      </w:r>
      <w:r>
        <w:rPr>
          <w:noProof/>
        </w:rPr>
        <w:t xml:space="preserve"> vuonna 2018 oli 6,46 euroa/kg. Useimmissa jäsenvaltioissa hinta on alhaisempi </w:t>
      </w:r>
      <w:r>
        <w:rPr>
          <w:noProof/>
          <w:u w:val="single"/>
        </w:rPr>
        <w:t>tukussa</w:t>
      </w:r>
      <w:r>
        <w:rPr>
          <w:noProof/>
        </w:rPr>
        <w:t xml:space="preserve">, jossa keskimääräinen hinta EU:ssa vuonna 2018 oli 3,79 euroa/kg. On huomattava, että vaikka nämä hinnat eivät juuri ole muuttuneet edellisten, vuonna 2016 saatujen tietojen jälkeen, keskimääräiset </w:t>
      </w:r>
      <w:r>
        <w:rPr>
          <w:noProof/>
          <w:u w:val="single"/>
        </w:rPr>
        <w:t>tuotantokustannukset</w:t>
      </w:r>
      <w:r>
        <w:rPr>
          <w:noProof/>
        </w:rPr>
        <w:t xml:space="preserve"> ovat nousseet vuoden 2015 tasosta 3,21 euroa/kg vuoden 2018 tasoon 3,90 euroa/kg, mikä saattaa johtaa pienempään katteeseen tuotettua hunajakiloa kohti. Koska jäsenvaltiot eivät kuitenkaan ilmoita, kuinka suuri osa tuotetusta hunajasta myydään tukussa ja kuinka suuri osa tuotantopaikalla, tuotannon kannattavuudesta tuottajille ei voida tehdä varmoja päätelmiä. </w:t>
      </w:r>
    </w:p>
    <w:p>
      <w:pPr>
        <w:pStyle w:val="Text1"/>
        <w:ind w:left="0"/>
        <w:rPr>
          <w:i/>
          <w:noProof/>
        </w:rPr>
      </w:pPr>
      <w:r>
        <w:rPr>
          <w:i/>
          <w:noProof/>
        </w:rPr>
        <w:t>Kuva 3: Hunajan keskihinnat vuonna 2018. MT: ylimmän ja alimman hinnan keskiarvo</w:t>
      </w:r>
    </w:p>
    <w:p>
      <w:pPr>
        <w:pStyle w:val="Heading2"/>
        <w:rPr>
          <w:noProof/>
        </w:rPr>
      </w:pPr>
      <w:r>
        <w:rPr>
          <w:noProof/>
          <w:lang w:val="en-GB" w:eastAsia="en-GB"/>
        </w:rPr>
        <w:drawing>
          <wp:inline distT="0" distB="0" distL="0" distR="0">
            <wp:extent cx="5760720" cy="30437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043724"/>
                    </a:xfrm>
                    <a:prstGeom prst="rect">
                      <a:avLst/>
                    </a:prstGeom>
                    <a:noFill/>
                    <a:ln>
                      <a:noFill/>
                    </a:ln>
                  </pic:spPr>
                </pic:pic>
              </a:graphicData>
            </a:graphic>
          </wp:inline>
        </w:drawing>
      </w:r>
    </w:p>
    <w:p>
      <w:pPr>
        <w:pStyle w:val="Heading2"/>
        <w:rPr>
          <w:noProof/>
        </w:rPr>
      </w:pPr>
      <w:bookmarkStart w:id="6" w:name="_Toc26973394"/>
      <w:r>
        <w:rPr>
          <w:noProof/>
        </w:rPr>
        <w:t>3.2</w:t>
      </w:r>
      <w:r>
        <w:rPr>
          <w:noProof/>
        </w:rPr>
        <w:tab/>
        <w:t>Kauppa</w:t>
      </w:r>
      <w:bookmarkEnd w:id="6"/>
    </w:p>
    <w:p>
      <w:pPr>
        <w:pStyle w:val="Text1"/>
        <w:ind w:left="0"/>
        <w:rPr>
          <w:b/>
          <w:noProof/>
          <w:u w:val="single"/>
        </w:rPr>
      </w:pPr>
      <w:r>
        <w:rPr>
          <w:b/>
          <w:noProof/>
          <w:u w:val="single"/>
        </w:rPr>
        <w:t>Tuonti</w:t>
      </w:r>
    </w:p>
    <w:p>
      <w:pPr>
        <w:pStyle w:val="Text1"/>
        <w:spacing w:line="276" w:lineRule="auto"/>
        <w:ind w:left="0"/>
        <w:rPr>
          <w:noProof/>
        </w:rPr>
      </w:pPr>
      <w:r>
        <w:rPr>
          <w:noProof/>
        </w:rPr>
        <w:t>EU:n omavaraisuusaste hunajan osalta on vain 60 prosenttia. Vuonna 2018 EU:hun tuotiin hunajaa 208 000 tonnia, jonka kokonaisarvo oli 452 miljoonaa euroa. EU on maailman suurin hunajan tuoja ja Kiina sen suurin hunajantoimittaja. Tuonti Kiinasta EU:hun on kuitenkin vähentynyt vuoden 2015 lähes 100 000 tonnista 80 000 tonniin vuonna 2018</w:t>
      </w:r>
      <w:r>
        <w:rPr>
          <w:rStyle w:val="FootnoteReference"/>
          <w:noProof/>
        </w:rPr>
        <w:footnoteReference w:id="12"/>
      </w:r>
      <w:r>
        <w:rPr>
          <w:noProof/>
        </w:rPr>
        <w:t xml:space="preserve">. Samalla ajanjaksolla tuonti Ukrainasta, joka on toiseksi suurin toimittaja, kasvoi 20 000 tonnista 41 000 tonniin. Tuonti kolmannelta toimittajalta Argentiinasta ja neljänneltä toimittajalta Meksikosta pysyi 25 000 ja 20 000 tonnissa. </w:t>
      </w:r>
    </w:p>
    <w:p>
      <w:pPr>
        <w:pStyle w:val="Text1"/>
        <w:spacing w:line="276" w:lineRule="auto"/>
        <w:ind w:left="0"/>
        <w:rPr>
          <w:noProof/>
        </w:rPr>
      </w:pPr>
      <w:r>
        <w:rPr>
          <w:noProof/>
        </w:rPr>
        <w:t xml:space="preserve">Kolmansista maista tuotu hunaja on yleensä halvempaa kuin EU:ssa tuotettu hunaja, ja vuonna 2018 keskimääräinen tuontihinta oli hieman yli 2 euroa/kg. </w:t>
      </w:r>
    </w:p>
    <w:p>
      <w:pPr>
        <w:pStyle w:val="Text1"/>
        <w:spacing w:line="276" w:lineRule="auto"/>
        <w:ind w:left="0"/>
        <w:rPr>
          <w:noProof/>
        </w:rPr>
      </w:pPr>
    </w:p>
    <w:p>
      <w:pPr>
        <w:pStyle w:val="Text1"/>
        <w:ind w:left="0"/>
        <w:rPr>
          <w:b/>
          <w:noProof/>
          <w:u w:val="single"/>
        </w:rPr>
      </w:pPr>
      <w:r>
        <w:rPr>
          <w:b/>
          <w:noProof/>
          <w:u w:val="single"/>
        </w:rPr>
        <w:t>Vienti</w:t>
      </w:r>
    </w:p>
    <w:p>
      <w:pPr>
        <w:pStyle w:val="Text1"/>
        <w:spacing w:line="276" w:lineRule="auto"/>
        <w:ind w:left="0"/>
        <w:rPr>
          <w:noProof/>
        </w:rPr>
      </w:pPr>
      <w:r>
        <w:rPr>
          <w:noProof/>
        </w:rPr>
        <w:t xml:space="preserve">EU:n vienti on vähäpätöistä tuontiin verrattuna. Vuonna 2018 EU:sta vietiin noin 21 000 tonnia hunajaa, mikä on noin 7 prosenttia EU:n tuotannosta. EU:ssa tuotetun hunajan tärkeimmät markkina-alueet ovat Sveitsi, Saudi-Arabia, Yhdysvallat ja Japani. Vuonna 2018 keskimääräinen vientihinta oli 5,7 euroa/kg. </w:t>
      </w:r>
    </w:p>
    <w:p>
      <w:pPr>
        <w:pStyle w:val="Text1"/>
        <w:ind w:left="0"/>
        <w:rPr>
          <w:i/>
          <w:noProof/>
        </w:rPr>
      </w:pPr>
      <w:r>
        <w:rPr>
          <w:i/>
          <w:noProof/>
        </w:rPr>
        <w:t>Kuva 4: EU:n keskimääräiset hunajan tuontihinnat euroina/kg (sininen tasainen viiva) ja vientihinnat (punainen katkoviiva) vuosina 2009–2018. Lähde: Eurostatin Comext-tietokanta</w:t>
      </w:r>
    </w:p>
    <w:p>
      <w:pPr>
        <w:pStyle w:val="Text1"/>
        <w:ind w:left="0"/>
        <w:rPr>
          <w:noProof/>
        </w:rPr>
      </w:pPr>
      <w:r>
        <w:rPr>
          <w:noProof/>
          <w:lang w:val="en-GB" w:eastAsia="en-GB"/>
        </w:rPr>
        <w:drawing>
          <wp:inline distT="0" distB="0" distL="0" distR="0">
            <wp:extent cx="5382883" cy="3299557"/>
            <wp:effectExtent l="0" t="0" r="8890" b="0"/>
            <wp:docPr id="6" name="Picture 6" descr="cid:image001.png@01D5A14B.2E4A7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5A14B.2E4A7B7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97785" cy="3308691"/>
                    </a:xfrm>
                    <a:prstGeom prst="rect">
                      <a:avLst/>
                    </a:prstGeom>
                    <a:noFill/>
                    <a:ln>
                      <a:noFill/>
                    </a:ln>
                  </pic:spPr>
                </pic:pic>
              </a:graphicData>
            </a:graphic>
          </wp:inline>
        </w:drawing>
      </w:r>
    </w:p>
    <w:p>
      <w:pPr>
        <w:pStyle w:val="ManualHeading1"/>
        <w:spacing w:before="480" w:after="240"/>
        <w:ind w:left="0" w:firstLine="0"/>
        <w:jc w:val="left"/>
        <w:rPr>
          <w:b w:val="0"/>
          <w:noProof/>
        </w:rPr>
      </w:pPr>
      <w:bookmarkStart w:id="7" w:name="_Toc26973395"/>
      <w:r>
        <w:rPr>
          <w:rStyle w:val="Heading1Char"/>
          <w:b/>
          <w:noProof/>
        </w:rPr>
        <w:t>4.</w:t>
      </w:r>
      <w:r>
        <w:rPr>
          <w:rStyle w:val="Heading1Char"/>
          <w:b/>
          <w:noProof/>
        </w:rPr>
        <w:tab/>
        <w:t>KANSALLISTEN MEHILÄISHOITO-OHJELMIEN TOTEUTTAMINEN</w:t>
      </w:r>
      <w:bookmarkEnd w:id="7"/>
    </w:p>
    <w:p>
      <w:pPr>
        <w:pStyle w:val="Heading2"/>
        <w:rPr>
          <w:rStyle w:val="Heading2Char"/>
          <w:b/>
          <w:bCs/>
          <w:noProof/>
        </w:rPr>
      </w:pPr>
      <w:bookmarkStart w:id="8" w:name="_Toc26973396"/>
      <w:r>
        <w:rPr>
          <w:rStyle w:val="Heading2Char"/>
          <w:b/>
          <w:noProof/>
        </w:rPr>
        <w:t>4.1</w:t>
      </w:r>
      <w:r>
        <w:rPr>
          <w:b w:val="0"/>
          <w:noProof/>
        </w:rPr>
        <w:tab/>
      </w:r>
      <w:r>
        <w:rPr>
          <w:rStyle w:val="Heading2Char"/>
          <w:b/>
          <w:noProof/>
        </w:rPr>
        <w:t>Oikeusperusta</w:t>
      </w:r>
      <w:bookmarkEnd w:id="8"/>
    </w:p>
    <w:p>
      <w:pPr>
        <w:spacing w:after="120"/>
        <w:jc w:val="both"/>
        <w:rPr>
          <w:rFonts w:ascii="Times New Roman" w:hAnsi="Times New Roman" w:cs="Times New Roman"/>
          <w:noProof/>
          <w:sz w:val="24"/>
          <w:szCs w:val="24"/>
        </w:rPr>
      </w:pPr>
      <w:r>
        <w:rPr>
          <w:rFonts w:ascii="Times New Roman" w:hAnsi="Times New Roman"/>
          <w:noProof/>
        </w:rPr>
        <w:t>Kansallisten mehiläishoito-ohjelmien oikeusperusta 1. elokuuta 2016 alkavasta mehiläishoitovuodesta 2017 eteenpäin on YMJ-asetuksen 55–57 artikla, jota täydennetään seuraavilla:</w:t>
      </w:r>
    </w:p>
    <w:p>
      <w:pPr>
        <w:pStyle w:val="ListParagraph"/>
        <w:numPr>
          <w:ilvl w:val="0"/>
          <w:numId w:val="1"/>
        </w:numPr>
        <w:spacing w:after="120"/>
        <w:ind w:left="360"/>
        <w:jc w:val="both"/>
        <w:rPr>
          <w:rFonts w:ascii="Times New Roman" w:hAnsi="Times New Roman" w:cs="Times New Roman"/>
          <w:noProof/>
          <w:sz w:val="24"/>
          <w:szCs w:val="24"/>
        </w:rPr>
      </w:pPr>
      <w:r>
        <w:rPr>
          <w:rFonts w:ascii="Times New Roman" w:hAnsi="Times New Roman"/>
          <w:noProof/>
        </w:rPr>
        <w:t>Komission delegoitu asetus (EU) N:o 2015/1366</w:t>
      </w:r>
      <w:r>
        <w:rPr>
          <w:rStyle w:val="FootnoteReference"/>
          <w:rFonts w:ascii="Times New Roman" w:hAnsi="Times New Roman" w:cs="Times New Roman"/>
          <w:noProof/>
        </w:rPr>
        <w:footnoteReference w:id="13"/>
      </w:r>
      <w:r>
        <w:rPr>
          <w:rFonts w:ascii="Times New Roman" w:hAnsi="Times New Roman"/>
          <w:noProof/>
        </w:rPr>
        <w:t xml:space="preserve"> ja</w:t>
      </w:r>
    </w:p>
    <w:p>
      <w:pPr>
        <w:pStyle w:val="ListParagraph"/>
        <w:numPr>
          <w:ilvl w:val="0"/>
          <w:numId w:val="1"/>
        </w:numPr>
        <w:spacing w:after="120"/>
        <w:ind w:left="360"/>
        <w:jc w:val="both"/>
        <w:rPr>
          <w:rFonts w:ascii="Times New Roman" w:hAnsi="Times New Roman" w:cs="Times New Roman"/>
          <w:noProof/>
          <w:sz w:val="24"/>
          <w:szCs w:val="24"/>
        </w:rPr>
      </w:pPr>
      <w:r>
        <w:rPr>
          <w:rFonts w:ascii="Times New Roman" w:hAnsi="Times New Roman"/>
          <w:noProof/>
        </w:rPr>
        <w:t>Komission täytäntöönpanoasetus (EU) 2015/1368</w:t>
      </w:r>
      <w:r>
        <w:rPr>
          <w:rStyle w:val="FootnoteReference"/>
          <w:rFonts w:ascii="Times New Roman" w:eastAsia="Times New Roman" w:hAnsi="Times New Roman" w:cs="Times New Roman"/>
          <w:noProof/>
          <w:color w:val="444444"/>
        </w:rPr>
        <w:footnoteReference w:id="14"/>
      </w:r>
      <w:r>
        <w:rPr>
          <w:rFonts w:ascii="Times New Roman" w:hAnsi="Times New Roman"/>
          <w:noProof/>
        </w:rPr>
        <w:t>.</w:t>
      </w:r>
    </w:p>
    <w:p>
      <w:pPr>
        <w:spacing w:after="120"/>
        <w:jc w:val="both"/>
        <w:rPr>
          <w:rFonts w:ascii="Times New Roman" w:eastAsia="Times New Roman" w:hAnsi="Times New Roman" w:cs="Times New Roman"/>
          <w:noProof/>
          <w:sz w:val="24"/>
          <w:szCs w:val="24"/>
        </w:rPr>
      </w:pPr>
      <w:r>
        <w:rPr>
          <w:rFonts w:ascii="Times New Roman" w:hAnsi="Times New Roman"/>
          <w:noProof/>
        </w:rPr>
        <w:t>Mehiläishoitovuosia 2017–2019 koskevat ohjelmat ja niiden rahoitus hyväksyttiin 5 päivänä heinäkuuta 2016 annetun komission täytäntöönpanopäätöksen (EU) 2016/1102</w:t>
      </w:r>
      <w:r>
        <w:rPr>
          <w:rStyle w:val="FootnoteReference"/>
          <w:rFonts w:ascii="Times New Roman" w:hAnsi="Times New Roman" w:cs="Times New Roman"/>
          <w:bCs/>
          <w:noProof/>
        </w:rPr>
        <w:footnoteReference w:id="15"/>
      </w:r>
      <w:r>
        <w:rPr>
          <w:rFonts w:ascii="Times New Roman" w:hAnsi="Times New Roman"/>
          <w:noProof/>
        </w:rPr>
        <w:t xml:space="preserve"> nojalla.</w:t>
      </w:r>
    </w:p>
    <w:p>
      <w:pPr>
        <w:pStyle w:val="NormalWeb"/>
        <w:spacing w:before="0" w:beforeAutospacing="0" w:after="120" w:afterAutospacing="0" w:line="276" w:lineRule="auto"/>
        <w:jc w:val="both"/>
        <w:rPr>
          <w:noProof/>
        </w:rPr>
      </w:pPr>
      <w:r>
        <w:rPr>
          <w:noProof/>
        </w:rPr>
        <w:t>Mehiläishoitovuosia 2020–2022 koskevat ohjelmat ja niiden rahoitus hyväksyttiin 12 päivänä kesäkuuta 2019 annetun komission täytäntöönpanopäätöksen (EU) 2019/974</w:t>
      </w:r>
      <w:r>
        <w:rPr>
          <w:rStyle w:val="FootnoteReference"/>
          <w:noProof/>
          <w:color w:val="444444"/>
        </w:rPr>
        <w:footnoteReference w:id="16"/>
      </w:r>
      <w:r>
        <w:rPr>
          <w:noProof/>
        </w:rPr>
        <w:t xml:space="preserve"> nojalla.</w:t>
      </w:r>
    </w:p>
    <w:p>
      <w:pPr>
        <w:pStyle w:val="Heading2"/>
        <w:rPr>
          <w:rStyle w:val="Heading2Char"/>
          <w:b/>
          <w:noProof/>
        </w:rPr>
      </w:pPr>
      <w:bookmarkStart w:id="9" w:name="_Toc26973397"/>
      <w:r>
        <w:rPr>
          <w:rStyle w:val="Heading2Char"/>
          <w:b/>
          <w:noProof/>
        </w:rPr>
        <w:t>4.2</w:t>
      </w:r>
      <w:r>
        <w:rPr>
          <w:rFonts w:ascii="Times New Roman" w:hAnsi="Times New Roman"/>
          <w:b w:val="0"/>
          <w:noProof/>
        </w:rPr>
        <w:tab/>
      </w:r>
      <w:r>
        <w:rPr>
          <w:rStyle w:val="Heading2Char"/>
          <w:b/>
          <w:noProof/>
        </w:rPr>
        <w:t>Tavoitteet ja toimenpiteet</w:t>
      </w:r>
      <w:bookmarkEnd w:id="9"/>
    </w:p>
    <w:p>
      <w:pPr>
        <w:spacing w:after="120"/>
        <w:jc w:val="both"/>
        <w:rPr>
          <w:rFonts w:ascii="Times New Roman" w:hAnsi="Times New Roman" w:cs="Times New Roman"/>
          <w:b/>
          <w:noProof/>
          <w:sz w:val="24"/>
          <w:szCs w:val="24"/>
        </w:rPr>
      </w:pPr>
      <w:r>
        <w:rPr>
          <w:rFonts w:ascii="Times New Roman" w:hAnsi="Times New Roman"/>
          <w:noProof/>
        </w:rPr>
        <w:t>Ohjelmien tavoitteena on parantaa mehiläishoitotuotteiden tuotannon ja kaupan pitämisen yleisiä edellytyksiä unionissa. Vuoden 2013 YMP:n uudistuksessa ohjelmiin tehtiin joitakin muutoksia. Muutosten päätavoitteena oli mukauttaa tukikelpoiset toimenpiteet alan tarpeisiin ja varmistaa EU:n rahoituksen järkevämpi jakaminen parantamalla menetelmiä, joilla jäsenvaltiot määrittävät alueillaan sijaitsevien mehiläispesien määrän. Muutosten tuloksena syntyneet tukikelpoiset toimenpiteet on kuvattu tarkemmin jäljempänä.</w:t>
      </w:r>
    </w:p>
    <w:p>
      <w:pPr>
        <w:spacing w:after="120"/>
        <w:jc w:val="both"/>
        <w:rPr>
          <w:rFonts w:ascii="Times New Roman" w:hAnsi="Times New Roman" w:cs="Times New Roman"/>
          <w:noProof/>
          <w:sz w:val="24"/>
          <w:szCs w:val="24"/>
        </w:rPr>
      </w:pPr>
      <w:r>
        <w:rPr>
          <w:rFonts w:ascii="Times New Roman" w:hAnsi="Times New Roman"/>
          <w:noProof/>
        </w:rPr>
        <w:t xml:space="preserve">a) </w:t>
      </w:r>
      <w:r>
        <w:rPr>
          <w:rFonts w:ascii="Times New Roman" w:hAnsi="Times New Roman"/>
          <w:b/>
          <w:noProof/>
        </w:rPr>
        <w:t>Mehiläishoitajille ja mehiläishoitajien organisaatioille annettava tekninen apu:</w:t>
      </w:r>
      <w:r>
        <w:rPr>
          <w:rFonts w:ascii="Times New Roman" w:hAnsi="Times New Roman"/>
          <w:noProof/>
        </w:rPr>
        <w:t xml:space="preserve"> tämän toimenpiteen sanamuoto muutettiin ”mehiläishoitajien ryhmittymistä” ”mehiläishoitajien organisaatioiksi”. Monet jäsenvaltiot sisällyttävät tähän toimenpiteeseen koulutuksen, kurssien järjestämisen ja koulutusesitteiden painamisen, mutta siihen voi sisältyä hyvin monenlaisia toimia. Näitä ovat tuki esimerkiksi ensiasteen jalostukseen tarvittavien teknisten laitteiden hankinnalle sekä erityistuki nuorille mehiläishoitajille. </w:t>
      </w:r>
    </w:p>
    <w:p>
      <w:pPr>
        <w:spacing w:after="120"/>
        <w:jc w:val="both"/>
        <w:rPr>
          <w:rFonts w:ascii="Times New Roman" w:hAnsi="Times New Roman" w:cs="Times New Roman"/>
          <w:noProof/>
          <w:sz w:val="24"/>
          <w:szCs w:val="24"/>
        </w:rPr>
      </w:pPr>
      <w:r>
        <w:rPr>
          <w:rFonts w:ascii="Times New Roman" w:hAnsi="Times New Roman"/>
          <w:noProof/>
        </w:rPr>
        <w:t xml:space="preserve">b) </w:t>
      </w:r>
      <w:r>
        <w:rPr>
          <w:rFonts w:ascii="Times New Roman" w:hAnsi="Times New Roman"/>
          <w:b/>
          <w:noProof/>
        </w:rPr>
        <w:t>Mehiläisiä vaivaavien tuholaisten ja tautien, erityisesti varroapunkin, torjunta:</w:t>
      </w:r>
      <w:r>
        <w:rPr>
          <w:rFonts w:ascii="Times New Roman" w:hAnsi="Times New Roman"/>
          <w:noProof/>
        </w:rPr>
        <w:t xml:space="preserve"> tämän toimenpiteen soveltamisalaa on laajennettu varroatoosin torjunnasta muiden mehiläisiä vaivaavien tuholaisten ja tautien, kuten aasianherhiläisten (</w:t>
      </w:r>
      <w:r>
        <w:rPr>
          <w:rFonts w:ascii="Times New Roman" w:hAnsi="Times New Roman"/>
          <w:i/>
          <w:noProof/>
        </w:rPr>
        <w:t>Vespa velutina</w:t>
      </w:r>
      <w:r>
        <w:rPr>
          <w:rFonts w:ascii="Times New Roman" w:hAnsi="Times New Roman"/>
          <w:noProof/>
        </w:rPr>
        <w:t>) ja pienten pesäkuoriaisten (</w:t>
      </w:r>
      <w:r>
        <w:rPr>
          <w:rFonts w:ascii="Times New Roman" w:hAnsi="Times New Roman"/>
          <w:i/>
          <w:noProof/>
        </w:rPr>
        <w:t>Aethina tumida</w:t>
      </w:r>
      <w:r>
        <w:rPr>
          <w:rFonts w:ascii="Times New Roman" w:hAnsi="Times New Roman"/>
          <w:noProof/>
        </w:rPr>
        <w:t xml:space="preserve">) torjumiseen. Useimmissa tämän toimenpiteen sisältävissä ohjelmissa keskitytään kuitenkin edelleen varroatoosin torjuntaan. Varroapunkki saadaan hallintaan usein tukemalla menetelmiä, joilla vähennetään loiskuormaa. Käytössä on myös toimia, joilla pyritään tiedottamaan mehiläishoitajille varroapunkin torjunnan tärkeydestä. </w:t>
      </w:r>
    </w:p>
    <w:p>
      <w:pPr>
        <w:spacing w:after="120"/>
        <w:jc w:val="both"/>
        <w:rPr>
          <w:rFonts w:ascii="Times New Roman" w:hAnsi="Times New Roman" w:cs="Times New Roman"/>
          <w:noProof/>
          <w:sz w:val="24"/>
          <w:szCs w:val="24"/>
        </w:rPr>
      </w:pPr>
      <w:r>
        <w:rPr>
          <w:rFonts w:ascii="Times New Roman" w:hAnsi="Times New Roman"/>
          <w:noProof/>
        </w:rPr>
        <w:t xml:space="preserve">c) </w:t>
      </w:r>
      <w:r>
        <w:rPr>
          <w:rFonts w:ascii="Times New Roman" w:hAnsi="Times New Roman"/>
          <w:b/>
          <w:noProof/>
        </w:rPr>
        <w:t>Siirtohoidon järkeistäminen,</w:t>
      </w:r>
      <w:r>
        <w:rPr>
          <w:rFonts w:ascii="Times New Roman" w:hAnsi="Times New Roman"/>
          <w:noProof/>
        </w:rPr>
        <w:t xml:space="preserve"> jonka tarkoituksena on helpottaa mehiläispesien siirtämistä unionissa ja niiden sijoituspaikkojen tarjoamista mehiläishoitajille kukinta-aikana. Siirtohoidon hallinnointia voidaan helpottaa muun muassa sellaisilla toimenpiteillä kuin mehiläispesien ja kehien tunnistaminen, siirtohoitorekisteri, investointi siirtohoitoa helpottaviin tarvikkeisiin ja materiaaleihin sekä hunajalajien kartoitus. </w:t>
      </w:r>
    </w:p>
    <w:p>
      <w:pPr>
        <w:spacing w:after="120"/>
        <w:jc w:val="both"/>
        <w:rPr>
          <w:rFonts w:ascii="Times New Roman" w:hAnsi="Times New Roman" w:cs="Times New Roman"/>
          <w:noProof/>
          <w:sz w:val="24"/>
          <w:szCs w:val="24"/>
        </w:rPr>
      </w:pPr>
      <w:r>
        <w:rPr>
          <w:rFonts w:ascii="Times New Roman" w:hAnsi="Times New Roman"/>
          <w:noProof/>
        </w:rPr>
        <w:t xml:space="preserve">d) </w:t>
      </w:r>
      <w:r>
        <w:rPr>
          <w:rFonts w:ascii="Times New Roman" w:hAnsi="Times New Roman"/>
          <w:b/>
          <w:noProof/>
        </w:rPr>
        <w:t>Mehiläistuotteiden ominaisuuksia määrittävien laboratorioiden tukeminen, millä pyritään auttamaan mehiläishoitajia pitämään tuotteitaan kaupan ja nostamaan niiden arvoa:</w:t>
      </w:r>
      <w:r>
        <w:rPr>
          <w:rFonts w:ascii="Times New Roman" w:hAnsi="Times New Roman"/>
          <w:noProof/>
        </w:rPr>
        <w:t xml:space="preserve"> tämän toimenpiteen soveltamisalaa on laajennettu hunajasta tehtävien fysikaaliskemiallisten ominaisuuksien analyysien tukemisesta myös muihin mehiläistuotteisiin</w:t>
      </w:r>
      <w:r>
        <w:rPr>
          <w:rStyle w:val="FootnoteReference"/>
          <w:rFonts w:ascii="Times New Roman" w:hAnsi="Times New Roman" w:cs="Times New Roman"/>
          <w:noProof/>
        </w:rPr>
        <w:footnoteReference w:id="17"/>
      </w:r>
      <w:r>
        <w:rPr>
          <w:rFonts w:ascii="Times New Roman" w:hAnsi="Times New Roman"/>
          <w:noProof/>
        </w:rPr>
        <w:t xml:space="preserve">, kuten kuningatarhyytelöön, siitepölyyn, kittivahaan tai mehiläisvahaan. YMJ-asetuksen mukaisesti tämän toimenpiteen tulisi myös auttaa mehiläishoitajia pitämään tuotteitaan kaupan ja nostamaan niiden arvoa. Toimenpidettä voidaan käyttää rahoittamaan esimerkiksi hunajan alkuperänä olevien kasvilajikkeiden selvittämistä, sillä alkuperätiedon perusteella mehiläishoitajat voivat saada tuotteestaan paremman hinnan. </w:t>
      </w:r>
    </w:p>
    <w:p>
      <w:pPr>
        <w:spacing w:after="120"/>
        <w:jc w:val="both"/>
        <w:rPr>
          <w:rFonts w:ascii="Times New Roman" w:hAnsi="Times New Roman" w:cs="Times New Roman"/>
          <w:noProof/>
          <w:sz w:val="24"/>
          <w:szCs w:val="24"/>
        </w:rPr>
      </w:pPr>
      <w:r>
        <w:rPr>
          <w:rFonts w:ascii="Times New Roman" w:hAnsi="Times New Roman"/>
          <w:noProof/>
        </w:rPr>
        <w:t xml:space="preserve">e) </w:t>
      </w:r>
      <w:r>
        <w:rPr>
          <w:rFonts w:ascii="Times New Roman" w:hAnsi="Times New Roman"/>
          <w:b/>
          <w:noProof/>
        </w:rPr>
        <w:t>Mehiläiskantojen lisäämisellä</w:t>
      </w:r>
      <w:r>
        <w:rPr>
          <w:rFonts w:ascii="Times New Roman" w:hAnsi="Times New Roman"/>
          <w:noProof/>
        </w:rPr>
        <w:t xml:space="preserve"> voidaan osittain kompensoida mehiläiskuolemien vaikutuksia ja näin välttää tuotannon supistuminen. Tällaisiin toimenpiteisiin voi kuulua rahoitus, jota myönnetään kuningatarmehiläisten kasvatukseen, mehiläisyhdyskuntien hankintaan tai uusien mehiläispesien ostamiseen.</w:t>
      </w:r>
    </w:p>
    <w:p>
      <w:pPr>
        <w:spacing w:after="120"/>
        <w:jc w:val="both"/>
        <w:rPr>
          <w:rFonts w:ascii="Times New Roman" w:hAnsi="Times New Roman" w:cs="Times New Roman"/>
          <w:noProof/>
          <w:sz w:val="24"/>
          <w:szCs w:val="24"/>
        </w:rPr>
      </w:pPr>
      <w:r>
        <w:rPr>
          <w:rFonts w:ascii="Times New Roman" w:hAnsi="Times New Roman"/>
          <w:noProof/>
        </w:rPr>
        <w:t xml:space="preserve">f) </w:t>
      </w:r>
      <w:r>
        <w:rPr>
          <w:rFonts w:ascii="Times New Roman" w:hAnsi="Times New Roman"/>
          <w:b/>
          <w:noProof/>
        </w:rPr>
        <w:t>Yhteistoiminta mehiläishoitoalaa ja mehiläistuotteita koskevan soveltavan tutkimuksen ohjelmien toteuttamiseen erikoistuneiden tahojen kanssa:</w:t>
      </w:r>
      <w:r>
        <w:rPr>
          <w:rFonts w:ascii="Times New Roman" w:hAnsi="Times New Roman"/>
          <w:noProof/>
        </w:rPr>
        <w:t xml:space="preserve"> tämä toimenpide antaa jäsenvaltioille mahdollisuuden tukea tutkimuksen erityishankkeita. Niillä voidaan pyrkiä parantamaan hunajan laatua ja/tai levittämään tällaisten hankkeiden tuloksia.  </w:t>
      </w:r>
    </w:p>
    <w:p>
      <w:pPr>
        <w:spacing w:after="120"/>
        <w:jc w:val="both"/>
        <w:rPr>
          <w:rFonts w:ascii="Times New Roman" w:hAnsi="Times New Roman" w:cs="Times New Roman"/>
          <w:noProof/>
          <w:sz w:val="24"/>
          <w:szCs w:val="24"/>
        </w:rPr>
      </w:pPr>
      <w:r>
        <w:rPr>
          <w:rFonts w:ascii="Times New Roman" w:hAnsi="Times New Roman"/>
          <w:noProof/>
        </w:rPr>
        <w:t xml:space="preserve">g) </w:t>
      </w:r>
      <w:r>
        <w:rPr>
          <w:rFonts w:ascii="Times New Roman" w:hAnsi="Times New Roman"/>
          <w:b/>
          <w:noProof/>
        </w:rPr>
        <w:t>Markkinoiden seuranta:</w:t>
      </w:r>
      <w:r>
        <w:rPr>
          <w:rFonts w:ascii="Times New Roman" w:hAnsi="Times New Roman"/>
          <w:noProof/>
        </w:rPr>
        <w:t xml:space="preserve"> uusi toimenpide, jolla voidaan sijoittaa mehiläistuotteiden ja hintojen seurantaan. Sillä voidaan parantaa tuotantoedellytyksiä ja tukea markkinatilanteen seuraamista varten laadittuja kansallisia strategioita. </w:t>
      </w:r>
    </w:p>
    <w:p>
      <w:pPr>
        <w:spacing w:after="120"/>
        <w:jc w:val="both"/>
        <w:rPr>
          <w:rFonts w:ascii="Times New Roman" w:hAnsi="Times New Roman" w:cs="Times New Roman"/>
          <w:noProof/>
          <w:sz w:val="24"/>
          <w:szCs w:val="24"/>
        </w:rPr>
      </w:pPr>
      <w:r>
        <w:rPr>
          <w:rFonts w:ascii="Times New Roman" w:hAnsi="Times New Roman"/>
          <w:noProof/>
        </w:rPr>
        <w:t xml:space="preserve">h) </w:t>
      </w:r>
      <w:r>
        <w:rPr>
          <w:rFonts w:ascii="Times New Roman" w:hAnsi="Times New Roman"/>
          <w:b/>
          <w:noProof/>
        </w:rPr>
        <w:t xml:space="preserve">Tuotteiden laadun parantaminen niiden markkina-arvon parantamiseksi: </w:t>
      </w:r>
      <w:r>
        <w:rPr>
          <w:rFonts w:ascii="Times New Roman" w:hAnsi="Times New Roman"/>
          <w:noProof/>
        </w:rPr>
        <w:t>YMJ-asetuksella käyttöön otettu uusi toimenpide, jota voitaisiin käyttää esimerkiksi hunajan, mutta myös muiden mehiläistuotteiden, markkinapotentiaalin hyödyntämiseen.</w:t>
      </w:r>
    </w:p>
    <w:p>
      <w:pPr>
        <w:spacing w:before="240" w:after="120" w:line="240" w:lineRule="auto"/>
        <w:jc w:val="both"/>
        <w:outlineLvl w:val="1"/>
        <w:rPr>
          <w:rStyle w:val="Heading2Char"/>
          <w:bCs w:val="0"/>
          <w:noProof/>
        </w:rPr>
      </w:pPr>
      <w:bookmarkStart w:id="10" w:name="_Toc26973398"/>
      <w:r>
        <w:rPr>
          <w:rStyle w:val="Heading2Char"/>
          <w:bCs w:val="0"/>
          <w:noProof/>
        </w:rPr>
        <w:t>4.3</w:t>
      </w:r>
      <w:r>
        <w:rPr>
          <w:rStyle w:val="Heading2Char"/>
          <w:bCs w:val="0"/>
          <w:noProof/>
        </w:rPr>
        <w:tab/>
        <w:t>Kansallisille mehiläishoito-ohjelmille varattu unionin rahoitus ja sen käyttöaste</w:t>
      </w:r>
      <w:bookmarkEnd w:id="10"/>
    </w:p>
    <w:p>
      <w:pPr>
        <w:spacing w:after="120"/>
        <w:jc w:val="both"/>
        <w:rPr>
          <w:rFonts w:ascii="Times New Roman" w:hAnsi="Times New Roman" w:cs="Times New Roman"/>
          <w:noProof/>
          <w:sz w:val="24"/>
          <w:szCs w:val="24"/>
        </w:rPr>
      </w:pPr>
      <w:r>
        <w:rPr>
          <w:rFonts w:ascii="Times New Roman" w:hAnsi="Times New Roman"/>
          <w:noProof/>
        </w:rPr>
        <w:t>Mehiläishoitoalalle varattu unionin rahoitus on suhteellisen pieni, mutta sitä lisätään kauden 2017–2019 mehiläishoito-ohjelmissa käytettävissä olevasta 36 miljoonasta eurosta 40 miljoonaan euroon mehiläishoitovuotta kohti kauden 2020–2022 mehiläishoito-ohjelmille.</w:t>
      </w:r>
    </w:p>
    <w:p>
      <w:pPr>
        <w:spacing w:after="120"/>
        <w:jc w:val="both"/>
        <w:rPr>
          <w:rFonts w:ascii="Times New Roman" w:hAnsi="Times New Roman" w:cs="Times New Roman"/>
          <w:noProof/>
          <w:sz w:val="24"/>
          <w:szCs w:val="24"/>
        </w:rPr>
      </w:pPr>
      <w:r>
        <w:rPr>
          <w:rFonts w:ascii="Times New Roman" w:hAnsi="Times New Roman"/>
          <w:noProof/>
        </w:rPr>
        <w:t>Unionin tuki mehiläishoito-ohjelmille vastaa 50:tä prosenttia jäsenvaltioille aiheutuvista menoista. Käytännössä tämä tarkoittaa, että mehiläishoitovuosina 2017 ja 2018 mehiläishoito-ohjelmiin oli vuosittain käytettävissä yhteensä 72 miljoonaa euroa. Vaikka rahoitusta ei käytetty täysimääräisesti, käyttöaste on korkea. Vertailun vuoksi jäljempänä olevassa taulukossa on esitetty rahoituksen käyttö mehiläishoitovuonna 2016.</w:t>
      </w:r>
    </w:p>
    <w:p>
      <w:pPr>
        <w:rPr>
          <w:rFonts w:ascii="Times New Roman" w:hAnsi="Times New Roman" w:cs="Times New Roman"/>
          <w:i/>
          <w:noProof/>
          <w:sz w:val="24"/>
          <w:szCs w:val="24"/>
        </w:rPr>
      </w:pPr>
      <w:r>
        <w:rPr>
          <w:rFonts w:ascii="Times New Roman" w:hAnsi="Times New Roman"/>
          <w:i/>
          <w:noProof/>
        </w:rPr>
        <w:t>Taulukko 1: Unionin rahoitus mehiläishoito-ohjelmille ja sen käyttöaste</w:t>
      </w:r>
    </w:p>
    <w:tbl>
      <w:tblPr>
        <w:tblStyle w:val="TableGrid"/>
        <w:tblW w:w="9322" w:type="dxa"/>
        <w:tblLook w:val="04A0" w:firstRow="1" w:lastRow="0" w:firstColumn="1" w:lastColumn="0" w:noHBand="0" w:noVBand="1"/>
      </w:tblPr>
      <w:tblGrid>
        <w:gridCol w:w="1646"/>
        <w:gridCol w:w="1606"/>
        <w:gridCol w:w="1606"/>
        <w:gridCol w:w="1606"/>
        <w:gridCol w:w="1606"/>
        <w:gridCol w:w="1706"/>
      </w:tblGrid>
      <w:tr>
        <w:trPr>
          <w:trHeight w:val="971"/>
        </w:trPr>
        <w:tc>
          <w:tcPr>
            <w:tcW w:w="2235" w:type="dxa"/>
          </w:tcPr>
          <w:p>
            <w:pPr>
              <w:rPr>
                <w:rFonts w:ascii="Times New Roman" w:hAnsi="Times New Roman" w:cs="Times New Roman"/>
                <w:noProof/>
                <w:sz w:val="18"/>
                <w:szCs w:val="18"/>
              </w:rPr>
            </w:pPr>
            <w:r>
              <w:rPr>
                <w:rFonts w:ascii="Times New Roman" w:hAnsi="Times New Roman"/>
                <w:noProof/>
                <w:sz w:val="18"/>
                <w:szCs w:val="18"/>
              </w:rPr>
              <w:t xml:space="preserve">Käytettävissä oleva unionin rahoitus </w:t>
            </w:r>
            <w:r>
              <w:rPr>
                <w:rFonts w:ascii="Times New Roman" w:hAnsi="Times New Roman"/>
                <w:noProof/>
                <w:sz w:val="18"/>
                <w:szCs w:val="18"/>
                <w:u w:val="single"/>
              </w:rPr>
              <w:t>mehiläishoitovuotta kohti</w:t>
            </w:r>
          </w:p>
        </w:tc>
        <w:tc>
          <w:tcPr>
            <w:tcW w:w="1559" w:type="dxa"/>
          </w:tcPr>
          <w:p>
            <w:pPr>
              <w:rPr>
                <w:rFonts w:ascii="Times New Roman" w:hAnsi="Times New Roman" w:cs="Times New Roman"/>
                <w:noProof/>
                <w:sz w:val="18"/>
                <w:szCs w:val="18"/>
              </w:rPr>
            </w:pPr>
            <w:r>
              <w:rPr>
                <w:rFonts w:ascii="Times New Roman" w:hAnsi="Times New Roman"/>
                <w:noProof/>
                <w:sz w:val="18"/>
                <w:szCs w:val="18"/>
              </w:rPr>
              <w:t>Mehiläishoitovuosi 2016</w:t>
            </w:r>
          </w:p>
          <w:p>
            <w:pPr>
              <w:rPr>
                <w:rFonts w:ascii="Times New Roman" w:hAnsi="Times New Roman" w:cs="Times New Roman"/>
                <w:noProof/>
                <w:sz w:val="18"/>
                <w:szCs w:val="18"/>
              </w:rPr>
            </w:pPr>
            <w:r>
              <w:rPr>
                <w:rFonts w:ascii="Times New Roman" w:hAnsi="Times New Roman"/>
                <w:noProof/>
                <w:sz w:val="18"/>
                <w:szCs w:val="18"/>
              </w:rPr>
              <w:t>Vuosien 2014–2016 ohjelmat</w:t>
            </w:r>
          </w:p>
        </w:tc>
        <w:tc>
          <w:tcPr>
            <w:tcW w:w="1417" w:type="dxa"/>
          </w:tcPr>
          <w:p>
            <w:pPr>
              <w:rPr>
                <w:rFonts w:ascii="Times New Roman" w:hAnsi="Times New Roman" w:cs="Times New Roman"/>
                <w:noProof/>
                <w:sz w:val="18"/>
                <w:szCs w:val="18"/>
              </w:rPr>
            </w:pPr>
            <w:r>
              <w:rPr>
                <w:rFonts w:ascii="Times New Roman" w:hAnsi="Times New Roman"/>
                <w:noProof/>
                <w:sz w:val="18"/>
                <w:szCs w:val="18"/>
              </w:rPr>
              <w:t>Mehiläishoitovuosi 2017</w:t>
            </w:r>
          </w:p>
          <w:p>
            <w:pPr>
              <w:rPr>
                <w:rFonts w:ascii="Times New Roman" w:hAnsi="Times New Roman" w:cs="Times New Roman"/>
                <w:noProof/>
                <w:sz w:val="18"/>
                <w:szCs w:val="18"/>
              </w:rPr>
            </w:pPr>
            <w:r>
              <w:rPr>
                <w:rFonts w:ascii="Times New Roman" w:hAnsi="Times New Roman"/>
                <w:noProof/>
                <w:sz w:val="18"/>
                <w:szCs w:val="18"/>
              </w:rPr>
              <w:t>Vuosien 2017–2019 ohjelmat</w:t>
            </w:r>
          </w:p>
        </w:tc>
        <w:tc>
          <w:tcPr>
            <w:tcW w:w="1340" w:type="dxa"/>
          </w:tcPr>
          <w:p>
            <w:pPr>
              <w:rPr>
                <w:rFonts w:ascii="Times New Roman" w:hAnsi="Times New Roman" w:cs="Times New Roman"/>
                <w:noProof/>
                <w:sz w:val="18"/>
                <w:szCs w:val="18"/>
              </w:rPr>
            </w:pPr>
            <w:r>
              <w:rPr>
                <w:rFonts w:ascii="Times New Roman" w:hAnsi="Times New Roman"/>
                <w:noProof/>
                <w:sz w:val="18"/>
                <w:szCs w:val="18"/>
              </w:rPr>
              <w:t>Mehiläishoitovuosi 2018</w:t>
            </w:r>
          </w:p>
          <w:p>
            <w:pPr>
              <w:rPr>
                <w:rFonts w:ascii="Times New Roman" w:hAnsi="Times New Roman" w:cs="Times New Roman"/>
                <w:noProof/>
                <w:sz w:val="18"/>
                <w:szCs w:val="18"/>
              </w:rPr>
            </w:pPr>
            <w:r>
              <w:rPr>
                <w:rFonts w:ascii="Times New Roman" w:hAnsi="Times New Roman"/>
                <w:noProof/>
                <w:sz w:val="18"/>
                <w:szCs w:val="18"/>
              </w:rPr>
              <w:t>Vuosien 2017–2019 ohjelmat</w:t>
            </w:r>
          </w:p>
        </w:tc>
        <w:tc>
          <w:tcPr>
            <w:tcW w:w="1381" w:type="dxa"/>
          </w:tcPr>
          <w:p>
            <w:pPr>
              <w:rPr>
                <w:rFonts w:ascii="Times New Roman" w:hAnsi="Times New Roman" w:cs="Times New Roman"/>
                <w:noProof/>
                <w:sz w:val="18"/>
                <w:szCs w:val="18"/>
              </w:rPr>
            </w:pPr>
            <w:r>
              <w:rPr>
                <w:rFonts w:ascii="Times New Roman" w:hAnsi="Times New Roman"/>
                <w:noProof/>
                <w:sz w:val="18"/>
                <w:szCs w:val="18"/>
              </w:rPr>
              <w:t>Mehiläishoitovuosi 2019</w:t>
            </w:r>
          </w:p>
          <w:p>
            <w:pPr>
              <w:rPr>
                <w:rFonts w:ascii="Times New Roman" w:hAnsi="Times New Roman" w:cs="Times New Roman"/>
                <w:noProof/>
                <w:sz w:val="18"/>
                <w:szCs w:val="18"/>
              </w:rPr>
            </w:pPr>
            <w:r>
              <w:rPr>
                <w:rFonts w:ascii="Times New Roman" w:hAnsi="Times New Roman"/>
                <w:noProof/>
                <w:sz w:val="18"/>
                <w:szCs w:val="18"/>
              </w:rPr>
              <w:t>Vuosien 2017–2019 ohjelmat</w:t>
            </w:r>
          </w:p>
        </w:tc>
        <w:tc>
          <w:tcPr>
            <w:tcW w:w="1390" w:type="dxa"/>
          </w:tcPr>
          <w:p>
            <w:pPr>
              <w:rPr>
                <w:rFonts w:ascii="Times New Roman" w:hAnsi="Times New Roman" w:cs="Times New Roman"/>
                <w:noProof/>
                <w:sz w:val="18"/>
                <w:szCs w:val="18"/>
              </w:rPr>
            </w:pPr>
            <w:r>
              <w:rPr>
                <w:rFonts w:ascii="Times New Roman" w:hAnsi="Times New Roman"/>
                <w:noProof/>
                <w:sz w:val="18"/>
                <w:szCs w:val="18"/>
              </w:rPr>
              <w:t>Mehiläishoitovuodet 2020–2022</w:t>
            </w:r>
          </w:p>
        </w:tc>
      </w:tr>
      <w:tr>
        <w:trPr>
          <w:trHeight w:val="323"/>
        </w:trPr>
        <w:tc>
          <w:tcPr>
            <w:tcW w:w="2235" w:type="dxa"/>
          </w:tcPr>
          <w:p>
            <w:pPr>
              <w:rPr>
                <w:rFonts w:ascii="Times New Roman" w:hAnsi="Times New Roman" w:cs="Times New Roman"/>
                <w:noProof/>
                <w:sz w:val="18"/>
                <w:szCs w:val="18"/>
              </w:rPr>
            </w:pPr>
            <w:r>
              <w:rPr>
                <w:rFonts w:ascii="Times New Roman" w:hAnsi="Times New Roman"/>
                <w:noProof/>
                <w:sz w:val="18"/>
                <w:szCs w:val="18"/>
              </w:rPr>
              <w:t>euroa</w:t>
            </w:r>
          </w:p>
        </w:tc>
        <w:tc>
          <w:tcPr>
            <w:tcW w:w="1559" w:type="dxa"/>
          </w:tcPr>
          <w:p>
            <w:pPr>
              <w:rPr>
                <w:rFonts w:ascii="Times New Roman" w:hAnsi="Times New Roman" w:cs="Times New Roman"/>
                <w:noProof/>
                <w:sz w:val="18"/>
                <w:szCs w:val="18"/>
              </w:rPr>
            </w:pPr>
            <w:r>
              <w:rPr>
                <w:rFonts w:ascii="Times New Roman" w:hAnsi="Times New Roman"/>
                <w:noProof/>
                <w:sz w:val="18"/>
                <w:szCs w:val="18"/>
              </w:rPr>
              <w:t>33 100 000</w:t>
            </w:r>
          </w:p>
        </w:tc>
        <w:tc>
          <w:tcPr>
            <w:tcW w:w="1417" w:type="dxa"/>
          </w:tcPr>
          <w:p>
            <w:pPr>
              <w:rPr>
                <w:rFonts w:ascii="Times New Roman" w:hAnsi="Times New Roman" w:cs="Times New Roman"/>
                <w:noProof/>
                <w:sz w:val="18"/>
                <w:szCs w:val="18"/>
              </w:rPr>
            </w:pPr>
            <w:r>
              <w:rPr>
                <w:rFonts w:ascii="Times New Roman" w:hAnsi="Times New Roman"/>
                <w:noProof/>
                <w:sz w:val="18"/>
                <w:szCs w:val="18"/>
              </w:rPr>
              <w:t>36 000 000</w:t>
            </w:r>
          </w:p>
        </w:tc>
        <w:tc>
          <w:tcPr>
            <w:tcW w:w="1340" w:type="dxa"/>
          </w:tcPr>
          <w:p>
            <w:pPr>
              <w:rPr>
                <w:rFonts w:ascii="Times New Roman" w:hAnsi="Times New Roman" w:cs="Times New Roman"/>
                <w:noProof/>
                <w:sz w:val="18"/>
                <w:szCs w:val="18"/>
              </w:rPr>
            </w:pPr>
            <w:r>
              <w:rPr>
                <w:rFonts w:ascii="Times New Roman" w:hAnsi="Times New Roman"/>
                <w:noProof/>
                <w:sz w:val="18"/>
                <w:szCs w:val="18"/>
              </w:rPr>
              <w:t>36 000 000</w:t>
            </w:r>
          </w:p>
        </w:tc>
        <w:tc>
          <w:tcPr>
            <w:tcW w:w="1381" w:type="dxa"/>
          </w:tcPr>
          <w:p>
            <w:pPr>
              <w:rPr>
                <w:rFonts w:ascii="Times New Roman" w:hAnsi="Times New Roman" w:cs="Times New Roman"/>
                <w:noProof/>
                <w:sz w:val="18"/>
                <w:szCs w:val="18"/>
              </w:rPr>
            </w:pPr>
            <w:r>
              <w:rPr>
                <w:rFonts w:ascii="Times New Roman" w:hAnsi="Times New Roman"/>
                <w:noProof/>
                <w:sz w:val="18"/>
                <w:szCs w:val="18"/>
              </w:rPr>
              <w:t>36 000 000</w:t>
            </w:r>
          </w:p>
        </w:tc>
        <w:tc>
          <w:tcPr>
            <w:tcW w:w="1390" w:type="dxa"/>
          </w:tcPr>
          <w:p>
            <w:pPr>
              <w:rPr>
                <w:rFonts w:ascii="Times New Roman" w:hAnsi="Times New Roman" w:cs="Times New Roman"/>
                <w:noProof/>
                <w:sz w:val="18"/>
                <w:szCs w:val="18"/>
              </w:rPr>
            </w:pPr>
            <w:r>
              <w:rPr>
                <w:rFonts w:ascii="Times New Roman" w:hAnsi="Times New Roman"/>
                <w:noProof/>
                <w:sz w:val="18"/>
                <w:szCs w:val="18"/>
              </w:rPr>
              <w:t>40 000 000</w:t>
            </w:r>
          </w:p>
        </w:tc>
      </w:tr>
      <w:tr>
        <w:trPr>
          <w:trHeight w:val="161"/>
        </w:trPr>
        <w:tc>
          <w:tcPr>
            <w:tcW w:w="2235" w:type="dxa"/>
          </w:tcPr>
          <w:p>
            <w:pPr>
              <w:rPr>
                <w:rFonts w:ascii="Times New Roman" w:hAnsi="Times New Roman" w:cs="Times New Roman"/>
                <w:noProof/>
                <w:sz w:val="18"/>
                <w:szCs w:val="18"/>
              </w:rPr>
            </w:pPr>
            <w:r>
              <w:rPr>
                <w:rFonts w:ascii="Times New Roman" w:hAnsi="Times New Roman"/>
                <w:noProof/>
                <w:sz w:val="18"/>
                <w:szCs w:val="18"/>
              </w:rPr>
              <w:t>Jäsenvaltioiden käyttämän unionin rahoituksen määrä euroina</w:t>
            </w:r>
          </w:p>
        </w:tc>
        <w:tc>
          <w:tcPr>
            <w:tcW w:w="1559" w:type="dxa"/>
          </w:tcPr>
          <w:p>
            <w:pPr>
              <w:rPr>
                <w:rFonts w:ascii="Times New Roman" w:hAnsi="Times New Roman" w:cs="Times New Roman"/>
                <w:noProof/>
                <w:sz w:val="18"/>
                <w:szCs w:val="18"/>
              </w:rPr>
            </w:pPr>
            <w:r>
              <w:rPr>
                <w:rFonts w:ascii="Times New Roman" w:hAnsi="Times New Roman"/>
                <w:noProof/>
                <w:sz w:val="18"/>
                <w:szCs w:val="18"/>
              </w:rPr>
              <w:t>31 102 215</w:t>
            </w:r>
          </w:p>
          <w:p>
            <w:pPr>
              <w:rPr>
                <w:rFonts w:ascii="Times New Roman" w:hAnsi="Times New Roman" w:cs="Times New Roman"/>
                <w:noProof/>
                <w:sz w:val="18"/>
                <w:szCs w:val="18"/>
              </w:rPr>
            </w:pPr>
          </w:p>
        </w:tc>
        <w:tc>
          <w:tcPr>
            <w:tcW w:w="1417" w:type="dxa"/>
          </w:tcPr>
          <w:p>
            <w:pPr>
              <w:rPr>
                <w:rFonts w:ascii="Times New Roman" w:hAnsi="Times New Roman" w:cs="Times New Roman"/>
                <w:noProof/>
                <w:sz w:val="18"/>
                <w:szCs w:val="18"/>
              </w:rPr>
            </w:pPr>
            <w:r>
              <w:rPr>
                <w:rFonts w:ascii="Times New Roman" w:hAnsi="Times New Roman"/>
                <w:noProof/>
                <w:sz w:val="18"/>
                <w:szCs w:val="18"/>
              </w:rPr>
              <w:t>32 372 777</w:t>
            </w:r>
          </w:p>
        </w:tc>
        <w:tc>
          <w:tcPr>
            <w:tcW w:w="1340" w:type="dxa"/>
          </w:tcPr>
          <w:p>
            <w:pPr>
              <w:rPr>
                <w:rFonts w:ascii="Times New Roman" w:hAnsi="Times New Roman" w:cs="Times New Roman"/>
                <w:noProof/>
                <w:sz w:val="18"/>
                <w:szCs w:val="18"/>
              </w:rPr>
            </w:pPr>
            <w:r>
              <w:rPr>
                <w:rFonts w:ascii="Times New Roman" w:hAnsi="Times New Roman"/>
                <w:noProof/>
                <w:sz w:val="18"/>
                <w:szCs w:val="18"/>
              </w:rPr>
              <w:t>33 974 000</w:t>
            </w:r>
          </w:p>
        </w:tc>
        <w:tc>
          <w:tcPr>
            <w:tcW w:w="1381" w:type="dxa"/>
          </w:tcPr>
          <w:p>
            <w:pPr>
              <w:rPr>
                <w:rFonts w:ascii="Times New Roman" w:hAnsi="Times New Roman" w:cs="Times New Roman"/>
                <w:noProof/>
                <w:sz w:val="18"/>
                <w:szCs w:val="18"/>
              </w:rPr>
            </w:pPr>
            <w:r>
              <w:rPr>
                <w:rFonts w:ascii="Times New Roman" w:hAnsi="Times New Roman"/>
                <w:noProof/>
                <w:sz w:val="18"/>
                <w:szCs w:val="18"/>
              </w:rPr>
              <w:t>Ilmoitetaan 15.3.2020 mennessä</w:t>
            </w:r>
          </w:p>
        </w:tc>
        <w:tc>
          <w:tcPr>
            <w:tcW w:w="1390" w:type="dxa"/>
          </w:tcPr>
          <w:p>
            <w:pPr>
              <w:rPr>
                <w:rFonts w:ascii="Times New Roman" w:hAnsi="Times New Roman" w:cs="Times New Roman"/>
                <w:noProof/>
                <w:sz w:val="18"/>
                <w:szCs w:val="18"/>
              </w:rPr>
            </w:pPr>
            <w:r>
              <w:rPr>
                <w:rFonts w:ascii="Times New Roman" w:hAnsi="Times New Roman"/>
                <w:noProof/>
                <w:sz w:val="18"/>
                <w:szCs w:val="18"/>
              </w:rPr>
              <w:t>Ilmoitetaan 15.3.2021 alkaen</w:t>
            </w:r>
          </w:p>
        </w:tc>
      </w:tr>
      <w:tr>
        <w:trPr>
          <w:trHeight w:val="161"/>
        </w:trPr>
        <w:tc>
          <w:tcPr>
            <w:tcW w:w="2235" w:type="dxa"/>
          </w:tcPr>
          <w:p>
            <w:pPr>
              <w:rPr>
                <w:rFonts w:ascii="Times New Roman" w:hAnsi="Times New Roman" w:cs="Times New Roman"/>
                <w:noProof/>
                <w:sz w:val="18"/>
                <w:szCs w:val="18"/>
              </w:rPr>
            </w:pPr>
            <w:r>
              <w:rPr>
                <w:rFonts w:ascii="Times New Roman" w:hAnsi="Times New Roman"/>
                <w:noProof/>
                <w:sz w:val="18"/>
                <w:szCs w:val="18"/>
              </w:rPr>
              <w:t>Käyttöaste</w:t>
            </w:r>
          </w:p>
        </w:tc>
        <w:tc>
          <w:tcPr>
            <w:tcW w:w="1559" w:type="dxa"/>
          </w:tcPr>
          <w:p>
            <w:pPr>
              <w:rPr>
                <w:rFonts w:ascii="Times New Roman" w:hAnsi="Times New Roman" w:cs="Times New Roman"/>
                <w:noProof/>
                <w:sz w:val="18"/>
                <w:szCs w:val="18"/>
              </w:rPr>
            </w:pPr>
            <w:r>
              <w:rPr>
                <w:rFonts w:ascii="Times New Roman" w:hAnsi="Times New Roman"/>
                <w:noProof/>
                <w:sz w:val="18"/>
                <w:szCs w:val="18"/>
              </w:rPr>
              <w:t xml:space="preserve">94 % </w:t>
            </w:r>
          </w:p>
        </w:tc>
        <w:tc>
          <w:tcPr>
            <w:tcW w:w="1417" w:type="dxa"/>
          </w:tcPr>
          <w:p>
            <w:pPr>
              <w:rPr>
                <w:rFonts w:ascii="Times New Roman" w:hAnsi="Times New Roman" w:cs="Times New Roman"/>
                <w:noProof/>
                <w:sz w:val="18"/>
                <w:szCs w:val="18"/>
              </w:rPr>
            </w:pPr>
            <w:r>
              <w:rPr>
                <w:rFonts w:ascii="Times New Roman" w:hAnsi="Times New Roman"/>
                <w:noProof/>
                <w:sz w:val="18"/>
                <w:szCs w:val="18"/>
              </w:rPr>
              <w:t>90 %</w:t>
            </w:r>
          </w:p>
        </w:tc>
        <w:tc>
          <w:tcPr>
            <w:tcW w:w="1340" w:type="dxa"/>
          </w:tcPr>
          <w:p>
            <w:pPr>
              <w:rPr>
                <w:rFonts w:ascii="Times New Roman" w:hAnsi="Times New Roman" w:cs="Times New Roman"/>
                <w:noProof/>
                <w:sz w:val="18"/>
                <w:szCs w:val="18"/>
              </w:rPr>
            </w:pPr>
            <w:r>
              <w:rPr>
                <w:rFonts w:ascii="Times New Roman" w:hAnsi="Times New Roman"/>
                <w:noProof/>
                <w:sz w:val="18"/>
                <w:szCs w:val="18"/>
              </w:rPr>
              <w:t>94 %</w:t>
            </w:r>
          </w:p>
        </w:tc>
        <w:tc>
          <w:tcPr>
            <w:tcW w:w="1381" w:type="dxa"/>
          </w:tcPr>
          <w:p>
            <w:pPr>
              <w:rPr>
                <w:rFonts w:ascii="Times New Roman" w:hAnsi="Times New Roman" w:cs="Times New Roman"/>
                <w:noProof/>
                <w:sz w:val="18"/>
                <w:szCs w:val="18"/>
              </w:rPr>
            </w:pPr>
          </w:p>
        </w:tc>
        <w:tc>
          <w:tcPr>
            <w:tcW w:w="1390" w:type="dxa"/>
          </w:tcPr>
          <w:p>
            <w:pPr>
              <w:rPr>
                <w:rFonts w:ascii="Times New Roman" w:hAnsi="Times New Roman" w:cs="Times New Roman"/>
                <w:noProof/>
                <w:sz w:val="18"/>
                <w:szCs w:val="18"/>
              </w:rPr>
            </w:pPr>
          </w:p>
        </w:tc>
      </w:tr>
    </w:tbl>
    <w:p>
      <w:pPr>
        <w:pStyle w:val="Heading2"/>
        <w:rPr>
          <w:noProof/>
        </w:rPr>
      </w:pPr>
      <w:bookmarkStart w:id="11" w:name="_Toc26973399"/>
      <w:r>
        <w:rPr>
          <w:noProof/>
        </w:rPr>
        <w:t>4.4</w:t>
      </w:r>
      <w:r>
        <w:rPr>
          <w:noProof/>
        </w:rPr>
        <w:tab/>
        <w:t>Unionin tuen jakautuminen jäsenvaltioittain</w:t>
      </w:r>
      <w:bookmarkEnd w:id="11"/>
    </w:p>
    <w:p>
      <w:pPr>
        <w:spacing w:after="120"/>
        <w:jc w:val="both"/>
        <w:rPr>
          <w:rFonts w:ascii="Times New Roman" w:hAnsi="Times New Roman" w:cs="Times New Roman"/>
          <w:noProof/>
          <w:sz w:val="24"/>
          <w:szCs w:val="24"/>
        </w:rPr>
      </w:pPr>
      <w:r>
        <w:rPr>
          <w:rFonts w:ascii="Times New Roman" w:hAnsi="Times New Roman"/>
          <w:noProof/>
        </w:rPr>
        <w:t xml:space="preserve">Mehiläishoito-ohjelmiin myönnettävän unionin tuen jakamista koskevat säännöt on annettu komission delegoidun asetuksen (EU) 2015/1366 4 artiklassa. Tärkein tekijä tuen määräytymisessä on kunkin ohjelmaan osallistuvan jäsenvaltion alueella olevien mehiläispesien osuus. Tämä on yksi syy siihen, että jäsenvaltioiden on määritettävä alueellaan sijaitsevien mehiläispesien määrä ja ilmoitettava siitä komissiolle. Näitä sääntöjä on selostettu tarkemmin tämän kertomuksen kohdassa 5. </w:t>
      </w:r>
    </w:p>
    <w:p>
      <w:pPr>
        <w:spacing w:after="120"/>
        <w:jc w:val="both"/>
        <w:rPr>
          <w:rFonts w:ascii="Times New Roman" w:hAnsi="Times New Roman" w:cs="Times New Roman"/>
          <w:noProof/>
          <w:sz w:val="24"/>
          <w:szCs w:val="24"/>
          <w:highlight w:val="yellow"/>
        </w:rPr>
      </w:pPr>
      <w:r>
        <w:rPr>
          <w:rFonts w:ascii="Times New Roman" w:hAnsi="Times New Roman"/>
          <w:noProof/>
        </w:rPr>
        <w:t xml:space="preserve">Unionin rahoitusosuuden vähimmäismäärä on 25 000 euroa mehiläishoito-ohjelmaa kohden. Jäljelle jäävä unionin rahoitus jaetaan jäsenvaltioiden ilmoittamien mehiläispesien suhteellisien osuuksien mukaan. Jos jäsenvaltio kuitenkin pyytää vähemmän rahoitusta kuin mihin se olisi oikeutettu mehiläispesien suhteellisen osuutensa perusteella, jäljelle jäävä unionin rahoitus voidaan jakaa niille jäsenvaltioille, jotka ovat hakeneet rahoitusta yli oman teoreettisen osuutensa. </w:t>
      </w:r>
    </w:p>
    <w:p>
      <w:pPr>
        <w:spacing w:after="120"/>
        <w:jc w:val="both"/>
        <w:rPr>
          <w:rFonts w:ascii="Times New Roman" w:hAnsi="Times New Roman" w:cs="Times New Roman"/>
          <w:noProof/>
          <w:sz w:val="24"/>
          <w:szCs w:val="24"/>
        </w:rPr>
      </w:pPr>
      <w:r>
        <w:rPr>
          <w:rFonts w:ascii="Times New Roman" w:hAnsi="Times New Roman"/>
          <w:noProof/>
        </w:rPr>
        <w:t>Asetuksen (EU) 2015/1368 8 artiklan 2 kohdan mukaisesti mehiläishoito-ohjelmille vuosiksi 2017–2019 osoitetut unionin varat jaettiin jäsenvaltioiden vuonna 2013 ilmoittamien mehiläispesien määrien perusteella. Vuonna 2019 komissiolle ilmoitettujen, vuosia 2020–2022 koskevien mehiläishoito-ohjelmien määrärahat perustuivat vuosina 2017 ja 2018 (kahtena kalenterivuonna välittömästi ennen kansallisten mehiläishoito-ohjelmien ilmoittamisvuotta komissiolle) ilmoitettuihin mehiläispesien määriin.</w:t>
      </w:r>
    </w:p>
    <w:p>
      <w:pPr>
        <w:jc w:val="both"/>
        <w:rPr>
          <w:rFonts w:ascii="Times New Roman" w:hAnsi="Times New Roman" w:cs="Times New Roman"/>
          <w:noProof/>
          <w:sz w:val="24"/>
          <w:szCs w:val="24"/>
        </w:rPr>
      </w:pPr>
      <w:r>
        <w:rPr>
          <w:rFonts w:ascii="Times New Roman" w:hAnsi="Times New Roman"/>
          <w:i/>
          <w:noProof/>
        </w:rPr>
        <w:t>Kuva 5: Unionin tuen jakautuminen jäsenvaltioille mehiläishoitovuosina 2020–2022</w:t>
      </w:r>
    </w:p>
    <w:p>
      <w:pPr>
        <w:pStyle w:val="Heading2"/>
        <w:rPr>
          <w:noProof/>
        </w:rPr>
      </w:pPr>
      <w:bookmarkStart w:id="12" w:name="_Toc26973400"/>
      <w:r>
        <w:rPr>
          <w:noProof/>
          <w:lang w:val="en-GB" w:eastAsia="en-GB"/>
        </w:rPr>
        <w:drawing>
          <wp:inline distT="0" distB="0" distL="0" distR="0">
            <wp:extent cx="5760720" cy="3878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878505"/>
                    </a:xfrm>
                    <a:prstGeom prst="rect">
                      <a:avLst/>
                    </a:prstGeom>
                    <a:noFill/>
                    <a:ln>
                      <a:noFill/>
                    </a:ln>
                  </pic:spPr>
                </pic:pic>
              </a:graphicData>
            </a:graphic>
          </wp:inline>
        </w:drawing>
      </w:r>
      <w:r>
        <w:rPr>
          <w:noProof/>
        </w:rPr>
        <w:t>4.5</w:t>
      </w:r>
      <w:r>
        <w:rPr>
          <w:noProof/>
        </w:rPr>
        <w:tab/>
        <w:t>Menot toimenpidetyypeittäin</w:t>
      </w:r>
      <w:bookmarkEnd w:id="12"/>
    </w:p>
    <w:p>
      <w:pPr>
        <w:spacing w:after="120"/>
        <w:jc w:val="both"/>
        <w:rPr>
          <w:rFonts w:ascii="Times New Roman" w:hAnsi="Times New Roman" w:cs="Times New Roman"/>
          <w:noProof/>
          <w:sz w:val="24"/>
          <w:szCs w:val="24"/>
        </w:rPr>
      </w:pPr>
      <w:r>
        <w:rPr>
          <w:rFonts w:ascii="Times New Roman" w:hAnsi="Times New Roman"/>
          <w:noProof/>
        </w:rPr>
        <w:t>Asetuksen 2015/1368 10 artiklan mukaisesti jäsenvaltioiden on toimitettava komissiolle viimeistään kunkin vuoden 15. maaliskuuta vuotuinen täytäntöönpanokertomus edellisestä mehiläishoitovuodesta. Ensimmäiset kaksi vuotuista täytäntöönpanokertomusta, jotka koskivat mehiläishoitovuosia 2017</w:t>
      </w:r>
      <w:r>
        <w:rPr>
          <w:rStyle w:val="FootnoteReference"/>
          <w:rFonts w:ascii="Times New Roman" w:hAnsi="Times New Roman" w:cs="Times New Roman"/>
          <w:noProof/>
        </w:rPr>
        <w:footnoteReference w:id="18"/>
      </w:r>
      <w:r>
        <w:rPr>
          <w:rFonts w:ascii="Times New Roman" w:hAnsi="Times New Roman"/>
          <w:noProof/>
        </w:rPr>
        <w:t xml:space="preserve"> ja 2018</w:t>
      </w:r>
      <w:r>
        <w:rPr>
          <w:rStyle w:val="FootnoteReference"/>
          <w:rFonts w:ascii="Times New Roman" w:hAnsi="Times New Roman" w:cs="Times New Roman"/>
          <w:noProof/>
        </w:rPr>
        <w:footnoteReference w:id="19"/>
      </w:r>
      <w:r>
        <w:rPr>
          <w:rFonts w:ascii="Times New Roman" w:hAnsi="Times New Roman"/>
          <w:noProof/>
        </w:rPr>
        <w:t xml:space="preserve"> ilmoitettiin vuosina 2018 ja 2019. Menojen erittely toimenpidetyypin mukaan mehiläishoitovuonna 2018 esitetään jäljempänä olevassa kaaviossa (</w:t>
      </w:r>
      <w:r>
        <w:rPr>
          <w:rFonts w:ascii="Times New Roman" w:hAnsi="Times New Roman"/>
          <w:i/>
          <w:noProof/>
        </w:rPr>
        <w:t>kuva 6</w:t>
      </w:r>
      <w:r>
        <w:rPr>
          <w:rFonts w:ascii="Times New Roman" w:hAnsi="Times New Roman"/>
          <w:noProof/>
        </w:rPr>
        <w:t>)</w:t>
      </w:r>
      <w:r>
        <w:rPr>
          <w:rFonts w:ascii="Times New Roman" w:hAnsi="Times New Roman"/>
          <w:i/>
          <w:noProof/>
        </w:rPr>
        <w:t>.</w:t>
      </w:r>
      <w:r>
        <w:rPr>
          <w:rFonts w:ascii="Times New Roman" w:hAnsi="Times New Roman"/>
          <w:noProof/>
        </w:rPr>
        <w:t xml:space="preserve"> Jotta näitä voidaan vertailla aikaisimpiin tietoihin, tässä yhteydessä esitetään myös menojen erittely toimenpidetyypin mukaan mehiläishoitovuonna 2015 (</w:t>
      </w:r>
      <w:r>
        <w:rPr>
          <w:rFonts w:ascii="Times New Roman" w:hAnsi="Times New Roman"/>
          <w:i/>
          <w:noProof/>
        </w:rPr>
        <w:t>kuva 7</w:t>
      </w:r>
      <w:r>
        <w:rPr>
          <w:rFonts w:ascii="Times New Roman" w:hAnsi="Times New Roman"/>
          <w:noProof/>
        </w:rPr>
        <w:t xml:space="preserve">). Siitä ilmenee, että vaikka ohjelmat saivat tuolloin sisältää vain kuusi toimenpidettä, kokonaisjakauma prosentteina on edelleen sama. </w:t>
      </w:r>
      <w:r>
        <w:rPr>
          <w:rFonts w:ascii="Times New Roman" w:hAnsi="Times New Roman"/>
          <w:noProof/>
        </w:rPr>
        <w:tab/>
      </w:r>
    </w:p>
    <w:p>
      <w:pPr>
        <w:spacing w:after="120"/>
        <w:jc w:val="both"/>
        <w:rPr>
          <w:rFonts w:ascii="Times New Roman" w:hAnsi="Times New Roman" w:cs="Times New Roman"/>
          <w:noProof/>
          <w:sz w:val="24"/>
          <w:szCs w:val="24"/>
        </w:rPr>
      </w:pPr>
      <w:r>
        <w:rPr>
          <w:rFonts w:ascii="Times New Roman" w:hAnsi="Times New Roman"/>
          <w:noProof/>
        </w:rPr>
        <w:t xml:space="preserve">Kuten aiempinakin vuosina, vuonna 2018 suurimman osan, yhteensä lähes 60 prosenttia, käytettävissä olevasta rahoituksesta saavat </w:t>
      </w:r>
      <w:r>
        <w:rPr>
          <w:rFonts w:ascii="Times New Roman" w:hAnsi="Times New Roman"/>
          <w:b/>
          <w:noProof/>
        </w:rPr>
        <w:t>tekninen apu</w:t>
      </w:r>
      <w:r>
        <w:rPr>
          <w:rFonts w:ascii="Times New Roman" w:hAnsi="Times New Roman"/>
          <w:noProof/>
        </w:rPr>
        <w:t xml:space="preserve"> sekä </w:t>
      </w:r>
      <w:r>
        <w:rPr>
          <w:rFonts w:ascii="Times New Roman" w:hAnsi="Times New Roman"/>
          <w:b/>
          <w:noProof/>
        </w:rPr>
        <w:t>mehiläisiä vaivaavien tuholaisten torjunta</w:t>
      </w:r>
      <w:r>
        <w:rPr>
          <w:rFonts w:ascii="Times New Roman" w:hAnsi="Times New Roman"/>
          <w:noProof/>
        </w:rPr>
        <w:t xml:space="preserve">. Tämä kuvastaa alalla olevaa jatkuvaa tarvetta investoida mehiläishoitotarvikkeisiin, päivittää mehiläishoitokäytäntöjä tautien ja mehiläispesien tuholaisten torjumiseksi ja tarjota mehiläishoitajille koulutusta. </w:t>
      </w:r>
    </w:p>
    <w:p>
      <w:pPr>
        <w:spacing w:after="120"/>
        <w:jc w:val="both"/>
        <w:rPr>
          <w:rFonts w:ascii="Times New Roman" w:hAnsi="Times New Roman" w:cs="Times New Roman"/>
          <w:noProof/>
          <w:sz w:val="24"/>
          <w:szCs w:val="24"/>
        </w:rPr>
      </w:pPr>
      <w:r>
        <w:rPr>
          <w:rFonts w:ascii="Times New Roman" w:hAnsi="Times New Roman"/>
          <w:noProof/>
        </w:rPr>
        <w:t xml:space="preserve">Edellisvuosien tapaan </w:t>
      </w:r>
      <w:r>
        <w:rPr>
          <w:rFonts w:ascii="Times New Roman" w:hAnsi="Times New Roman"/>
          <w:b/>
          <w:noProof/>
        </w:rPr>
        <w:t>mehiläiskantojen lisääminen</w:t>
      </w:r>
      <w:r>
        <w:rPr>
          <w:rFonts w:ascii="Times New Roman" w:hAnsi="Times New Roman"/>
          <w:noProof/>
        </w:rPr>
        <w:t xml:space="preserve"> ja </w:t>
      </w:r>
      <w:r>
        <w:rPr>
          <w:rFonts w:ascii="Times New Roman" w:hAnsi="Times New Roman"/>
          <w:b/>
          <w:noProof/>
        </w:rPr>
        <w:t>siirtohoidon järkeistäminen</w:t>
      </w:r>
      <w:r>
        <w:rPr>
          <w:rFonts w:ascii="Times New Roman" w:hAnsi="Times New Roman"/>
          <w:noProof/>
        </w:rPr>
        <w:t xml:space="preserve"> olivat kolmanneksi ja neljänneksi suosituimmat toimenpiteet ja saivat yhteensä yli 30 prosenttia rahoituksesta. Useissa jäsenvaltioissa siirtohoito on tärkeä mehiläishoitokäytäntö, jota tarvitaan mehiläisten ravinnontarpeen kattamiseen koko mehiläishoitokauden ajan ja pölytyspalveluiden tarjoamiseen. </w:t>
      </w:r>
    </w:p>
    <w:p>
      <w:pPr>
        <w:spacing w:after="120"/>
        <w:jc w:val="both"/>
        <w:rPr>
          <w:rFonts w:ascii="Times New Roman" w:hAnsi="Times New Roman" w:cs="Times New Roman"/>
          <w:noProof/>
          <w:sz w:val="24"/>
          <w:szCs w:val="24"/>
        </w:rPr>
      </w:pPr>
      <w:r>
        <w:rPr>
          <w:rFonts w:ascii="Times New Roman" w:hAnsi="Times New Roman"/>
          <w:b/>
          <w:noProof/>
        </w:rPr>
        <w:t>Soveltava tutkimus</w:t>
      </w:r>
      <w:r>
        <w:rPr>
          <w:rFonts w:ascii="Times New Roman" w:hAnsi="Times New Roman"/>
          <w:noProof/>
        </w:rPr>
        <w:t xml:space="preserve"> ja </w:t>
      </w:r>
      <w:r>
        <w:rPr>
          <w:rFonts w:ascii="Times New Roman" w:hAnsi="Times New Roman"/>
          <w:b/>
          <w:noProof/>
        </w:rPr>
        <w:t>hunajasta tehtävät analyysit</w:t>
      </w:r>
      <w:r>
        <w:rPr>
          <w:rFonts w:ascii="Times New Roman" w:hAnsi="Times New Roman"/>
          <w:noProof/>
        </w:rPr>
        <w:t xml:space="preserve"> olivat edelleen viidennellä ja kuudennella sijalla ja ne saivat 3,48 ja 2,45 prosenttia käytettävissä olleesta rahoituksesta vuonna 2018.</w:t>
      </w:r>
    </w:p>
    <w:p>
      <w:pPr>
        <w:spacing w:after="120"/>
        <w:jc w:val="both"/>
        <w:rPr>
          <w:rFonts w:ascii="Times New Roman" w:hAnsi="Times New Roman" w:cs="Times New Roman"/>
          <w:noProof/>
          <w:sz w:val="24"/>
          <w:szCs w:val="24"/>
        </w:rPr>
      </w:pPr>
      <w:r>
        <w:rPr>
          <w:rFonts w:ascii="Times New Roman" w:hAnsi="Times New Roman"/>
          <w:noProof/>
        </w:rPr>
        <w:t xml:space="preserve">Kaksi uutta toimenpidettä, </w:t>
      </w:r>
      <w:r>
        <w:rPr>
          <w:rFonts w:ascii="Times New Roman" w:hAnsi="Times New Roman"/>
          <w:b/>
          <w:noProof/>
        </w:rPr>
        <w:t xml:space="preserve">tuotteiden laadun parantaminen </w:t>
      </w:r>
      <w:r>
        <w:rPr>
          <w:rFonts w:ascii="Times New Roman" w:hAnsi="Times New Roman"/>
          <w:noProof/>
        </w:rPr>
        <w:t xml:space="preserve">(0,69 prosenttia kokonaismenoista) ja </w:t>
      </w:r>
      <w:r>
        <w:rPr>
          <w:rFonts w:ascii="Times New Roman" w:hAnsi="Times New Roman"/>
          <w:b/>
          <w:noProof/>
        </w:rPr>
        <w:t>markkinoiden seuranta</w:t>
      </w:r>
      <w:r>
        <w:rPr>
          <w:rFonts w:ascii="Times New Roman" w:hAnsi="Times New Roman"/>
          <w:noProof/>
        </w:rPr>
        <w:t xml:space="preserve">, saivat yhteensä alle 1 prosenttia rahoituksesta. </w:t>
      </w:r>
    </w:p>
    <w:p>
      <w:pPr>
        <w:rPr>
          <w:rFonts w:ascii="Times New Roman" w:hAnsi="Times New Roman" w:cs="Times New Roman"/>
          <w:i/>
          <w:noProof/>
          <w:sz w:val="8"/>
          <w:szCs w:val="24"/>
        </w:rPr>
      </w:pPr>
      <w:r>
        <w:rPr>
          <w:rFonts w:ascii="Times New Roman" w:hAnsi="Times New Roman"/>
          <w:i/>
          <w:noProof/>
        </w:rPr>
        <w:t>Kuva 6: Toimenpidekohtaisten menojen osuus (%) mehiläishoitovuonna 2018</w:t>
      </w:r>
      <w:r>
        <w:rPr>
          <w:rFonts w:ascii="Times New Roman" w:hAnsi="Times New Roman"/>
          <w:i/>
          <w:noProof/>
        </w:rPr>
        <w:br/>
      </w:r>
    </w:p>
    <w:p>
      <w:pPr>
        <w:spacing w:before="600"/>
        <w:jc w:val="both"/>
        <w:rPr>
          <w:rFonts w:ascii="Times New Roman" w:hAnsi="Times New Roman" w:cs="Times New Roman"/>
          <w:i/>
          <w:noProof/>
          <w:sz w:val="24"/>
          <w:szCs w:val="24"/>
        </w:rPr>
      </w:pPr>
      <w:r>
        <w:rPr>
          <w:noProof/>
          <w:lang w:val="en-GB" w:eastAsia="en-GB"/>
        </w:rPr>
        <w:drawing>
          <wp:inline distT="0" distB="0" distL="0" distR="0">
            <wp:extent cx="5760720" cy="31041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104124"/>
                    </a:xfrm>
                    <a:prstGeom prst="rect">
                      <a:avLst/>
                    </a:prstGeom>
                    <a:noFill/>
                    <a:ln>
                      <a:noFill/>
                    </a:ln>
                  </pic:spPr>
                </pic:pic>
              </a:graphicData>
            </a:graphic>
          </wp:inline>
        </w:drawing>
      </w:r>
      <w:r>
        <w:rPr>
          <w:rFonts w:ascii="Times New Roman" w:hAnsi="Times New Roman"/>
          <w:i/>
          <w:noProof/>
        </w:rPr>
        <w:t>Kuva 7: Toimenpidekohtaisten menojen osuus (%) mehiläishoitovuonna 2015</w:t>
      </w:r>
    </w:p>
    <w:p>
      <w:pPr>
        <w:pStyle w:val="Heading1"/>
        <w:rPr>
          <w:noProof/>
        </w:rPr>
      </w:pPr>
      <w:bookmarkStart w:id="13" w:name="_Toc26973401"/>
      <w:r>
        <w:rPr>
          <w:noProof/>
          <w:lang w:val="en-GB" w:eastAsia="en-GB"/>
        </w:rPr>
        <w:drawing>
          <wp:inline distT="0" distB="0" distL="0" distR="0">
            <wp:extent cx="5760720" cy="31993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199342"/>
                    </a:xfrm>
                    <a:prstGeom prst="rect">
                      <a:avLst/>
                    </a:prstGeom>
                    <a:noFill/>
                    <a:ln>
                      <a:noFill/>
                    </a:ln>
                  </pic:spPr>
                </pic:pic>
              </a:graphicData>
            </a:graphic>
          </wp:inline>
        </w:drawing>
      </w:r>
      <w:r>
        <w:rPr>
          <w:noProof/>
        </w:rPr>
        <w:t>5.</w:t>
      </w:r>
      <w:r>
        <w:rPr>
          <w:noProof/>
        </w:rPr>
        <w:tab/>
        <w:t>MENETELMÄT MEHILÄISPESIEN LUKUMÄÄRÄN MÄÄRITTÄMISEKSI</w:t>
      </w:r>
      <w:bookmarkEnd w:id="13"/>
      <w:r>
        <w:rPr>
          <w:noProof/>
        </w:rPr>
        <w:t xml:space="preserve"> </w:t>
      </w:r>
    </w:p>
    <w:p>
      <w:pPr>
        <w:spacing w:after="120"/>
        <w:jc w:val="both"/>
        <w:rPr>
          <w:rFonts w:ascii="Times New Roman" w:hAnsi="Times New Roman" w:cs="Times New Roman"/>
          <w:noProof/>
          <w:sz w:val="24"/>
          <w:szCs w:val="24"/>
        </w:rPr>
      </w:pPr>
      <w:r>
        <w:rPr>
          <w:rFonts w:ascii="Times New Roman" w:hAnsi="Times New Roman"/>
          <w:noProof/>
        </w:rPr>
        <w:t>Kuten tämän kertomuksen kohdassa 4.2 on kuvattu, muutoksilla pyrittiin järkevöittämään EU:n rahoituksen jakamista parantamalla menetelmiä, joilla jäsenvaltiot määrittävät alueillaan sijaitsevien mehiläispesien määrän. YMJ-asetuksen 56 artiklan 1 kohdan b alakohdan mukaisen säädösvallan siirron nojalla komissio antoi delegoidun säädöksen jäsenvaltioiden mehiläishoito-ohjelmiin myönnettävän EU:n tuen jakoperusteista, jotka perustuvat mehiläispesien lukumääriin</w:t>
      </w:r>
      <w:r>
        <w:rPr>
          <w:rStyle w:val="FootnoteReference"/>
          <w:rFonts w:ascii="Times New Roman" w:hAnsi="Times New Roman" w:cs="Times New Roman"/>
          <w:noProof/>
        </w:rPr>
        <w:footnoteReference w:id="20"/>
      </w:r>
      <w:r>
        <w:rPr>
          <w:rFonts w:ascii="Times New Roman" w:hAnsi="Times New Roman"/>
          <w:noProof/>
        </w:rPr>
        <w:t>. Kyseisessä delegoidussa säädöksessä mehiläispesällä tarkoitetaan ”</w:t>
      </w:r>
      <w:r>
        <w:rPr>
          <w:rFonts w:ascii="Times New Roman" w:hAnsi="Times New Roman"/>
          <w:i/>
          <w:noProof/>
        </w:rPr>
        <w:t>sellaisen mehiläisyhdyskunnan sisältävää yksikköä, jota käytetään hunajan, muiden mehiläistuotteiden tai mehiläisten jalostusmateriaalin tuotantoon, sekä kaikkia yhdyskunnan selviytymisen kannalta olennaisia elementtejä</w:t>
      </w:r>
      <w:r>
        <w:rPr>
          <w:rFonts w:ascii="Times New Roman" w:hAnsi="Times New Roman"/>
          <w:noProof/>
        </w:rPr>
        <w:t>”.</w:t>
      </w:r>
      <w:r>
        <w:rPr>
          <w:rFonts w:ascii="Times New Roman" w:hAnsi="Times New Roman"/>
          <w:i/>
          <w:noProof/>
        </w:rPr>
        <w:t xml:space="preserve"> </w:t>
      </w:r>
      <w:r>
        <w:rPr>
          <w:rFonts w:ascii="Times New Roman" w:hAnsi="Times New Roman"/>
          <w:noProof/>
        </w:rPr>
        <w:t xml:space="preserve">Lisäksi säädöksellä velvoitettiin kansallisen mehiläishoito-ohjelman esittävät jäsenvaltiot käyttämään luotettavaa menetelmää määrittämään vuosittain syyskuun 1. ja joulukuun 31. päivän välisenä aikana alueellaan olevien talvehtimaan valmiiden mehiläispesien lukumäärä. </w:t>
      </w:r>
    </w:p>
    <w:p>
      <w:pPr>
        <w:spacing w:after="120"/>
        <w:jc w:val="both"/>
        <w:rPr>
          <w:rFonts w:ascii="Times New Roman" w:hAnsi="Times New Roman" w:cs="Times New Roman"/>
          <w:noProof/>
          <w:sz w:val="24"/>
          <w:szCs w:val="24"/>
        </w:rPr>
      </w:pPr>
      <w:r>
        <w:rPr>
          <w:rFonts w:ascii="Times New Roman" w:hAnsi="Times New Roman"/>
          <w:noProof/>
        </w:rPr>
        <w:t>Koska edellä kuvattuja seikkoja koskevia yhdenmukaistettuja sääntöjä ei ollut ennen delegoidun säädöksen soveltamista, ennen sen soveltamista vuonna 2017 ilmoitettuja mehiläispesien lukumääriä ei tulisi verrata suoraan maaliskuusta 2017 alkaen ilmoitettujen mehiläispesien lukumääriin.  Aiempi pitkäaikainen suuntaus osoittaa kuitenkin, että mehiläispesien määrä Euroopan unionissa on kasvanut viime vuosikymmenen aikana. Tämä myönteinen kehitys on nähtävissä lähes kaikissa jäsenvaltioissa.</w:t>
      </w:r>
    </w:p>
    <w:p>
      <w:pPr>
        <w:rPr>
          <w:rFonts w:ascii="Times New Roman" w:hAnsi="Times New Roman" w:cs="Times New Roman"/>
          <w:noProof/>
          <w:sz w:val="20"/>
          <w:szCs w:val="20"/>
        </w:rPr>
      </w:pPr>
      <w:r>
        <w:rPr>
          <w:noProof/>
          <w:lang w:val="en-GB" w:eastAsia="en-GB"/>
        </w:rPr>
        <w:drawing>
          <wp:anchor distT="0" distB="0" distL="114300" distR="114300" simplePos="0" relativeHeight="251660800" behindDoc="0" locked="0" layoutInCell="1" allowOverlap="1">
            <wp:simplePos x="0" y="0"/>
            <wp:positionH relativeFrom="column">
              <wp:posOffset>-156551</wp:posOffset>
            </wp:positionH>
            <wp:positionV relativeFrom="paragraph">
              <wp:posOffset>242428</wp:posOffset>
            </wp:positionV>
            <wp:extent cx="5970905" cy="3908425"/>
            <wp:effectExtent l="0" t="0" r="0" b="0"/>
            <wp:wrapThrough wrapText="bothSides">
              <wp:wrapPolygon edited="0">
                <wp:start x="0" y="0"/>
                <wp:lineTo x="0" y="21477"/>
                <wp:lineTo x="21501" y="21477"/>
                <wp:lineTo x="2150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7220" t="11371" r="57319" b="6106"/>
                    <a:stretch/>
                  </pic:blipFill>
                  <pic:spPr bwMode="auto">
                    <a:xfrm>
                      <a:off x="0" y="0"/>
                      <a:ext cx="5970905" cy="390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i/>
          <w:noProof/>
        </w:rPr>
        <w:t xml:space="preserve">Kuva 8: Mehiläispesien määrän kehitys EU:ssa tuhansina </w:t>
      </w:r>
    </w:p>
    <w:p>
      <w:pPr>
        <w:rPr>
          <w:rFonts w:ascii="Times New Roman" w:hAnsi="Times New Roman" w:cs="Times New Roman"/>
          <w:noProof/>
          <w:sz w:val="24"/>
          <w:szCs w:val="24"/>
        </w:rPr>
      </w:pPr>
      <w:r>
        <w:rPr>
          <w:rFonts w:ascii="Times New Roman" w:hAnsi="Times New Roman"/>
          <w:noProof/>
        </w:rPr>
        <w:t xml:space="preserve">Komission täytäntöönpanoasetuksen (EU) 2015/1368 mukaan jäsenvaltioiden on toimitettava kansallisen mehiläishoito-ohjelmansa mukana kuvaus alueellaan sijaitsevien mehiläispesien lukumäärän määrittämiseen käytettävästä menetelmästä. </w:t>
      </w:r>
    </w:p>
    <w:p>
      <w:pPr>
        <w:spacing w:after="120"/>
        <w:jc w:val="both"/>
        <w:rPr>
          <w:rFonts w:ascii="Times New Roman" w:hAnsi="Times New Roman" w:cs="Times New Roman"/>
          <w:noProof/>
          <w:sz w:val="24"/>
          <w:szCs w:val="24"/>
        </w:rPr>
      </w:pPr>
      <w:r>
        <w:rPr>
          <w:rFonts w:ascii="Times New Roman" w:hAnsi="Times New Roman"/>
          <w:noProof/>
        </w:rPr>
        <w:t xml:space="preserve">Pakollisia menetelmiä mehiläispesien laskennassa käyttää yhteensä 17 jäsenvaltiota. Näihin kuuluvat ne jäsenvaltiot, joissa on eniten mehiläispesiä, kuten Espanja, Romania, Italia, Ranska ja Kreikka. Pakollisiin menetelmiin voi kuulua mehiläishoitajien ja/tai mehiläispesien pakollinen rekisteröinti erityiseen rekisteriin, joka on perustettu tätä tarkoitusta varten, tai muista pakollisista rekistereistä, kuten eläinlääkintäalan tietojärjestelmistä, saatavien tietojen käyttö. </w:t>
      </w:r>
    </w:p>
    <w:p>
      <w:pPr>
        <w:spacing w:after="120"/>
        <w:jc w:val="both"/>
        <w:rPr>
          <w:rFonts w:ascii="Times New Roman" w:hAnsi="Times New Roman" w:cs="Times New Roman"/>
          <w:noProof/>
          <w:sz w:val="24"/>
          <w:szCs w:val="24"/>
        </w:rPr>
      </w:pPr>
      <w:r>
        <w:rPr>
          <w:rFonts w:ascii="Times New Roman" w:hAnsi="Times New Roman"/>
          <w:noProof/>
        </w:rPr>
        <w:t xml:space="preserve">Kaikkiaan 11 jäsenvaltiota käyttää sen sijaan muita menetelmiä kuin pakollista rekisteröintiä. Näihin kuuluu jäsenvaltioita, joissa mehiläispesiä on vähemmän, kuten Ruotsi, Tanska, Irlanti ja Viro. Nämä jäsenvaltiot voivat tukeutua mehiläishoitoyhdistyksiltä, tutkimuksista ja laskennoista tai näiden menetelmien yhdistelmästä saataviin tietoihin. </w:t>
      </w:r>
    </w:p>
    <w:p>
      <w:pPr>
        <w:spacing w:after="120"/>
        <w:jc w:val="both"/>
        <w:rPr>
          <w:rFonts w:ascii="Times New Roman" w:hAnsi="Times New Roman" w:cs="Times New Roman"/>
          <w:noProof/>
          <w:sz w:val="24"/>
          <w:szCs w:val="24"/>
        </w:rPr>
      </w:pPr>
      <w:r>
        <w:rPr>
          <w:rFonts w:ascii="Times New Roman" w:hAnsi="Times New Roman"/>
          <w:noProof/>
        </w:rPr>
        <w:t xml:space="preserve">Yleisesti ottaen mehiläispesien rekisteröintipakon katsotaan olevan vakaampi menetelmä, mutta siitä aiheutuu hallinnollinen rasitus mehiläishoitajille ja jäsenvaltioille. Kansallinen lainsäädäntö velvoittaa mehiläishoitajat rekisteröimään toimintansa ja ilmoittamaan mehiläispesiensä määrän virastolle. </w:t>
      </w:r>
    </w:p>
    <w:p>
      <w:pPr>
        <w:spacing w:after="120"/>
        <w:jc w:val="both"/>
        <w:rPr>
          <w:rFonts w:ascii="Times New Roman" w:hAnsi="Times New Roman" w:cs="Times New Roman"/>
          <w:noProof/>
          <w:sz w:val="24"/>
          <w:szCs w:val="24"/>
        </w:rPr>
      </w:pPr>
      <w:r>
        <w:rPr>
          <w:rFonts w:ascii="Times New Roman" w:hAnsi="Times New Roman"/>
          <w:noProof/>
        </w:rPr>
        <w:t>Mehiläispesien määrän arvioimiseen käytettävien muiden menetelmien luotettavuus riippuu mehiläishoitoyhdistysten pitämien tietokantojen laadusta ja niiden mehiläishoitajien otannan edustavuudesta, jotka on valittu ilmoittamaan mehiläispesiensä lukumäärä.</w:t>
      </w:r>
    </w:p>
    <w:p>
      <w:pPr>
        <w:pStyle w:val="Heading1"/>
        <w:rPr>
          <w:rStyle w:val="Heading1Char"/>
          <w:b/>
          <w:noProof/>
          <w:sz w:val="24"/>
        </w:rPr>
      </w:pPr>
      <w:bookmarkStart w:id="14" w:name="_Toc26973402"/>
      <w:r>
        <w:rPr>
          <w:noProof/>
        </w:rPr>
        <w:t>6.</w:t>
      </w:r>
      <w:r>
        <w:rPr>
          <w:noProof/>
        </w:rPr>
        <w:tab/>
        <w:t xml:space="preserve">MEHILÄISHOITO YHTEISESSÄ MAATALOUSPOLITIIKASSA </w:t>
      </w:r>
      <w:r>
        <w:rPr>
          <w:bCs w:val="0"/>
          <w:noProof/>
        </w:rPr>
        <w:t>VUODEN 2020 JÄLKEEN</w:t>
      </w:r>
      <w:bookmarkEnd w:id="14"/>
      <w:r>
        <w:rPr>
          <w:rStyle w:val="Heading1Char"/>
          <w:b/>
          <w:noProof/>
        </w:rPr>
        <w:t xml:space="preserve"> </w:t>
      </w:r>
    </w:p>
    <w:p>
      <w:pPr>
        <w:spacing w:after="120"/>
        <w:jc w:val="both"/>
        <w:rPr>
          <w:rFonts w:ascii="Times New Roman" w:hAnsi="Times New Roman" w:cs="Times New Roman"/>
          <w:noProof/>
          <w:sz w:val="24"/>
        </w:rPr>
      </w:pPr>
      <w:r>
        <w:rPr>
          <w:rFonts w:ascii="Times New Roman" w:hAnsi="Times New Roman"/>
          <w:noProof/>
        </w:rPr>
        <w:t>YMP:n linjauksia vuoden 2020 jälkeiselle ajalle koskevassa ehdotuksessaan</w:t>
      </w:r>
      <w:r>
        <w:rPr>
          <w:rStyle w:val="FootnoteReference"/>
          <w:rFonts w:ascii="Times New Roman" w:hAnsi="Times New Roman" w:cs="Times New Roman"/>
          <w:noProof/>
        </w:rPr>
        <w:footnoteReference w:id="21"/>
      </w:r>
      <w:r>
        <w:rPr>
          <w:rFonts w:ascii="Times New Roman" w:hAnsi="Times New Roman"/>
          <w:noProof/>
        </w:rPr>
        <w:t xml:space="preserve"> komissio ehdottaa mehiläishoito-ohjelmien siirtämistä YMJ-asetuksesta YMP:n strategiasuunnitelma-asetukseen</w:t>
      </w:r>
      <w:r>
        <w:rPr>
          <w:rStyle w:val="FootnoteReference"/>
          <w:rFonts w:ascii="Times New Roman" w:hAnsi="Times New Roman" w:cs="Times New Roman"/>
          <w:noProof/>
        </w:rPr>
        <w:footnoteReference w:id="22"/>
      </w:r>
      <w:r>
        <w:rPr>
          <w:rFonts w:ascii="Times New Roman" w:hAnsi="Times New Roman"/>
          <w:noProof/>
        </w:rPr>
        <w:t>. Näin lisätään mehiläishoitoalan näkyvyyttä ja varmistetaan, että sen panos yhteisen maatalouspolitiikan yleisten tavoitteiden saavuttamiseen otetaan huomioon.</w:t>
      </w:r>
    </w:p>
    <w:p>
      <w:pPr>
        <w:spacing w:after="120"/>
        <w:jc w:val="both"/>
        <w:rPr>
          <w:rFonts w:ascii="Times New Roman" w:hAnsi="Times New Roman" w:cs="Times New Roman"/>
          <w:noProof/>
          <w:sz w:val="24"/>
        </w:rPr>
      </w:pPr>
      <w:r>
        <w:rPr>
          <w:rFonts w:ascii="Times New Roman" w:hAnsi="Times New Roman"/>
          <w:noProof/>
        </w:rPr>
        <w:t>Ehdotukseen sisältyy myös mehiläishoito-ohjelmien rahoituksen korottaminen 60 miljoonaan euroon vuodessa. Tämä tarkoittaa, että tulevan YMP:n seitsenvuotiskauden aikana alan käytettävissä oleva rahoitus on yhteensä 840 miljoonaa euroa, johon on laskettu unionin rahoitus ja jäsenvaltioiden maksuosuudet. Toinen ehdotukseen sisältyvä muutos on, että jäsenvaltioiden mehiläishoito-ohjelmien vuotuisesta rahoituksesta säädetään perussäädöksessä</w:t>
      </w:r>
      <w:r>
        <w:rPr>
          <w:rStyle w:val="FootnoteReference"/>
          <w:rFonts w:ascii="Times New Roman" w:hAnsi="Times New Roman" w:cs="Times New Roman"/>
          <w:noProof/>
        </w:rPr>
        <w:footnoteReference w:id="23"/>
      </w:r>
      <w:r>
        <w:rPr>
          <w:rFonts w:ascii="Times New Roman" w:hAnsi="Times New Roman"/>
          <w:noProof/>
        </w:rPr>
        <w:t xml:space="preserve">. </w:t>
      </w:r>
    </w:p>
    <w:p>
      <w:pPr>
        <w:spacing w:after="120"/>
        <w:jc w:val="both"/>
        <w:rPr>
          <w:rFonts w:ascii="Times New Roman" w:hAnsi="Times New Roman" w:cs="Times New Roman"/>
          <w:noProof/>
          <w:sz w:val="24"/>
        </w:rPr>
      </w:pPr>
      <w:r>
        <w:rPr>
          <w:rFonts w:ascii="Times New Roman" w:hAnsi="Times New Roman"/>
          <w:noProof/>
        </w:rPr>
        <w:t xml:space="preserve">On edelleen tarpeen tietää jäsenvaltioiden mehiläispesien määrä, jotta voidaan seurata suuntausta, arvioida tukitoimenpiteiden vaikutusta mehiläishoitoalaan ja pitää Euroopan kansalaiset ajan tasalla. Sen vuoksi komission ehdotuksessa velvoitetaan edelleen jäsenvaltiot laskemaan mehiläispesiensä lukumäärä ja ilmoittamaan tulokset komissiolle.  </w:t>
      </w:r>
    </w:p>
    <w:p>
      <w:pPr>
        <w:spacing w:after="120"/>
        <w:jc w:val="both"/>
        <w:rPr>
          <w:rFonts w:ascii="Calibri" w:hAnsi="Calibri"/>
          <w:noProof/>
          <w:color w:val="1F497D"/>
        </w:rPr>
      </w:pPr>
      <w:r>
        <w:rPr>
          <w:rFonts w:ascii="Times New Roman" w:hAnsi="Times New Roman"/>
          <w:noProof/>
        </w:rPr>
        <w:t>Vaikka mehiläishoito-ohjelmat olivat YMJ-asetuksessa vapaaehtoisia, komissio ehdottaa, että niistä tehdään pakollisia jäsenvaltioiden YMP:n strategiasuunnitelmissa.</w:t>
      </w:r>
    </w:p>
    <w:p>
      <w:pPr>
        <w:pStyle w:val="Heading1"/>
        <w:rPr>
          <w:rStyle w:val="Heading1Char"/>
          <w:b/>
          <w:bCs/>
          <w:noProof/>
        </w:rPr>
      </w:pPr>
      <w:bookmarkStart w:id="15" w:name="_Toc26973403"/>
      <w:r>
        <w:rPr>
          <w:rStyle w:val="Heading1Char"/>
          <w:b/>
          <w:bCs/>
          <w:noProof/>
        </w:rPr>
        <w:t>7.</w:t>
      </w:r>
      <w:r>
        <w:rPr>
          <w:rStyle w:val="Heading1Char"/>
          <w:b/>
          <w:bCs/>
          <w:noProof/>
        </w:rPr>
        <w:tab/>
        <w:t>PÄÄTELMÄT</w:t>
      </w:r>
      <w:bookmarkEnd w:id="15"/>
    </w:p>
    <w:p>
      <w:pPr>
        <w:spacing w:after="120"/>
        <w:jc w:val="both"/>
        <w:rPr>
          <w:rFonts w:ascii="Times New Roman" w:hAnsi="Times New Roman" w:cs="Times New Roman"/>
          <w:noProof/>
          <w:sz w:val="24"/>
        </w:rPr>
      </w:pPr>
      <w:r>
        <w:rPr>
          <w:rFonts w:ascii="Times New Roman" w:hAnsi="Times New Roman"/>
          <w:noProof/>
        </w:rPr>
        <w:t>Vaikka mehiläishoito-ohjelmat ovat olleet vapaaehtoisia YMJ-asetuksen nojalla, kaikki jäsenvaltiot jatkavat yhteistyössä alan kanssa kehitettyjen ohjelmien käyttöönottoa. Ohjelmat vaihtelevat jäsenvaltioittain ja kunkin jäsenvaltion tarpeiden mukaan, mutta eniten tukea saavat toimenpiteet – tekninen apu ja mehiläisiä vaivaavien tuholaisten torjunta – ovat pysyneet samoina edellisen, vuonna 2016 annetun kertomuksen jälkeen.</w:t>
      </w:r>
    </w:p>
    <w:p>
      <w:pPr>
        <w:spacing w:after="120"/>
        <w:jc w:val="both"/>
        <w:rPr>
          <w:rFonts w:ascii="Times New Roman" w:hAnsi="Times New Roman" w:cs="Times New Roman"/>
          <w:noProof/>
          <w:sz w:val="24"/>
          <w:szCs w:val="24"/>
        </w:rPr>
      </w:pPr>
      <w:r>
        <w:rPr>
          <w:rFonts w:ascii="Times New Roman" w:hAnsi="Times New Roman"/>
          <w:noProof/>
        </w:rPr>
        <w:t>Alalle myönnettävä rahoitus on jatkanut kasvua kahdella edellisellä ohjelmakaudella, ja rahoituksen käyttöaste on edelleen korkea. Tämä osoittaa, että valitut toimenpiteet ovat olleet tarkoituksenmukaisia.</w:t>
      </w:r>
    </w:p>
    <w:p>
      <w:pPr>
        <w:spacing w:after="120"/>
        <w:jc w:val="both"/>
        <w:rPr>
          <w:noProof/>
        </w:rPr>
      </w:pPr>
      <w:r>
        <w:rPr>
          <w:rFonts w:ascii="Times New Roman" w:hAnsi="Times New Roman"/>
          <w:noProof/>
        </w:rPr>
        <w:t>Yksi tukitoimenpiteen vaikutusta kuvaavista indikaattoreista on mehiläispesien määrä, ja se kasvaa edelleen.  Mitä tulee alan yleiseen kannattavuuteen, EU:n keskimääräiset hinnat eivät ole nousseet, kun taas tuotantokustannukset kasvavat ja tuontihinnat laskevat. Tämä asettaa alalle haasteita ja osoittaa, että tukea tarvitaan jatkossakin, kun otetaan huomioon myös mehiläisten tärkeä rooli ympäristön ja maatalouden kannalta.</w:t>
      </w:r>
    </w:p>
    <w:sectPr>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86299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t>2</w:t>
        </w:r>
        <w:r>
          <w:fldChar w:fldCharType="end"/>
        </w:r>
      </w:p>
    </w:sdtContent>
  </w:sdt>
  <w:p>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0756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74843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w:t>
        </w:r>
        <w: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60"/>
        <w:rPr>
          <w:szCs w:val="24"/>
        </w:rPr>
      </w:pPr>
      <w:r>
        <w:rPr>
          <w:rStyle w:val="FootnoteReference"/>
        </w:rPr>
        <w:footnoteRef/>
      </w:r>
      <w:r>
        <w:tab/>
        <w:t>Euroopan parlamentin ja neuvoston asetus (EU) N:o 1308/2013 maataloustuotteiden yhteisestä markkinajärjestelystä, EUVL L 347, 20.12.2013, s. 671.</w:t>
      </w:r>
    </w:p>
  </w:footnote>
  <w:footnote w:id="2">
    <w:p>
      <w:pPr>
        <w:pStyle w:val="FootnoteText"/>
        <w:spacing w:after="60"/>
      </w:pPr>
      <w:r>
        <w:rPr>
          <w:rStyle w:val="FootnoteReference"/>
        </w:rPr>
        <w:footnoteRef/>
      </w:r>
      <w:r>
        <w:tab/>
        <w:t>Neuvoston asetus (EY) N:o 1221/97, annettu 25 päivänä kesäkuuta 1997, hunajan tuotannon ja kaupan pitämisen kehittämiseksi yhteisössä tarkoitettujen toimien soveltamista koskevista yleisistä säännöistä, EYVL L 173, 1.7.1997, s. 1.</w:t>
      </w:r>
    </w:p>
  </w:footnote>
  <w:footnote w:id="3">
    <w:p>
      <w:pPr>
        <w:spacing w:after="60" w:line="240" w:lineRule="auto"/>
        <w:rPr>
          <w:rFonts w:ascii="Times New Roman" w:eastAsia="Times New Roman" w:hAnsi="Times New Roman" w:cs="Times New Roman"/>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szCs w:val="20"/>
        </w:rPr>
        <w:t xml:space="preserve">Komission delegoitu asetus (EU) 2015/1366, annettu 11 päivänä toukokuuta 2015, Euroopan parlamentin ja neuvoston asetuksen (EU) N:o 1308/2013 täydentämisestä mehiläishoitoalan tuen osalta, </w:t>
      </w:r>
      <w:r>
        <w:rPr>
          <w:rFonts w:ascii="Times New Roman" w:hAnsi="Times New Roman"/>
          <w:i/>
          <w:iCs/>
          <w:sz w:val="20"/>
          <w:szCs w:val="20"/>
        </w:rPr>
        <w:t>EUVL L 211, 8.8.2015, s. 3–6.</w:t>
      </w:r>
    </w:p>
  </w:footnote>
  <w:footnote w:id="4">
    <w:p>
      <w:pPr>
        <w:pStyle w:val="FootnoteText"/>
        <w:spacing w:after="60"/>
        <w:ind w:left="0" w:firstLine="0"/>
      </w:pPr>
      <w:r>
        <w:rPr>
          <w:rStyle w:val="FootnoteReference"/>
        </w:rPr>
        <w:footnoteRef/>
      </w:r>
      <w:r>
        <w:t xml:space="preserve"> Komission täytäntöönpanoasetus (EU) 2015/1368, annettu 6 päivänä elokuuta 2015, Euroopan parlamentin ja neuvoston asetuksen (EU) N:o 1308/2013 soveltamissäännöistä mehiläishoitoalan tuen osalta, </w:t>
      </w:r>
      <w:r>
        <w:rPr>
          <w:i/>
          <w:iCs/>
        </w:rPr>
        <w:t>EUVL L 211, 8.8.2015, s. 9–16</w:t>
      </w:r>
      <w:r>
        <w:t>.</w:t>
      </w:r>
    </w:p>
  </w:footnote>
  <w:footnote w:id="5">
    <w:p>
      <w:pPr>
        <w:pStyle w:val="NormalWeb"/>
        <w:spacing w:before="0" w:beforeAutospacing="0" w:after="60" w:afterAutospacing="0"/>
        <w:rPr>
          <w:sz w:val="20"/>
          <w:szCs w:val="20"/>
        </w:rPr>
      </w:pPr>
      <w:r>
        <w:rPr>
          <w:rStyle w:val="FootnoteReference"/>
          <w:sz w:val="20"/>
          <w:szCs w:val="20"/>
        </w:rPr>
        <w:footnoteRef/>
      </w:r>
      <w:r>
        <w:t xml:space="preserve"> </w:t>
      </w:r>
      <w:r>
        <w:rPr>
          <w:sz w:val="20"/>
          <w:szCs w:val="20"/>
        </w:rPr>
        <w:t xml:space="preserve">Komission asetus (EY) N:o 917/2004, annettu 29 päivänä huhtikuuta 2004, mehiläishoitoalalla toteutettavista toimista annetun neuvoston asetuksen (EY) N:o 797/2004 soveltamista koskevista yksityiskohtaisista säännöistä, </w:t>
      </w:r>
      <w:r>
        <w:rPr>
          <w:i/>
          <w:iCs/>
          <w:sz w:val="20"/>
          <w:szCs w:val="20"/>
        </w:rPr>
        <w:t>EUVL L 163, 30.4.2004, s. 83–87</w:t>
      </w:r>
      <w:r>
        <w:rPr>
          <w:sz w:val="20"/>
          <w:szCs w:val="20"/>
        </w:rPr>
        <w:t>.</w:t>
      </w:r>
    </w:p>
  </w:footnote>
  <w:footnote w:id="6">
    <w:p>
      <w:pPr>
        <w:pStyle w:val="FootnoteText"/>
        <w:spacing w:after="60"/>
        <w:ind w:left="0" w:firstLine="0"/>
      </w:pPr>
      <w:r>
        <w:rPr>
          <w:rStyle w:val="FootnoteReference"/>
        </w:rPr>
        <w:footnoteRef/>
      </w:r>
      <w:r>
        <w:t xml:space="preserve"> https://ec.europa.eu/eurostat</w:t>
      </w:r>
    </w:p>
  </w:footnote>
  <w:footnote w:id="7">
    <w:p>
      <w:pPr>
        <w:pStyle w:val="FootnoteText"/>
        <w:spacing w:after="60"/>
        <w:ind w:left="0" w:firstLine="0"/>
      </w:pPr>
      <w:r>
        <w:rPr>
          <w:rStyle w:val="FootnoteReference"/>
        </w:rPr>
        <w:footnoteRef/>
      </w:r>
      <w:r>
        <w:t xml:space="preserve"> https://comtrade.un.org/</w:t>
      </w:r>
    </w:p>
  </w:footnote>
  <w:footnote w:id="8">
    <w:p>
      <w:pPr>
        <w:pStyle w:val="FootnoteText"/>
      </w:pPr>
      <w:r>
        <w:rPr>
          <w:rStyle w:val="FootnoteReference"/>
        </w:rPr>
        <w:footnoteRef/>
      </w:r>
      <w:r>
        <w:t xml:space="preserve"> http://www.fao.org/home/en/</w:t>
      </w:r>
    </w:p>
  </w:footnote>
  <w:footnote w:id="9">
    <w:p>
      <w:pPr>
        <w:pStyle w:val="Text1"/>
        <w:spacing w:before="0" w:after="60"/>
        <w:ind w:left="0"/>
        <w:rPr>
          <w:sz w:val="20"/>
          <w:szCs w:val="20"/>
        </w:rPr>
      </w:pPr>
      <w:r>
        <w:rPr>
          <w:rStyle w:val="FootnoteReference"/>
        </w:rPr>
        <w:footnoteRef/>
      </w:r>
      <w:r>
        <w:t xml:space="preserve"> </w:t>
      </w:r>
      <w:hyperlink r:id="rId1" w:history="1">
        <w:r>
          <w:rPr>
            <w:rStyle w:val="Hyperlink"/>
            <w:sz w:val="20"/>
            <w:szCs w:val="20"/>
          </w:rPr>
          <w:t>https://ec.europa.eu/info/food-farming-fisheries/animals-and-animal-products/animal-products/honey_fi</w:t>
        </w:r>
      </w:hyperlink>
    </w:p>
  </w:footnote>
  <w:footnote w:id="10">
    <w:p>
      <w:pPr>
        <w:pStyle w:val="FootnoteText"/>
        <w:spacing w:after="60"/>
        <w:ind w:left="0" w:firstLine="0"/>
      </w:pPr>
      <w:r>
        <w:rPr>
          <w:rStyle w:val="FootnoteReference"/>
        </w:rPr>
        <w:footnoteRef/>
      </w:r>
      <w:r>
        <w:t xml:space="preserve"> Lähde: FAO</w:t>
      </w:r>
    </w:p>
  </w:footnote>
  <w:footnote w:id="11">
    <w:p>
      <w:pPr>
        <w:pStyle w:val="FootnoteText"/>
        <w:spacing w:after="60"/>
        <w:ind w:left="0" w:firstLine="0"/>
      </w:pPr>
      <w:r>
        <w:rPr>
          <w:rStyle w:val="FootnoteReference"/>
        </w:rPr>
        <w:footnoteRef/>
      </w:r>
      <w:r>
        <w:t xml:space="preserve"> Omavaraisuusaste = EU:n tuotanto/(tuotanto + tuonti-vienti)</w:t>
      </w:r>
    </w:p>
  </w:footnote>
  <w:footnote w:id="12">
    <w:p>
      <w:pPr>
        <w:pStyle w:val="FootnoteText"/>
        <w:spacing w:after="120"/>
      </w:pPr>
      <w:r>
        <w:rPr>
          <w:rStyle w:val="FootnoteReference"/>
        </w:rPr>
        <w:footnoteRef/>
      </w:r>
      <w:r>
        <w:t xml:space="preserve"> Lähde: Eurostatin Comext-tietokanta, </w:t>
      </w:r>
      <w:hyperlink r:id="rId2" w:history="1">
        <w:r>
          <w:rPr>
            <w:rStyle w:val="Hyperlink"/>
          </w:rPr>
          <w:t>https://trade.ec.europa.eu/tradehelp/statistics</w:t>
        </w:r>
      </w:hyperlink>
    </w:p>
  </w:footnote>
  <w:footnote w:id="13">
    <w:p>
      <w:pPr>
        <w:spacing w:after="60" w:line="240" w:lineRule="auto"/>
        <w:rPr>
          <w:rFonts w:ascii="Times New Roman" w:eastAsia="Times New Roman" w:hAnsi="Times New Roman" w:cs="Times New Roman"/>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szCs w:val="20"/>
        </w:rPr>
        <w:t xml:space="preserve">Komission delegoitu asetus (EU) 2015/1366, annettu 11 päivänä toukokuuta 2015, Euroopan parlamentin ja neuvoston asetuksen (EU) N:o 1308/2013 täydentämisestä mehiläishoitoalan tuen osalta, </w:t>
      </w:r>
      <w:r>
        <w:rPr>
          <w:rFonts w:ascii="Times New Roman" w:hAnsi="Times New Roman"/>
          <w:i/>
          <w:iCs/>
          <w:sz w:val="20"/>
          <w:szCs w:val="20"/>
        </w:rPr>
        <w:t>EUVL L 211, 8.8.2015, s. 3–6.</w:t>
      </w:r>
    </w:p>
  </w:footnote>
  <w:footnote w:id="14">
    <w:p>
      <w:pPr>
        <w:spacing w:after="60" w:line="240" w:lineRule="auto"/>
        <w:jc w:val="both"/>
        <w:rPr>
          <w:rFonts w:ascii="Times New Roman" w:eastAsia="Times New Roman" w:hAnsi="Times New Roman" w:cs="Times New Roman"/>
          <w:sz w:val="20"/>
          <w:szCs w:val="20"/>
        </w:rPr>
      </w:pPr>
      <w:r>
        <w:rPr>
          <w:rStyle w:val="FootnoteReference"/>
          <w:rFonts w:ascii="Times New Roman" w:hAnsi="Times New Roman" w:cs="Times New Roman"/>
          <w:sz w:val="20"/>
          <w:szCs w:val="20"/>
        </w:rPr>
        <w:footnoteRef/>
      </w:r>
      <w:r>
        <w:t xml:space="preserve"> </w:t>
      </w:r>
      <w:r>
        <w:rPr>
          <w:rFonts w:ascii="Times New Roman" w:hAnsi="Times New Roman"/>
          <w:sz w:val="20"/>
          <w:szCs w:val="20"/>
        </w:rPr>
        <w:t xml:space="preserve">Komission täytäntöönpanoasetus (EU) 2015/1368, annettu 6 päivänä elokuuta 2015, Euroopan parlamentin ja neuvoston asetuksen (EU) N:o 1308/2013 soveltamissäännöistä mehiläishoitoalan tuen osalta, </w:t>
      </w:r>
      <w:r>
        <w:rPr>
          <w:rFonts w:ascii="Times New Roman" w:hAnsi="Times New Roman"/>
          <w:i/>
          <w:iCs/>
          <w:sz w:val="20"/>
          <w:szCs w:val="20"/>
        </w:rPr>
        <w:t>EUVL L 211, 8.8.2015, s. 9–16</w:t>
      </w:r>
      <w:r>
        <w:rPr>
          <w:rFonts w:ascii="Times New Roman" w:hAnsi="Times New Roman"/>
          <w:sz w:val="20"/>
          <w:szCs w:val="20"/>
        </w:rPr>
        <w:t>.</w:t>
      </w:r>
    </w:p>
  </w:footnote>
  <w:footnote w:id="15">
    <w:p>
      <w:pPr>
        <w:pStyle w:val="NormalWeb"/>
        <w:spacing w:before="0" w:beforeAutospacing="0" w:after="60" w:afterAutospacing="0"/>
        <w:jc w:val="both"/>
        <w:rPr>
          <w:sz w:val="20"/>
          <w:szCs w:val="20"/>
        </w:rPr>
      </w:pPr>
      <w:r>
        <w:rPr>
          <w:rStyle w:val="FootnoteReference"/>
          <w:sz w:val="20"/>
          <w:szCs w:val="20"/>
        </w:rPr>
        <w:footnoteRef/>
      </w:r>
      <w:r>
        <w:t xml:space="preserve"> </w:t>
      </w:r>
      <w:r>
        <w:rPr>
          <w:sz w:val="20"/>
          <w:szCs w:val="20"/>
        </w:rPr>
        <w:t xml:space="preserve">Komission täytäntöönpanopäätös (EU) 2016/1102, annettu 5 päivänä heinäkuuta 2016, jäsenvaltioiden Euroopan parlamentin ja neuvoston asetuksen (EU) N:o 1308/2013 mukaisesti esittämien mehiläistuotteiden tuotannon ja kaupan pitämisen parantamista koskevien kansallisten ohjelmien hyväksymisestä </w:t>
      </w:r>
      <w:r>
        <w:rPr>
          <w:i/>
          <w:iCs/>
          <w:sz w:val="20"/>
          <w:szCs w:val="20"/>
        </w:rPr>
        <w:t>(tiedoksiannettu numerolla C(2016) 4133),</w:t>
      </w:r>
      <w:r>
        <w:rPr>
          <w:sz w:val="20"/>
          <w:szCs w:val="20"/>
        </w:rPr>
        <w:t xml:space="preserve"> </w:t>
      </w:r>
      <w:r>
        <w:rPr>
          <w:i/>
          <w:iCs/>
          <w:sz w:val="20"/>
          <w:szCs w:val="20"/>
        </w:rPr>
        <w:t>EUVL L 182,</w:t>
      </w:r>
      <w:r>
        <w:rPr>
          <w:sz w:val="20"/>
          <w:szCs w:val="20"/>
        </w:rPr>
        <w:t xml:space="preserve"> </w:t>
      </w:r>
      <w:r>
        <w:rPr>
          <w:i/>
          <w:iCs/>
          <w:sz w:val="20"/>
          <w:szCs w:val="20"/>
        </w:rPr>
        <w:t xml:space="preserve">7.7.2016, s. 55–57. </w:t>
      </w:r>
    </w:p>
  </w:footnote>
  <w:footnote w:id="16">
    <w:p>
      <w:pPr>
        <w:spacing w:after="60" w:line="240" w:lineRule="auto"/>
        <w:jc w:val="both"/>
      </w:pPr>
      <w:r>
        <w:rPr>
          <w:rStyle w:val="FootnoteReference"/>
          <w:rFonts w:ascii="Times New Roman" w:hAnsi="Times New Roman" w:cs="Times New Roman"/>
          <w:sz w:val="20"/>
          <w:szCs w:val="20"/>
        </w:rPr>
        <w:footnoteRef/>
      </w:r>
      <w:r>
        <w:t xml:space="preserve"> </w:t>
      </w:r>
      <w:r>
        <w:rPr>
          <w:rFonts w:ascii="Times New Roman" w:hAnsi="Times New Roman"/>
          <w:sz w:val="20"/>
          <w:szCs w:val="20"/>
        </w:rPr>
        <w:t>Komission täytäntöönpanopäätös (EU) 2019/974, annettu 12 päivänä kesäkuuta 2019, jäsenvaltioiden Euroopan parlamentin ja neuvoston asetuksen (EU) N:o 1308/2013 mukaisesti esittämien mehiläistuotteiden tuotannon ja kaupan pitämisen parantamista koskevien kansallisten ohjelmien hyväksymisestä (</w:t>
      </w:r>
      <w:r>
        <w:rPr>
          <w:rFonts w:ascii="Times New Roman" w:hAnsi="Times New Roman"/>
          <w:i/>
          <w:sz w:val="20"/>
          <w:szCs w:val="20"/>
        </w:rPr>
        <w:t>tiedoksiannettu numerolla C(2019) 4177</w:t>
      </w:r>
      <w:r>
        <w:rPr>
          <w:rFonts w:ascii="Times New Roman" w:hAnsi="Times New Roman"/>
          <w:sz w:val="20"/>
          <w:szCs w:val="20"/>
        </w:rPr>
        <w:t xml:space="preserve">), </w:t>
      </w:r>
      <w:r>
        <w:rPr>
          <w:rFonts w:ascii="Times New Roman" w:hAnsi="Times New Roman"/>
          <w:i/>
          <w:sz w:val="20"/>
          <w:szCs w:val="20"/>
        </w:rPr>
        <w:t>EUVL L 157, 14.6.2019, s. 28–30.</w:t>
      </w:r>
    </w:p>
  </w:footnote>
  <w:footnote w:id="17">
    <w:p>
      <w:pPr>
        <w:pStyle w:val="FootnoteText"/>
        <w:spacing w:after="60"/>
        <w:ind w:left="0" w:firstLine="0"/>
      </w:pPr>
      <w:r>
        <w:rPr>
          <w:rStyle w:val="FootnoteReference"/>
        </w:rPr>
        <w:footnoteRef/>
      </w:r>
      <w:r>
        <w:t xml:space="preserve"> Luettelo mehiläishoito-ohjelmien kattamista mehiläistuotteista on asetuksen (EU) N:o 1308/2013 liitteessä I olevassa XXII osassa, ja ne ovat hunaja, kuningatarhyytelö, kittivaha ja mehiläisvaha.</w:t>
      </w:r>
    </w:p>
  </w:footnote>
  <w:footnote w:id="18">
    <w:p>
      <w:pPr>
        <w:pStyle w:val="FootnoteText"/>
      </w:pPr>
      <w:r>
        <w:rPr>
          <w:rStyle w:val="FootnoteReference"/>
        </w:rPr>
        <w:footnoteRef/>
      </w:r>
      <w:r>
        <w:t xml:space="preserve"> Ajanjakso 1.8.2016–31.7.2017</w:t>
      </w:r>
    </w:p>
  </w:footnote>
  <w:footnote w:id="19">
    <w:p>
      <w:pPr>
        <w:pStyle w:val="FootnoteText"/>
      </w:pPr>
      <w:r>
        <w:rPr>
          <w:rStyle w:val="FootnoteReference"/>
        </w:rPr>
        <w:footnoteRef/>
      </w:r>
      <w:r>
        <w:t xml:space="preserve"> Ajanjakso 1.8.2017–31.7.2018</w:t>
      </w:r>
    </w:p>
  </w:footnote>
  <w:footnote w:id="20">
    <w:p>
      <w:pPr>
        <w:pStyle w:val="FootnoteText"/>
      </w:pPr>
      <w:r>
        <w:rPr>
          <w:rStyle w:val="FootnoteReference"/>
        </w:rPr>
        <w:footnoteRef/>
      </w:r>
      <w:r>
        <w:t xml:space="preserve"> Komission delegoitu asetus (EU) 2015/1366.</w:t>
      </w:r>
    </w:p>
  </w:footnote>
  <w:footnote w:id="21">
    <w:p>
      <w:pPr>
        <w:spacing w:after="60"/>
        <w:rPr>
          <w:rFonts w:ascii="Calibri" w:hAnsi="Calibri"/>
          <w:sz w:val="20"/>
          <w:szCs w:val="20"/>
        </w:rPr>
      </w:pPr>
      <w:r>
        <w:rPr>
          <w:rStyle w:val="FootnoteReference"/>
          <w:sz w:val="20"/>
          <w:szCs w:val="20"/>
        </w:rPr>
        <w:footnoteRef/>
      </w:r>
      <w:r>
        <w:rPr>
          <w:sz w:val="20"/>
          <w:szCs w:val="20"/>
        </w:rPr>
        <w:t xml:space="preserve"> </w:t>
      </w:r>
      <w:r>
        <w:rPr>
          <w:rStyle w:val="Hyperlink"/>
          <w:rFonts w:ascii="Times New Roman" w:hAnsi="Times New Roman"/>
          <w:sz w:val="20"/>
          <w:szCs w:val="20"/>
        </w:rPr>
        <w:t>https://ec.europa.eu/info/food-farming-fisheries/key-policies/common-agricultural-policy/future-cap_fi</w:t>
      </w:r>
    </w:p>
  </w:footnote>
  <w:footnote w:id="22">
    <w:p>
      <w:pPr>
        <w:pStyle w:val="FootnoteText"/>
        <w:spacing w:after="120"/>
      </w:pPr>
      <w:r>
        <w:rPr>
          <w:rStyle w:val="FootnoteReference"/>
        </w:rPr>
        <w:footnoteRef/>
      </w:r>
      <w:r>
        <w:t xml:space="preserve"> </w:t>
      </w:r>
      <w:hyperlink r:id="rId3" w:history="1">
        <w:r>
          <w:rPr>
            <w:rStyle w:val="Hyperlink"/>
          </w:rPr>
          <w:t>https://eur-lex.europa.eu/legal-content/FI/TXT/?uri=COM%3A2018%3A392%3AFIN</w:t>
        </w:r>
      </w:hyperlink>
    </w:p>
  </w:footnote>
  <w:footnote w:id="23">
    <w:p>
      <w:pPr>
        <w:pStyle w:val="FootnoteText"/>
        <w:spacing w:after="120"/>
      </w:pPr>
      <w:r>
        <w:rPr>
          <w:rStyle w:val="FootnoteReference"/>
        </w:rPr>
        <w:footnoteRef/>
      </w:r>
      <w:r>
        <w:t xml:space="preserve"> Vuoden 2020 jälkeistä yhteistä maatalouspolitiikkaa koskevan komission ehdotuksen liite VIII.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4753B7"/>
    <w:multiLevelType w:val="hybridMultilevel"/>
    <w:tmpl w:val="B99E7B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65F10EF1"/>
    <w:multiLevelType w:val="hybridMultilevel"/>
    <w:tmpl w:val="0CF0CF04"/>
    <w:lvl w:ilvl="0" w:tplc="24FC4832">
      <w:numFmt w:val="bullet"/>
      <w:lvlText w:val="-"/>
      <w:lvlJc w:val="left"/>
      <w:pPr>
        <w:ind w:left="360" w:hanging="360"/>
      </w:pPr>
      <w:rPr>
        <w:rFonts w:ascii="Times New Roman" w:eastAsia="Times New Roman"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nsid w:val="6F381228"/>
    <w:multiLevelType w:val="hybridMultilevel"/>
    <w:tmpl w:val="244AA6F2"/>
    <w:lvl w:ilvl="0" w:tplc="57AA8F26">
      <w:start w:val="5"/>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hideSpellingErrors/>
  <w:hideGrammaticalErrors/>
  <w:revisionView w:markup="0"/>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2B64B80-6116-4131-BE2A-F2B25A10B5B7"/>
    <w:docVar w:name="LW_COVERPAGE_TYPE" w:val="1"/>
    <w:docVar w:name="LW_CROSSREFERENCE" w:val="&lt;UNUSED&gt;"/>
    <w:docVar w:name="LW_DocType" w:val="NORMAL"/>
    <w:docVar w:name="LW_EMISSION" w:val="17.12.2019"/>
    <w:docVar w:name="LW_EMISSION_ISODATE" w:val="2019-12-17"/>
    <w:docVar w:name="LW_EMISSION_LOCATION" w:val="BRX"/>
    <w:docVar w:name="LW_EMISSION_PREFIX" w:val="Bryssel "/>
    <w:docVar w:name="LW_EMISSION_SUFFIX" w:val=" "/>
    <w:docVar w:name="LW_ID_DOCTYPE_NONLW" w:val="CP-006"/>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19) 63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mehiläishoito-ohjelmien täytäntöönpanosta&lt;/FMT&gt;"/>
    <w:docVar w:name="LW_TYPE.DOC.CP" w:val="KOMISSION KERTOMUS EUROOPAN PARLAMENTILLE JA NEUVOSTOLLE"/>
  </w:docVar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4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28"/>
      <w:szCs w:val="28"/>
      <w:lang w:val="fi-FI"/>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lang w:val="fi-FI"/>
    </w:rPr>
  </w:style>
  <w:style w:type="paragraph" w:styleId="FootnoteText">
    <w:name w:val="footnote text"/>
    <w:aliases w:val="Footnote,Footnote Text Char Char,Fußnotentext Char Char1 Char,Fußnotentext Char1 Char1 Char Char,Fußnotentext Char Char Char Char Char Char,Fußnotentext Char1 Char Char Char Char1 Char,Footnote text,o Car Car"/>
    <w:basedOn w:val="Normal"/>
    <w:link w:val="FootnoteTextChar"/>
    <w:semiHidden/>
    <w:unhideWhenUsed/>
    <w:pPr>
      <w:spacing w:after="0" w:line="240" w:lineRule="auto"/>
      <w:ind w:left="720" w:hanging="720"/>
      <w:jc w:val="both"/>
    </w:pPr>
    <w:rPr>
      <w:rFonts w:ascii="Times New Roman" w:eastAsia="Times New Roman" w:hAnsi="Times New Roman" w:cs="Times New Roman"/>
      <w:sz w:val="20"/>
      <w:szCs w:val="20"/>
      <w:lang w:eastAsia="de-DE"/>
    </w:rPr>
  </w:style>
  <w:style w:type="character" w:customStyle="1" w:styleId="FootnoteTextChar">
    <w:name w:val="Footnote Text Char"/>
    <w:aliases w:val="Footnote Char,Footnote Text Char Char Char,Fußnotentext Char Char1 Char Char,Fußnotentext Char1 Char1 Char Char Char,Fußnotentext Char Char Char Char Char Char Char,Fußnotentext Char1 Char Char Char Char1 Char Char,Footnote text Char"/>
    <w:basedOn w:val="DefaultParagraphFont"/>
    <w:link w:val="FootnoteText"/>
    <w:semiHidden/>
    <w:rPr>
      <w:rFonts w:ascii="Times New Roman" w:eastAsia="Times New Roman" w:hAnsi="Times New Roman" w:cs="Times New Roman"/>
      <w:sz w:val="20"/>
      <w:szCs w:val="20"/>
      <w:lang w:val="fi-FI" w:eastAsia="de-DE"/>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lang w:eastAsia="de-DE"/>
    </w:rPr>
  </w:style>
  <w:style w:type="character" w:styleId="FootnoteReference">
    <w:name w:val="footnote reference"/>
    <w:aliases w:val="Ref,de nota al pie,-E Fußnotenzeichen,Footnote Reference Superscript,EN Footnote Reference,Times 10 Point, Exposant 3 Point,Footnote symbol,Footnote reference number,note TESI,Exposant 3 Point"/>
    <w:uiPriority w:val="99"/>
    <w:semiHidden/>
    <w:unhideWhenUsed/>
    <w:rPr>
      <w:vertAlign w:val="superscript"/>
    </w:rPr>
  </w:style>
  <w:style w:type="character" w:styleId="Hyperlink">
    <w:name w:val="Hyperlink"/>
    <w:uiPriority w:val="99"/>
    <w:unhideWhenUsed/>
    <w:rPr>
      <w:color w:val="0000FF"/>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fi-FI"/>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TOC1">
    <w:name w:val="toc 1"/>
    <w:basedOn w:val="Normal"/>
    <w:next w:val="Normal"/>
    <w:autoRedefine/>
    <w:uiPriority w:val="39"/>
    <w:unhideWhenUsed/>
    <w:pPr>
      <w:tabs>
        <w:tab w:val="right" w:leader="dot" w:pos="9071"/>
      </w:tabs>
      <w:spacing w:before="60" w:after="120" w:line="240" w:lineRule="auto"/>
      <w:ind w:left="850" w:hanging="850"/>
    </w:pPr>
    <w:rPr>
      <w:rFonts w:asciiTheme="majorHAnsi" w:eastAsiaTheme="majorEastAsia" w:hAnsiTheme="majorHAnsi" w:cstheme="majorBidi"/>
      <w:bCs/>
      <w:noProof/>
      <w:sz w:val="24"/>
      <w:szCs w:val="24"/>
      <w:lang w:eastAsia="de-DE"/>
    </w:rPr>
  </w:style>
  <w:style w:type="paragraph" w:styleId="TOC2">
    <w:name w:val="toc 2"/>
    <w:basedOn w:val="Normal"/>
    <w:next w:val="Normal"/>
    <w:autoRedefine/>
    <w:uiPriority w:val="39"/>
    <w:unhideWhenUsed/>
    <w:pPr>
      <w:tabs>
        <w:tab w:val="right" w:leader="dot" w:pos="9071"/>
      </w:tabs>
      <w:spacing w:before="60" w:after="120" w:line="240" w:lineRule="auto"/>
      <w:ind w:left="850" w:hanging="850"/>
    </w:pPr>
    <w:rPr>
      <w:rFonts w:asciiTheme="majorHAnsi" w:eastAsiaTheme="majorEastAsia" w:hAnsiTheme="majorHAnsi" w:cstheme="majorBidi"/>
      <w:bCs/>
      <w:noProof/>
      <w:sz w:val="24"/>
      <w:szCs w:val="24"/>
      <w:lang w:eastAsia="de-DE"/>
    </w:rPr>
  </w:style>
  <w:style w:type="paragraph" w:styleId="TOCHeading">
    <w:name w:val="TOC Heading"/>
    <w:basedOn w:val="Normal"/>
    <w:next w:val="Normal"/>
    <w:uiPriority w:val="39"/>
    <w:semiHidden/>
    <w:unhideWhenUsed/>
    <w:qFormat/>
    <w:pPr>
      <w:spacing w:before="120" w:after="240" w:line="240" w:lineRule="auto"/>
      <w:jc w:val="center"/>
    </w:pPr>
    <w:rPr>
      <w:rFonts w:ascii="Times New Roman" w:eastAsia="Times New Roman" w:hAnsi="Times New Roman" w:cs="Times New Roman"/>
      <w:b/>
      <w:sz w:val="28"/>
      <w:szCs w:val="24"/>
      <w:lang w:eastAsia="de-D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lang w:eastAsia="de-D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fi-FI"/>
    </w:rPr>
  </w:style>
  <w:style w:type="paragraph" w:customStyle="1" w:styleId="textundertitle">
    <w:name w:val="textundertitle"/>
    <w:basedOn w:val="Normal"/>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Emphasis">
    <w:name w:val="Emphasis"/>
    <w:basedOn w:val="DefaultParagraphFont"/>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4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28"/>
      <w:szCs w:val="28"/>
      <w:lang w:val="fi-FI"/>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lang w:val="fi-FI"/>
    </w:rPr>
  </w:style>
  <w:style w:type="paragraph" w:styleId="FootnoteText">
    <w:name w:val="footnote text"/>
    <w:aliases w:val="Footnote,Footnote Text Char Char,Fußnotentext Char Char1 Char,Fußnotentext Char1 Char1 Char Char,Fußnotentext Char Char Char Char Char Char,Fußnotentext Char1 Char Char Char Char1 Char,Footnote text,o Car Car"/>
    <w:basedOn w:val="Normal"/>
    <w:link w:val="FootnoteTextChar"/>
    <w:semiHidden/>
    <w:unhideWhenUsed/>
    <w:pPr>
      <w:spacing w:after="0" w:line="240" w:lineRule="auto"/>
      <w:ind w:left="720" w:hanging="720"/>
      <w:jc w:val="both"/>
    </w:pPr>
    <w:rPr>
      <w:rFonts w:ascii="Times New Roman" w:eastAsia="Times New Roman" w:hAnsi="Times New Roman" w:cs="Times New Roman"/>
      <w:sz w:val="20"/>
      <w:szCs w:val="20"/>
      <w:lang w:eastAsia="de-DE"/>
    </w:rPr>
  </w:style>
  <w:style w:type="character" w:customStyle="1" w:styleId="FootnoteTextChar">
    <w:name w:val="Footnote Text Char"/>
    <w:aliases w:val="Footnote Char,Footnote Text Char Char Char,Fußnotentext Char Char1 Char Char,Fußnotentext Char1 Char1 Char Char Char,Fußnotentext Char Char Char Char Char Char Char,Fußnotentext Char1 Char Char Char Char1 Char Char,Footnote text Char"/>
    <w:basedOn w:val="DefaultParagraphFont"/>
    <w:link w:val="FootnoteText"/>
    <w:semiHidden/>
    <w:rPr>
      <w:rFonts w:ascii="Times New Roman" w:eastAsia="Times New Roman" w:hAnsi="Times New Roman" w:cs="Times New Roman"/>
      <w:sz w:val="20"/>
      <w:szCs w:val="20"/>
      <w:lang w:val="fi-FI" w:eastAsia="de-DE"/>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lang w:eastAsia="de-DE"/>
    </w:rPr>
  </w:style>
  <w:style w:type="character" w:styleId="FootnoteReference">
    <w:name w:val="footnote reference"/>
    <w:aliases w:val="Ref,de nota al pie,-E Fußnotenzeichen,Footnote Reference Superscript,EN Footnote Reference,Times 10 Point, Exposant 3 Point,Footnote symbol,Footnote reference number,note TESI,Exposant 3 Point"/>
    <w:uiPriority w:val="99"/>
    <w:semiHidden/>
    <w:unhideWhenUsed/>
    <w:rPr>
      <w:vertAlign w:val="superscript"/>
    </w:rPr>
  </w:style>
  <w:style w:type="character" w:styleId="Hyperlink">
    <w:name w:val="Hyperlink"/>
    <w:uiPriority w:val="99"/>
    <w:unhideWhenUsed/>
    <w:rPr>
      <w:color w:val="0000FF"/>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fi-FI"/>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TOC1">
    <w:name w:val="toc 1"/>
    <w:basedOn w:val="Normal"/>
    <w:next w:val="Normal"/>
    <w:autoRedefine/>
    <w:uiPriority w:val="39"/>
    <w:unhideWhenUsed/>
    <w:pPr>
      <w:tabs>
        <w:tab w:val="right" w:leader="dot" w:pos="9071"/>
      </w:tabs>
      <w:spacing w:before="60" w:after="120" w:line="240" w:lineRule="auto"/>
      <w:ind w:left="850" w:hanging="850"/>
    </w:pPr>
    <w:rPr>
      <w:rFonts w:asciiTheme="majorHAnsi" w:eastAsiaTheme="majorEastAsia" w:hAnsiTheme="majorHAnsi" w:cstheme="majorBidi"/>
      <w:bCs/>
      <w:noProof/>
      <w:sz w:val="24"/>
      <w:szCs w:val="24"/>
      <w:lang w:eastAsia="de-DE"/>
    </w:rPr>
  </w:style>
  <w:style w:type="paragraph" w:styleId="TOC2">
    <w:name w:val="toc 2"/>
    <w:basedOn w:val="Normal"/>
    <w:next w:val="Normal"/>
    <w:autoRedefine/>
    <w:uiPriority w:val="39"/>
    <w:unhideWhenUsed/>
    <w:pPr>
      <w:tabs>
        <w:tab w:val="right" w:leader="dot" w:pos="9071"/>
      </w:tabs>
      <w:spacing w:before="60" w:after="120" w:line="240" w:lineRule="auto"/>
      <w:ind w:left="850" w:hanging="850"/>
    </w:pPr>
    <w:rPr>
      <w:rFonts w:asciiTheme="majorHAnsi" w:eastAsiaTheme="majorEastAsia" w:hAnsiTheme="majorHAnsi" w:cstheme="majorBidi"/>
      <w:bCs/>
      <w:noProof/>
      <w:sz w:val="24"/>
      <w:szCs w:val="24"/>
      <w:lang w:eastAsia="de-DE"/>
    </w:rPr>
  </w:style>
  <w:style w:type="paragraph" w:styleId="TOCHeading">
    <w:name w:val="TOC Heading"/>
    <w:basedOn w:val="Normal"/>
    <w:next w:val="Normal"/>
    <w:uiPriority w:val="39"/>
    <w:semiHidden/>
    <w:unhideWhenUsed/>
    <w:qFormat/>
    <w:pPr>
      <w:spacing w:before="120" w:after="240" w:line="240" w:lineRule="auto"/>
      <w:jc w:val="center"/>
    </w:pPr>
    <w:rPr>
      <w:rFonts w:ascii="Times New Roman" w:eastAsia="Times New Roman" w:hAnsi="Times New Roman" w:cs="Times New Roman"/>
      <w:b/>
      <w:sz w:val="28"/>
      <w:szCs w:val="24"/>
      <w:lang w:eastAsia="de-D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lang w:eastAsia="de-D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fi-FI"/>
    </w:rPr>
  </w:style>
  <w:style w:type="paragraph" w:customStyle="1" w:styleId="textundertitle">
    <w:name w:val="textundertitle"/>
    <w:basedOn w:val="Normal"/>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039355">
      <w:bodyDiv w:val="1"/>
      <w:marLeft w:val="0"/>
      <w:marRight w:val="0"/>
      <w:marTop w:val="0"/>
      <w:marBottom w:val="0"/>
      <w:divBdr>
        <w:top w:val="none" w:sz="0" w:space="0" w:color="auto"/>
        <w:left w:val="none" w:sz="0" w:space="0" w:color="auto"/>
        <w:bottom w:val="none" w:sz="0" w:space="0" w:color="auto"/>
        <w:right w:val="none" w:sz="0" w:space="0" w:color="auto"/>
      </w:divBdr>
    </w:div>
    <w:div w:id="1135215778">
      <w:bodyDiv w:val="1"/>
      <w:marLeft w:val="0"/>
      <w:marRight w:val="0"/>
      <w:marTop w:val="0"/>
      <w:marBottom w:val="0"/>
      <w:divBdr>
        <w:top w:val="none" w:sz="0" w:space="0" w:color="auto"/>
        <w:left w:val="none" w:sz="0" w:space="0" w:color="auto"/>
        <w:bottom w:val="none" w:sz="0" w:space="0" w:color="auto"/>
        <w:right w:val="none" w:sz="0" w:space="0" w:color="auto"/>
      </w:divBdr>
    </w:div>
    <w:div w:id="2092433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cid:image001.png@01D5A14B.2E4A7B70"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image" Target="media/image7.emf"/><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FI/TXT/?uri=COM:2018:392:FIN" TargetMode="External"/><Relationship Id="rId2" Type="http://schemas.openxmlformats.org/officeDocument/2006/relationships/hyperlink" Target="https://trade.ec.europa.eu/tradehelp/statistics" TargetMode="External"/><Relationship Id="rId1" Type="http://schemas.openxmlformats.org/officeDocument/2006/relationships/hyperlink" Target="https://ec.europa.eu/info/food-farming-fisheries/animals-and-animal-products/animal-products/honey_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B007BCE-3B9A-4E2C-BC03-60614CD78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14</Pages>
  <Words>2602</Words>
  <Characters>21495</Characters>
  <Application>Microsoft Office Word</Application>
  <DocSecurity>0</DocSecurity>
  <Lines>377</Lines>
  <Paragraphs>144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28</cp:revision>
  <cp:lastPrinted>2019-10-18T10:07:00Z</cp:lastPrinted>
  <dcterms:created xsi:type="dcterms:W3CDTF">2019-11-25T09:58:00Z</dcterms:created>
  <dcterms:modified xsi:type="dcterms:W3CDTF">2019-12-16T16:07:00Z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7.0, Build 20190717</vt:lpwstr>
  </property>
  <property fmtid="{D5CDD505-2E9C-101B-9397-08002B2CF9AE}" pid="8" name="Created using">
    <vt:lpwstr>LW 7.0, Build 20190717</vt:lpwstr>
  </property>
</Properties>
</file>