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F3F702E-E878-4A73-BA16-140C761FBEF0" style="width:451pt;height:36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Style1"/>
      </w:pPr>
      <w:bookmarkStart w:id="1" w:name="_GoBack"/>
      <w:bookmarkEnd w:id="1"/>
      <w:r>
        <w:lastRenderedPageBreak/>
        <w:t>I.</w:t>
      </w:r>
      <w:r>
        <w:tab/>
        <w:t>UVOD</w:t>
      </w:r>
    </w:p>
    <w:p>
      <w:pPr>
        <w:jc w:val="both"/>
        <w:rPr>
          <w:noProof/>
        </w:rPr>
      </w:pPr>
      <w:r>
        <w:rPr>
          <w:noProof/>
        </w:rPr>
        <w:t>To poročilo se nanaša na izvajanje ukrepov za informiranje v zvezi s skupno kmetijsko politiko (SKP) za leti 2017 in 2018 iz člena 45 Uredbe (EU) št. 1306/2013 Evropskega parlamenta in Sveta z dne 17. decembra 2013 o financiranju, upravljanju in spremljanju skupne kmetijske politike</w:t>
      </w:r>
      <w:r>
        <w:rPr>
          <w:rStyle w:val="FootnoteReference"/>
          <w:noProof/>
        </w:rPr>
        <w:footnoteReference w:id="1"/>
      </w:r>
      <w:r>
        <w:rPr>
          <w:noProof/>
        </w:rPr>
        <w:t xml:space="preserve"> (v nadaljnjem besedilu: Uredba).</w:t>
      </w:r>
    </w:p>
    <w:p>
      <w:pPr>
        <w:autoSpaceDE w:val="0"/>
        <w:autoSpaceDN w:val="0"/>
        <w:adjustRightInd w:val="0"/>
        <w:spacing w:before="120" w:after="120"/>
        <w:jc w:val="both"/>
        <w:rPr>
          <w:iCs/>
          <w:noProof/>
        </w:rPr>
      </w:pPr>
      <w:r>
        <w:rPr>
          <w:noProof/>
        </w:rPr>
        <w:t>Prvi pododstavek člena 45(1) Uredbe določa, da je financirano zagotavljanje informacij „namenjeno zlasti temu, da pomaga razložiti, izvajati in razvijati SKP ter da osvešča javnost o vsebini in ciljih te politike, z informacijskimi kampanjami ponovno vzpostavlja zaupanje potrošnikov po krizah, obvešča kmete in druge osebe, ki so aktivne na podeželju, ter spodbuja evropski model kmetijstva in ga približa državljanom“. Zadnji pododstavek člena 45(2) določa, da ti ukrepi „prispevajo tudi k obveščanju institucij o političnih prednostnih nalogah Unije, kolikor so te prednostne naloge povezane s splošnimi cilji te uredbe“.</w:t>
      </w:r>
    </w:p>
    <w:p>
      <w:pPr>
        <w:spacing w:before="120" w:after="120"/>
        <w:jc w:val="both"/>
        <w:rPr>
          <w:noProof/>
        </w:rPr>
      </w:pPr>
      <w:r>
        <w:rPr>
          <w:noProof/>
        </w:rPr>
        <w:t>Financirani ukrepi za informiranje so razvrščeni v dve glavni kategoriji:</w:t>
      </w:r>
    </w:p>
    <w:p>
      <w:pPr>
        <w:pStyle w:val="ListParagraph"/>
        <w:numPr>
          <w:ilvl w:val="0"/>
          <w:numId w:val="1"/>
        </w:numPr>
        <w:jc w:val="both"/>
        <w:rPr>
          <w:noProof/>
        </w:rPr>
      </w:pPr>
      <w:r>
        <w:rPr>
          <w:noProof/>
        </w:rPr>
        <w:t>ukrepi, ki jih predložijo organizacije tretjih oseb za sofinanciranje iz Evropskega kmetijskega jamstvenega sklada – EKJS (nepovratna sredstva);</w:t>
      </w:r>
    </w:p>
    <w:p>
      <w:pPr>
        <w:pStyle w:val="ListParagraph"/>
        <w:numPr>
          <w:ilvl w:val="0"/>
          <w:numId w:val="1"/>
        </w:numPr>
        <w:jc w:val="both"/>
        <w:rPr>
          <w:noProof/>
        </w:rPr>
      </w:pPr>
      <w:r>
        <w:rPr>
          <w:noProof/>
        </w:rPr>
        <w:t>ukrepi na pobudo Komisije, ki so v celoti financirani iz Evropskega kmetijskega jamstvenega sklada – EKJS (neposredni ukrepi/javno naročanje).</w:t>
      </w:r>
    </w:p>
    <w:p>
      <w:pPr>
        <w:spacing w:before="120" w:after="120"/>
        <w:jc w:val="both"/>
        <w:rPr>
          <w:noProof/>
        </w:rPr>
      </w:pPr>
      <w:r>
        <w:rPr>
          <w:noProof/>
        </w:rPr>
        <w:t>V skladu s členom 45(5) Uredbe je treba poročilo o izvajanju ukrepov za informiranje iz Uredbe Evropskemu parlamentu in Svetu predložiti vsaki dve leti. To je osmo tako poročilo</w:t>
      </w:r>
      <w:r>
        <w:rPr>
          <w:rStyle w:val="FootnoteReference"/>
          <w:noProof/>
        </w:rPr>
        <w:footnoteReference w:id="2"/>
      </w:r>
      <w:r>
        <w:rPr>
          <w:noProof/>
        </w:rPr>
        <w:t>.</w:t>
      </w:r>
    </w:p>
    <w:p>
      <w:pPr>
        <w:spacing w:before="120" w:after="120"/>
        <w:jc w:val="both"/>
        <w:rPr>
          <w:noProof/>
        </w:rPr>
      </w:pPr>
      <w:r>
        <w:rPr>
          <w:noProof/>
        </w:rPr>
        <w:t>V obdobju 2017–2018 je Komisija okrepila svoje dejavnosti korporativnega komuniciranja na podlagi svojih desetih političnih prednostnih nalog, s posebnim poudarkom na naložbah, gospodarski rasti in ustvarjanju delovnih mest. Sredstva so bila zbrana iz različnih programov porabe za financiranje prednostnih nalog na področju komuniciranja, ki temeljijo na splošnih ciljih Evropske unije. V tem obdobju so službe Komisije, vključno z GD za kmetijstvo in razvoj podeželja (GD AGRI), še naprej prispevale k izvajanju tega korporativnega pristopa. Namen kampanj o korporativnem komuniciranju, uvedenih v letih 2017 in 2018, je bil poudariti, kako EU prinaša koristi državljanom, krepi njihovo vlogo in jih varuje. Poudarek je bil tudi na ozaveščanju javnosti o sedanjih in prihodnjih izzivih ter potrebi, da zgradimo enotnejšo, močnejšo in bolj demokratično Unijo.</w:t>
      </w:r>
    </w:p>
    <w:p>
      <w:pPr>
        <w:spacing w:before="120" w:after="120"/>
        <w:jc w:val="both"/>
        <w:rPr>
          <w:noProof/>
        </w:rPr>
      </w:pPr>
      <w:r>
        <w:rPr>
          <w:noProof/>
        </w:rPr>
        <w:t>Ta pristop korporativnega komuniciranja je osrednjega pomena za strategijo komuniciranja GD AGRI za obdobje 2016–2020. V tem okviru so ukrepi za informiranje vsako leto opredeljeni v letnih akcijskih načrtih.</w:t>
      </w:r>
    </w:p>
    <w:p>
      <w:pPr>
        <w:spacing w:before="120" w:after="120"/>
        <w:jc w:val="both"/>
        <w:rPr>
          <w:noProof/>
        </w:rPr>
      </w:pPr>
      <w:r>
        <w:rPr>
          <w:noProof/>
        </w:rPr>
        <w:t>Več informacij o neposrednih in posrednih ukrepih je na voljo v delovnem dokumentu služb Komisije, ki je priložen temu poročilu.</w:t>
      </w:r>
    </w:p>
    <w:p>
      <w:pPr>
        <w:spacing w:before="120" w:after="120"/>
        <w:jc w:val="both"/>
        <w:rPr>
          <w:noProof/>
        </w:rPr>
      </w:pPr>
    </w:p>
    <w:p>
      <w:pPr>
        <w:pStyle w:val="Style1"/>
      </w:pPr>
      <w:r>
        <w:t>II.</w:t>
      </w:r>
      <w:r>
        <w:tab/>
        <w:t>PRORAČUN</w:t>
      </w:r>
    </w:p>
    <w:p>
      <w:pPr>
        <w:spacing w:before="120" w:after="120"/>
        <w:jc w:val="both"/>
        <w:rPr>
          <w:noProof/>
          <w:color w:val="000000"/>
        </w:rPr>
      </w:pPr>
      <w:r>
        <w:rPr>
          <w:noProof/>
        </w:rPr>
        <w:t>Proračunska sredstva, dana na voljo za ukrepe za informiranje pod proračunsko vrstico 05 08 06 (Povečevanje ozaveščenosti javnosti o skupni kmetijski politiki), ki so bila prvotno predvidena v sklepu o financiranju, so v letih 2017 in 2018 znašala po 8 milijonov EUR. Poleg tega je bilo v okviru ukrepov korporativnega komuniciranja Komisije v zadevnem obdobju iz GD AGRI v GD za komuniciranje (GD COMM), ki je odgovoren za vodenje korporativnih kampanj Komisije, v letu 2017 sodelegiranih 8 480 000 EUR, v letu 2018 pa 8 700 000 EUR.</w:t>
      </w:r>
    </w:p>
    <w:p>
      <w:pPr>
        <w:spacing w:before="120" w:after="120"/>
        <w:jc w:val="both"/>
        <w:rPr>
          <w:noProof/>
          <w:color w:val="000000"/>
        </w:rPr>
      </w:pPr>
      <w:r>
        <w:rPr>
          <w:noProof/>
        </w:rPr>
        <w:t>Razčlenitev dodeljenih proračunskih sredstev med javno naročanje (ukrepi, sprejeti na pobudo Komisije) in nepovratna sredstva (sofinancirani ukrepi) je bila naslednja:</w:t>
      </w:r>
    </w:p>
    <w:p>
      <w:pPr>
        <w:spacing w:before="120" w:after="120"/>
        <w:jc w:val="both"/>
        <w:rPr>
          <w:noProof/>
          <w:color w:val="000000"/>
        </w:rPr>
      </w:pPr>
      <w:r>
        <w:rPr>
          <w:noProof/>
        </w:rPr>
        <w:t>leto 2017: javno naročanje (4,5 milijona EUR) (56,25 %) – nepovratna sredstva (3,5 milijona EUR) (43,75 %);</w:t>
      </w:r>
      <w:r>
        <w:rPr>
          <w:noProof/>
        </w:rPr>
        <w:cr/>
      </w:r>
      <w:r>
        <w:rPr>
          <w:noProof/>
        </w:rPr>
        <w:br/>
        <w:t xml:space="preserve">leto 2018: javno naročanje (4 milijoni EUR) (50 %) – nepovratna sredstva (4 milijoni EUR) (50 %).  </w:t>
      </w:r>
    </w:p>
    <w:p>
      <w:pPr>
        <w:spacing w:before="120" w:after="120"/>
        <w:jc w:val="both"/>
        <w:rPr>
          <w:noProof/>
          <w:color w:val="000000"/>
        </w:rPr>
      </w:pPr>
      <w:r>
        <w:rPr>
          <w:noProof/>
        </w:rPr>
        <w:t xml:space="preserve">Izvajanje ukrepov v letu 2017 je bilo 98,3-odstotno glede prevzetih obveznosti in 90,2-odstotno glede plačil. </w:t>
      </w:r>
    </w:p>
    <w:p>
      <w:pPr>
        <w:spacing w:before="120" w:after="120"/>
        <w:jc w:val="both"/>
        <w:rPr>
          <w:noProof/>
          <w:color w:val="000000"/>
        </w:rPr>
      </w:pPr>
      <w:r>
        <w:rPr>
          <w:noProof/>
        </w:rPr>
        <w:t>Izvajanje ukrepov v letu 2018 je bilo 99,9-odstotno glede prevzetih obveznosti; podatki za plačila glede ukrepov v letu 2018 v času priprave tega poročila še niso bili dokončni, saj je bilo mogoče plačila opraviti do 31. decembra 2019.</w:t>
      </w:r>
    </w:p>
    <w:p>
      <w:pPr>
        <w:spacing w:before="120" w:after="120"/>
        <w:jc w:val="both"/>
        <w:rPr>
          <w:noProof/>
          <w:color w:val="000000"/>
        </w:rPr>
      </w:pPr>
    </w:p>
    <w:p>
      <w:pPr>
        <w:pStyle w:val="Style1"/>
      </w:pPr>
      <w:r>
        <w:t>III.</w:t>
      </w:r>
      <w:r>
        <w:tab/>
        <w:t>RAZČLENITEV FINANCIRANIH UKREPOV</w:t>
      </w:r>
    </w:p>
    <w:p>
      <w:pPr>
        <w:jc w:val="both"/>
        <w:rPr>
          <w:noProof/>
        </w:rPr>
      </w:pPr>
      <w:r>
        <w:rPr>
          <w:noProof/>
        </w:rPr>
        <w:t>Neposredni in posredni komunikacijski ukrepi so bili v letih 2017 in 2018 osredotočeni predvsem na vprašanja, povezana s pripravo reforme skupne kmetijske politike in sektorskih zakonodajnih predlogov za večletni finančni okvir. V tem obdobju so potekala usklajena prizadevanja za povečanje ozaveščenosti in vključenosti glede prihodnosti SKP med deležniki, oblikovalci politik in državljani po vsej EU. Poleg tega so se okrepila prizadevanja za nadaljnji razvoj sinergij z različnimi partnerji na področju komunikacije, v službah Komisije in z drugimi institucijami EU, nacionalnimi organi in drugimi deležniki.</w:t>
      </w:r>
    </w:p>
    <w:p>
      <w:pPr>
        <w:jc w:val="both"/>
        <w:rPr>
          <w:noProof/>
        </w:rPr>
      </w:pPr>
    </w:p>
    <w:p>
      <w:pPr>
        <w:jc w:val="both"/>
        <w:rPr>
          <w:noProof/>
        </w:rPr>
      </w:pPr>
      <w:r>
        <w:rPr>
          <w:noProof/>
        </w:rPr>
        <w:t>Komisija je v letu 2017 opravila obsežna posvetovanja o poenostavitvi in posodobitvi SKP, da bi čim bolj povečala prispevek te politike k desetim političnim prednostnim nalogam kolegija in ciljem trajnostnega razvoja. V prvi polovici leta 2017 je potekalo obširno javno posvetovanje, ki je deležnike, vključno z akterji zunaj kmetijskega sektorja, spodbudilo k temu, da so izrazili svoja stališča o prihodnosti SKP</w:t>
      </w:r>
      <w:r>
        <w:rPr>
          <w:rStyle w:val="FootnoteReference"/>
          <w:noProof/>
        </w:rPr>
        <w:footnoteReference w:id="3"/>
      </w:r>
      <w:r>
        <w:rPr>
          <w:noProof/>
        </w:rPr>
        <w:t>. Odziv javnosti na to javno posvetovanje je bil velik, saj je vključevalo več kot 322 000 prispevkov. Pozneje je 7. julija 2017 v Bruslju potekala pomembna konferenca deležnikov z več kot 500 udeleženci. To je olajšalo razpravo o zamislih, ki so jih predložili vladne in nevladne organizacije ter državljani, za pripravo sporočila Komisije o prihodnosti SKP.</w:t>
      </w:r>
    </w:p>
    <w:p>
      <w:pPr>
        <w:jc w:val="both"/>
        <w:rPr>
          <w:noProof/>
        </w:rPr>
      </w:pPr>
    </w:p>
    <w:p>
      <w:pPr>
        <w:jc w:val="both"/>
        <w:rPr>
          <w:noProof/>
        </w:rPr>
      </w:pPr>
      <w:r>
        <w:rPr>
          <w:noProof/>
        </w:rPr>
        <w:t>Sporočilo o prihodnosti preskrbe s hrano in kmetijstva je bilo sprejeto 29. novembra 2017</w:t>
      </w:r>
      <w:r>
        <w:rPr>
          <w:rStyle w:val="FootnoteReference"/>
          <w:noProof/>
        </w:rPr>
        <w:footnoteReference w:id="4"/>
      </w:r>
      <w:r>
        <w:rPr>
          <w:noProof/>
        </w:rPr>
        <w:t>. Ukrepi za informiranje o navedenem sporočilu (in poznejših zakonodajnih predlogih) so bili pospremljeni z izdatno podporo v tiskanih, družbenih in avdiovizualnih medijih. GD AGRI je v naslednjih dneh in mesecih ob podpori GD COMM, predstavništev Komisije v državah članicah, nacionalnih organov in deležnikov začel več informativnih srečanj s širšo javnostjo in deležniki na nacionalni in regionalni ravni. Namen je bil razpravljati o zamislih, predlaganih v navedenem sporočilu, v zvezi s tem, kako najbolje izkoristiti priložnosti za evropsko kmetijstvo ter hkrati obravnavati sedanje in prihodnje izzive, vključno s podnebnimi spremembami, nestanovitnostjo cen in potrebo po podpori sektorju pri prilagajanju na spreminjajoče se okolje. V petih mesecih je bilo organiziranih do 50 dogodkov z več kot 3 300 udeleženci – državljani, deležniki, pomembnimi nosilci odločanja in mediji – in številni med njimi so imeli pomemben multiplikacijski učinek v svoji državi članici in regiji. Povratne informacije udeležencev so pokazale, da je oblikovalcem politik vse to koristilo v okviru priprave sektorskih zakonodajnih predlogov za večletni finančni okvir v zvezi s SKP.</w:t>
      </w:r>
    </w:p>
    <w:p>
      <w:pPr>
        <w:jc w:val="both"/>
        <w:rPr>
          <w:noProof/>
        </w:rPr>
      </w:pPr>
    </w:p>
    <w:p>
      <w:pPr>
        <w:spacing w:after="240"/>
        <w:jc w:val="both"/>
        <w:rPr>
          <w:noProof/>
        </w:rPr>
      </w:pPr>
      <w:r>
        <w:rPr>
          <w:noProof/>
        </w:rPr>
        <w:t>Najpomembnejša pobuda politike leta 2018 je bilo sprejetje zakonodajnih predlogov 1. junija o prihodnosti SKP v okviru svežnja o večletnem finančnem okviru</w:t>
      </w:r>
      <w:r>
        <w:rPr>
          <w:rStyle w:val="FootnoteReference"/>
          <w:noProof/>
        </w:rPr>
        <w:footnoteReference w:id="5"/>
      </w:r>
      <w:r>
        <w:rPr>
          <w:noProof/>
        </w:rPr>
        <w:t>. GD AGRI je v okviru splošnega korporativnega pristopa Komisije k obveščanju o prihodnjem večletnem finančnem okviru okrepil komunikacijska prizadevanja za ozaveščanje o zakonodajnih predlogih. To je vključevalo številne informativne dogodke v državah članicah, ki so jih vodili komisar za kmetijstvo in razvoj podeželja ter uradniki GD AGRI. Prizadevanja za obveščanje je spremljala kampanja v družbenih medijih, vključevala pa so obsežne dejavnosti v tiskanih medijih, spletnih objavah in avdiovizualnih medijih.</w:t>
      </w:r>
    </w:p>
    <w:p>
      <w:pPr>
        <w:pStyle w:val="AARsimplelist"/>
        <w:numPr>
          <w:ilvl w:val="0"/>
          <w:numId w:val="0"/>
        </w:numPr>
        <w:rPr>
          <w:rFonts w:ascii="Times New Roman" w:hAnsi="Times New Roman" w:cs="Times New Roman"/>
          <w:noProof/>
          <w:sz w:val="24"/>
        </w:rPr>
      </w:pPr>
      <w:r>
        <w:rPr>
          <w:rFonts w:ascii="Times New Roman" w:hAnsi="Times New Roman"/>
          <w:noProof/>
        </w:rPr>
        <w:t>Državljani, deležniki, nosilci odločanja in NVO so zelo cenili pripravljenost predstavnikov Komisije, da se vključijo v posvetovanja in dialog. Predstavitvam je pogosto sledil zelo interaktiven del za vprašanja in odgovore. Od junija do decembra 2018 je v državah članicah potekalo več kot 80 takih dogodkov. Udeležilo se jih je več kot 7 000 oseb, številni pa so imeli pomemben multiplikacijski učinek v svoji državi članici in regiji (ministri, parlamentarci, poslanci EP, vodilni deležniki, NVO, uradniki, pomembni nosilci odločanja in mediji).</w:t>
      </w:r>
    </w:p>
    <w:p>
      <w:pPr>
        <w:jc w:val="both"/>
        <w:rPr>
          <w:noProof/>
        </w:rPr>
      </w:pPr>
      <w:r>
        <w:rPr>
          <w:noProof/>
        </w:rPr>
        <w:t xml:space="preserve">Vse to je pomagalo približati cilje Komisije, kot so predstavljeni v predlogih za večletni finančni okvir v zvezi s SKP. Prispevalo je k splošnim ciljem pristopa korporativnega komuniciranja Komisije, ki so med drugim prisluhniti civilni družbi in širši javnosti ter se z njima vključiti v dialog o vrednotah EU in vplivu njenih ukrepov. </w:t>
      </w:r>
    </w:p>
    <w:p>
      <w:pPr>
        <w:jc w:val="both"/>
        <w:rPr>
          <w:noProof/>
        </w:rPr>
      </w:pPr>
    </w:p>
    <w:p>
      <w:pPr>
        <w:spacing w:after="120"/>
        <w:jc w:val="both"/>
        <w:rPr>
          <w:noProof/>
        </w:rPr>
      </w:pPr>
      <w:r>
        <w:rPr>
          <w:noProof/>
        </w:rPr>
        <w:t xml:space="preserve">GD AGRI je tudi v tem obdobju še naprej dejavno prispeval h kampanjam o korporativnem komuniciranju, ki jih je razvil GD COMM – #InvestEU, #EUandME, EU Protects (EU varuje). Prav tako je v tem obdobju z GD COMM in drugimi generalnimi direktorati sodeloval pri načrtovanju pilotne korporativne kampanje za podeželje, ki jo bo GD COMM uvedel v letu 2019. </w:t>
      </w:r>
    </w:p>
    <w:p>
      <w:pPr>
        <w:autoSpaceDE w:val="0"/>
        <w:autoSpaceDN w:val="0"/>
        <w:adjustRightInd w:val="0"/>
        <w:jc w:val="both"/>
        <w:rPr>
          <w:b/>
          <w:noProof/>
        </w:rPr>
      </w:pPr>
    </w:p>
    <w:p>
      <w:pPr>
        <w:ind w:left="720" w:hanging="720"/>
        <w:jc w:val="both"/>
        <w:rPr>
          <w:b/>
          <w:noProof/>
        </w:rPr>
      </w:pPr>
      <w:r>
        <w:rPr>
          <w:b/>
          <w:noProof/>
        </w:rPr>
        <w:t>1.</w:t>
      </w:r>
      <w:r>
        <w:rPr>
          <w:b/>
          <w:noProof/>
        </w:rPr>
        <w:tab/>
        <w:t>Nepovratna sredstva (sofinancirani ukrepi za informiranje, sprejeti na pobudo organizacij tretjih oseb)</w:t>
      </w:r>
    </w:p>
    <w:p>
      <w:pPr>
        <w:spacing w:before="120" w:after="120"/>
        <w:jc w:val="both"/>
        <w:rPr>
          <w:noProof/>
        </w:rPr>
      </w:pPr>
      <w:r>
        <w:rPr>
          <w:noProof/>
        </w:rPr>
        <w:t>V členu 45 (ukrepi za informiranje) Uredbe sta predvideni dve vrsti ukrepov, ki se bodo financirali z nepovratnimi sredstvi, tj. letni delovni programi ali drugi specifični ukrepi, ki jih predstavijo tretje osebe. Posebni ukrepi za informiranje se nanašajo na časovno in prostorsko omejene informativne dogodke, ki se izvajajo na podlagi enotnega proračuna. Med take dogodke lahko spadajo tako konference kot tudi celovita informacijska kampanja, ki vključuje več vrst dejavnosti za informiranje (kot so avdiovizualne produkcije, medijski dogodki, konference in delavnice), ki se izvajajo v različnih regijah in/ali državah članicah. Letni delovni program je sklop od dveh do petih posebnih ukrepov za informiranje. Za leti 2017 in 2018 je bilo odločeno (kot v predhodnih letih), da se zaradi poenostavitve sheme nepovratnih sredstev in zagotovitve usklajenosti različnih komunikacijskih ukrepov za sofinanciranje ohranijo le posebni ukrepi za informiranje.</w:t>
      </w:r>
    </w:p>
    <w:p>
      <w:pPr>
        <w:autoSpaceDE w:val="0"/>
        <w:autoSpaceDN w:val="0"/>
        <w:adjustRightInd w:val="0"/>
        <w:jc w:val="both"/>
        <w:rPr>
          <w:noProof/>
        </w:rPr>
      </w:pPr>
      <w:r>
        <w:rPr>
          <w:noProof/>
        </w:rPr>
        <w:t>Z razpisom za zbiranje predlogov</w:t>
      </w:r>
      <w:r>
        <w:rPr>
          <w:rStyle w:val="FootnoteReference"/>
          <w:noProof/>
        </w:rPr>
        <w:footnoteReference w:id="6"/>
      </w:r>
      <w:r>
        <w:rPr>
          <w:noProof/>
        </w:rPr>
        <w:t xml:space="preserve"> za leto 2017 so se spodbujali ukrepi za informiranje, namenjeni ponazoritvi prispevka SKP k rasti in delovnim mestom ter trajnostnim podeželskim skupnostim; vlogi kmetijstva in gozdarstva pri ukrepih za prilagajanje podnebnim spremembam in blaženje podnebnih sprememb; trajnostnemu kmetovanju in izboljšanju pravičnosti v kmetijsko-živilski dobavni verigi. Razpis za zbiranje predlogov</w:t>
      </w:r>
      <w:r>
        <w:rPr>
          <w:rStyle w:val="FootnoteReference"/>
          <w:noProof/>
        </w:rPr>
        <w:footnoteReference w:id="7"/>
      </w:r>
      <w:r>
        <w:rPr>
          <w:noProof/>
        </w:rPr>
        <w:t xml:space="preserve"> za leto 2018 je bil poleg tega osredotočen na vlogo SKP pri spodbujanju inovacij in izmenjave znanja ter na opogumljanje mladih, naj se začnejo ukvarjati s kmetovanjem, in spodbujanje zdravih prehranjevalnih navad.</w:t>
      </w:r>
    </w:p>
    <w:p>
      <w:pPr>
        <w:autoSpaceDE w:val="0"/>
        <w:autoSpaceDN w:val="0"/>
        <w:adjustRightInd w:val="0"/>
        <w:jc w:val="both"/>
        <w:rPr>
          <w:noProof/>
        </w:rPr>
      </w:pPr>
    </w:p>
    <w:p>
      <w:pPr>
        <w:pStyle w:val="Default"/>
        <w:jc w:val="both"/>
        <w:rPr>
          <w:rFonts w:ascii="Times New Roman" w:hAnsi="Times New Roman" w:cs="Times New Roman"/>
          <w:noProof/>
        </w:rPr>
      </w:pPr>
      <w:r>
        <w:rPr>
          <w:rFonts w:ascii="Times New Roman" w:hAnsi="Times New Roman"/>
          <w:noProof/>
        </w:rPr>
        <w:t>V obeh letih so ciljno skupino sestavljali širša javnost (zlasti mladi na mestnih območjih) ter kmetje in drugi deležniki, ki so aktivni na podeželju.</w:t>
      </w:r>
    </w:p>
    <w:p>
      <w:pPr>
        <w:pStyle w:val="Default"/>
        <w:jc w:val="both"/>
        <w:rPr>
          <w:rFonts w:ascii="Times New Roman" w:hAnsi="Times New Roman" w:cs="Times New Roman"/>
          <w:noProof/>
        </w:rPr>
      </w:pPr>
    </w:p>
    <w:p>
      <w:pPr>
        <w:autoSpaceDE w:val="0"/>
        <w:autoSpaceDN w:val="0"/>
        <w:adjustRightInd w:val="0"/>
        <w:jc w:val="both"/>
        <w:rPr>
          <w:noProof/>
        </w:rPr>
      </w:pPr>
      <w:r>
        <w:rPr>
          <w:noProof/>
        </w:rPr>
        <w:t xml:space="preserve">Za zgoraj navedene ukrepe je bila določena 60-odstotna najvišja stopnja sofinanciranja upravičenih stroškov. V letu 2017 je bilo sofinanciranih 16 ukrepov. V letu 2018 je bilo sofinanciranih 20 ukrepov, kar skupaj pomeni 36 sofinanciranih ukrepov (vsi po 60-odstotni stopnji) za obdobje 2017–2018. </w:t>
      </w:r>
    </w:p>
    <w:p>
      <w:pPr>
        <w:autoSpaceDE w:val="0"/>
        <w:autoSpaceDN w:val="0"/>
        <w:adjustRightInd w:val="0"/>
        <w:jc w:val="both"/>
        <w:rPr>
          <w:noProof/>
        </w:rPr>
      </w:pPr>
    </w:p>
    <w:p>
      <w:pPr>
        <w:autoSpaceDE w:val="0"/>
        <w:autoSpaceDN w:val="0"/>
        <w:adjustRightInd w:val="0"/>
        <w:jc w:val="both"/>
        <w:rPr>
          <w:noProof/>
        </w:rPr>
      </w:pPr>
      <w:r>
        <w:rPr>
          <w:noProof/>
        </w:rPr>
        <w:t>V letih 2017 in 2018 so bili podprti naslednji ukrepi:</w:t>
      </w:r>
    </w:p>
    <w:p>
      <w:pPr>
        <w:autoSpaceDE w:val="0"/>
        <w:autoSpaceDN w:val="0"/>
        <w:adjustRightInd w:val="0"/>
        <w:jc w:val="both"/>
        <w:rPr>
          <w:noProof/>
        </w:rPr>
      </w:pPr>
      <w:r>
        <w:rPr>
          <w:noProof/>
        </w:rPr>
        <w:t>– 16 pogodb o nepovratnih sredstvih je bilo dodeljenih medijskim in komunikacijskim agencijam za ukrepe, s katerimi se na nacionalni ravni spodbuja ozaveščanje o pomenu kmetijstva in podeželja za družbo kot celoto. Ti ukrepi so pogosto vključevali pedagoške vidike in dogodke ozaveščanja o hrani in kmetovanju, pri čemer sta bila poudarjena vloga podpore EU in pomen mladih kmetov za sektor;</w:t>
      </w:r>
    </w:p>
    <w:p>
      <w:pPr>
        <w:autoSpaceDE w:val="0"/>
        <w:autoSpaceDN w:val="0"/>
        <w:adjustRightInd w:val="0"/>
        <w:jc w:val="both"/>
        <w:rPr>
          <w:noProof/>
        </w:rPr>
      </w:pPr>
      <w:r>
        <w:rPr>
          <w:noProof/>
        </w:rPr>
        <w:t>– podpora je bila dodeljena tudi sedmim ukrepom na nacionalni ravni, ki jih vodijo združenja kmetov ali subjekti, tesno povezani s kmetijskim sektorjem;</w:t>
      </w:r>
    </w:p>
    <w:p>
      <w:pPr>
        <w:autoSpaceDE w:val="0"/>
        <w:autoSpaceDN w:val="0"/>
        <w:adjustRightInd w:val="0"/>
        <w:jc w:val="both"/>
        <w:rPr>
          <w:noProof/>
        </w:rPr>
      </w:pPr>
      <w:r>
        <w:rPr>
          <w:noProof/>
        </w:rPr>
        <w:t>– dve organizaciji, dejavni na področju okolja na nacionalni ravni, sta prejeli podporo za ukrepe, povezane z ozaveščanjem o vprašanjih v zvezi s trajnostnostjo oziroma biotsko raznovrstnostjo;</w:t>
      </w:r>
    </w:p>
    <w:p>
      <w:pPr>
        <w:autoSpaceDE w:val="0"/>
        <w:autoSpaceDN w:val="0"/>
        <w:adjustRightInd w:val="0"/>
        <w:jc w:val="both"/>
        <w:rPr>
          <w:noProof/>
        </w:rPr>
      </w:pPr>
      <w:r>
        <w:rPr>
          <w:noProof/>
        </w:rPr>
        <w:t>– podprtih je bilo šest ukrepov s precejšnjim nadnacionalnim vidikom, ki so jih predlagale medijske družbe, in eden iz okoljske NVO na ravni EU; glavni poudarek teh čezmejnih ukrepov je bil na obveščanju državljanov EU o tem, kako SKP prispeva k njihovemu življenju;</w:t>
      </w:r>
    </w:p>
    <w:p>
      <w:pPr>
        <w:autoSpaceDE w:val="0"/>
        <w:autoSpaceDN w:val="0"/>
        <w:adjustRightInd w:val="0"/>
        <w:jc w:val="both"/>
        <w:rPr>
          <w:noProof/>
        </w:rPr>
      </w:pPr>
      <w:r>
        <w:rPr>
          <w:noProof/>
        </w:rPr>
        <w:t xml:space="preserve">– prav tako na nacionalni ravni so podporo prejeli tudi organizacija, ki spodbuja evropsko državljansko vzgojo, okrožni svet, ki spodbuja lokalne tradicionalne kmetijske proizvode, in nacionalno združenje, ki se ukvarja z vprašanji vode/namakanja; </w:t>
      </w:r>
    </w:p>
    <w:p>
      <w:pPr>
        <w:autoSpaceDE w:val="0"/>
        <w:autoSpaceDN w:val="0"/>
        <w:adjustRightInd w:val="0"/>
        <w:jc w:val="both"/>
        <w:rPr>
          <w:noProof/>
        </w:rPr>
      </w:pPr>
      <w:r>
        <w:rPr>
          <w:noProof/>
        </w:rPr>
        <w:t>– in nazadnje, sofinanciran je bil tudi inovativni koncept, to je ustvarjalna zadruga, ki prek glasbenih in umetniških dogodkov mlade in državljane ozavešča o SKP.</w:t>
      </w:r>
    </w:p>
    <w:p>
      <w:pPr>
        <w:autoSpaceDE w:val="0"/>
        <w:autoSpaceDN w:val="0"/>
        <w:adjustRightInd w:val="0"/>
        <w:jc w:val="both"/>
        <w:rPr>
          <w:noProof/>
        </w:rPr>
      </w:pPr>
    </w:p>
    <w:p>
      <w:pPr>
        <w:autoSpaceDE w:val="0"/>
        <w:autoSpaceDN w:val="0"/>
        <w:adjustRightInd w:val="0"/>
        <w:jc w:val="both"/>
        <w:rPr>
          <w:noProof/>
        </w:rPr>
      </w:pPr>
      <w:r>
        <w:rPr>
          <w:noProof/>
        </w:rPr>
        <w:t xml:space="preserve">Prav vsi ukrepi so vključevali mešanico komunikacijskih orodij (družbeni, spletni, tiskani in avdiovizualni mediji), namenjenih kmetijski skupnosti, širši javnosti in mladim, pogosto pa so vključevali tudi izobraževalno razsežnost. </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Razpisi za zbiranje predlogov so vložnike vlog za nepovratna sredstva spodbudili k prizadevanjem za ustreznejšo opredelitev ciljnih skupin, boljše širjenje informacij in analizo učinka ukrepov glede števila neposredno in posredno doseženih oseb. Vložniki so morali za svoje predlagane ukrepe predložiti podrobne načrte, vključno z izvajanjem projekta, pošiljanjem sporočil in merjenjem učinkovitosti. Pomembno je poudariti, da je precej sofinanciranih ukrepov doseglo širšo javnost in ne le neposrednih udeležencev, kar je bilo mogoče zaradi multiplikacijskega učinka specializiranih medijev in tiska ter večje uporabe spleta in družbenih medijev kot orodij razširjanja.</w:t>
      </w:r>
    </w:p>
    <w:p>
      <w:pPr>
        <w:autoSpaceDE w:val="0"/>
        <w:autoSpaceDN w:val="0"/>
        <w:adjustRightInd w:val="0"/>
        <w:jc w:val="both"/>
        <w:rPr>
          <w:rFonts w:eastAsiaTheme="minorHAnsi"/>
          <w:noProof/>
        </w:rPr>
      </w:pPr>
    </w:p>
    <w:p>
      <w:pPr>
        <w:autoSpaceDE w:val="0"/>
        <w:autoSpaceDN w:val="0"/>
        <w:adjustRightInd w:val="0"/>
        <w:jc w:val="both"/>
        <w:rPr>
          <w:noProof/>
        </w:rPr>
      </w:pPr>
      <w:r>
        <w:rPr>
          <w:noProof/>
        </w:rPr>
        <w:t>Vloge so bile ocenjene na podlagi strogih meril za upravičenost, izključitev, izbor in dodelitev iz razpisov za zbiranje predlogov. To je bilo v skladu s finančno uredbo</w:t>
      </w:r>
      <w:r>
        <w:rPr>
          <w:rStyle w:val="FootnoteReference"/>
          <w:noProof/>
        </w:rPr>
        <w:footnoteReference w:id="8"/>
      </w:r>
      <w:r>
        <w:rPr>
          <w:noProof/>
          <w:highlight w:val="yellow"/>
        </w:rPr>
        <w:t xml:space="preserve"> </w:t>
      </w:r>
      <w:r>
        <w:rPr>
          <w:noProof/>
        </w:rPr>
        <w:t>ter je izražalo cilj Komisije v zvezi z zagotavljanjem enakega obravnavanja in pravične konkurence med vložniki</w:t>
      </w:r>
      <w:r>
        <w:rPr>
          <w:rStyle w:val="FootnoteReference"/>
          <w:noProof/>
        </w:rPr>
        <w:footnoteReference w:id="9"/>
      </w:r>
      <w:r>
        <w:rPr>
          <w:noProof/>
        </w:rPr>
        <w:t>.</w:t>
      </w:r>
    </w:p>
    <w:p>
      <w:pPr>
        <w:spacing w:before="120" w:after="120"/>
        <w:jc w:val="both"/>
        <w:rPr>
          <w:noProof/>
        </w:rPr>
      </w:pPr>
      <w:r>
        <w:rPr>
          <w:noProof/>
        </w:rPr>
        <w:t>Delovni dokument služb Komisije, priložen temu poročilu, vsebuje podrobne informacije o nepovratnih sredstvih, dodeljenih v obdobju poročanja, vključno s številom uspešnih vlog po državah članicah.</w:t>
      </w:r>
    </w:p>
    <w:p>
      <w:pPr>
        <w:autoSpaceDE w:val="0"/>
        <w:autoSpaceDN w:val="0"/>
        <w:adjustRightInd w:val="0"/>
        <w:jc w:val="both"/>
        <w:rPr>
          <w:noProof/>
        </w:rPr>
      </w:pPr>
    </w:p>
    <w:p>
      <w:pPr>
        <w:autoSpaceDE w:val="0"/>
        <w:autoSpaceDN w:val="0"/>
        <w:adjustRightInd w:val="0"/>
        <w:jc w:val="both"/>
        <w:rPr>
          <w:noProof/>
        </w:rPr>
      </w:pPr>
    </w:p>
    <w:p>
      <w:pPr>
        <w:pStyle w:val="Style2"/>
        <w:ind w:left="720" w:hanging="720"/>
      </w:pPr>
      <w:r>
        <w:t>2.</w:t>
      </w:r>
      <w:r>
        <w:tab/>
        <w:t>Neposredni ukrepi/javno naročanje (ukrepi za informiranje, sprejeti na pobudo Komisije)</w:t>
      </w:r>
    </w:p>
    <w:p>
      <w:pPr>
        <w:pStyle w:val="Style2"/>
      </w:pPr>
    </w:p>
    <w:p>
      <w:pPr>
        <w:jc w:val="both"/>
        <w:rPr>
          <w:noProof/>
        </w:rPr>
      </w:pPr>
      <w:r>
        <w:rPr>
          <w:noProof/>
        </w:rPr>
        <w:t>V obdobju 2017–2018 je bilo tako kot v preteklih letih veliko ukrepov za informiranje izvedenih na pobudo Komisije.</w:t>
      </w:r>
    </w:p>
    <w:p>
      <w:pPr>
        <w:pStyle w:val="Style3"/>
      </w:pPr>
      <w:r>
        <w:t>(a) Mrežno povezovanje z mediji</w:t>
      </w:r>
    </w:p>
    <w:p>
      <w:pPr>
        <w:jc w:val="both"/>
        <w:rPr>
          <w:noProof/>
        </w:rPr>
      </w:pPr>
      <w:r>
        <w:rPr>
          <w:noProof/>
        </w:rPr>
        <w:t xml:space="preserve">Zagotavljanje ustreznih, uporabniku prijaznih informacij medijem ter informativni sestanki o razvoju na področju SKP in razvoja podeželja so bili tako kot v preteklih letih še naprej pomembna stalnica komunikacijskih ukrepov. Tako kot v preteklosti je to imelo zelo pomemben multiplikacijski učinek, zlasti ker se je v tem obdobju močno okrepil razvoj komunikacije prek družbenih medijev in spleta. Stalna rast in vzdrževanje platforme za novinarje in poklicne komunikatorje </w:t>
      </w:r>
      <w:hyperlink r:id="rId16" w:history="1">
        <w:r>
          <w:rPr>
            <w:rStyle w:val="Hyperlink"/>
            <w:noProof/>
          </w:rPr>
          <w:t>www.Ag-Press.eu</w:t>
        </w:r>
      </w:hyperlink>
      <w:r>
        <w:rPr>
          <w:noProof/>
        </w:rPr>
        <w:t xml:space="preserve"> ter organizacija študijskih obiskov in seminarjev za člane mreže AG-Press so še naprej spodbujali tesne stike in izmenjave z novinarji, specializiranimi za kmetijska področja, in z nespecializiranimi mediji. Ob koncu leta </w:t>
      </w:r>
    </w:p>
    <w:p>
      <w:pPr>
        <w:jc w:val="both"/>
        <w:rPr>
          <w:noProof/>
        </w:rPr>
      </w:pPr>
      <w:r>
        <w:rPr>
          <w:noProof/>
        </w:rPr>
        <w:t xml:space="preserve">2018 je bilo v mrežo Ag-Press vključenih približno 950 novinarjev. Mreža je še naprej dragocen vir za Komisijo in koristna za svoje člane. Dejavnost GD AGRI v družbenih medijih (Facebook, Twitter, Instagram) se je znatno razširila in njena ciljna javnost se je hitro povečevala. To je bilo pomembno za privabljanje strokovnjakov na spletišče, zagotavljanje celovitih informacij in najnovejših novic ter doseganje širše javnosti. </w:t>
      </w:r>
    </w:p>
    <w:p>
      <w:pPr>
        <w:jc w:val="both"/>
        <w:rPr>
          <w:noProof/>
        </w:rPr>
      </w:pPr>
    </w:p>
    <w:p>
      <w:pPr>
        <w:jc w:val="both"/>
        <w:rPr>
          <w:noProof/>
        </w:rPr>
      </w:pPr>
      <w:r>
        <w:rPr>
          <w:noProof/>
        </w:rPr>
        <w:t>Skupine novinarjev so med šestimi študijskimi obiski v letih 2017 in 2018 imele priložnost opaziti pogosto zelo različne kmetijske razmere v drugih regijah in državah članicah. Obravnavane teme so med drugim vključevale konkurenčnost, trajnostnost, precizno kmetovanje, biogospodarstvo in generacijsko pomladitev. Srečanja s kmeti, prebivalci podeželja in podjetniki na terenu so pomagala pri ozaveščanju o izzivih in priložnostih za kmetijstvo v različnih državah članicah in regijah. Poleg tega so na petih seminarjih, ki so se jih udeležili strokovnjaki na področju politik EU, novinarji dobili poglobljen vpogled v razvoj politik EU na področju trgovine z agroživilskimi proizvodi, SKP in živilske verige, politike kakovosti in inovacij v sektorju, pa tudi v predloge reforme SKP ob sodelovanju komisarja za kmetijstvo in razvoj podeželja in zadevnih poslancev EP.</w:t>
      </w:r>
    </w:p>
    <w:p>
      <w:pPr>
        <w:pStyle w:val="Style3"/>
      </w:pPr>
      <w:r>
        <w:t>(b) Mrežno povezovanje z deležniki – konference</w:t>
      </w:r>
    </w:p>
    <w:p>
      <w:pPr>
        <w:autoSpaceDE w:val="0"/>
        <w:autoSpaceDN w:val="0"/>
        <w:adjustRightInd w:val="0"/>
        <w:jc w:val="both"/>
        <w:rPr>
          <w:rFonts w:eastAsiaTheme="minorHAnsi"/>
          <w:noProof/>
        </w:rPr>
      </w:pPr>
      <w:r>
        <w:rPr>
          <w:noProof/>
        </w:rPr>
        <w:t>Deležniki so zelo pomemben multiplikator informacij na področju kmetijstva in razvoja podeželja. V obdobju poročanja so bile konference še naprej pomemben forum za posvetovanje in dialog o prihodnjem razvoju zadevne politike. Kot je navedeno v oddelku III, se je v skladu s političnimi prednostnimi nalogami Komisije in poudarkom na obširnem posvetovanju s civilno družbo sodelovanje z deležniki – drugimi institucijami EU, upravami držav članic, socialno-strokovnim sektorjem na ravni EU in nacionalni ravni ter akademsko skupnostjo – okrepilo v okviru priprav sektorskih predlogov za večletni finančni okvir, pa tudi v zvezi z vprašanji, kot je obravnavanje nepoštenih trgovinskih praks v živilski verigi.</w:t>
      </w:r>
    </w:p>
    <w:p>
      <w:pPr>
        <w:autoSpaceDE w:val="0"/>
        <w:autoSpaceDN w:val="0"/>
        <w:adjustRightInd w:val="0"/>
        <w:jc w:val="both"/>
        <w:rPr>
          <w:rFonts w:eastAsiaTheme="minorHAnsi"/>
          <w:noProof/>
        </w:rPr>
      </w:pPr>
      <w:r>
        <w:rPr>
          <w:noProof/>
        </w:rPr>
        <w:t xml:space="preserve"> </w:t>
      </w:r>
    </w:p>
    <w:p>
      <w:pPr>
        <w:autoSpaceDE w:val="0"/>
        <w:autoSpaceDN w:val="0"/>
        <w:adjustRightInd w:val="0"/>
        <w:spacing w:after="200"/>
        <w:contextualSpacing/>
        <w:jc w:val="both"/>
        <w:rPr>
          <w:noProof/>
          <w:color w:val="404040"/>
        </w:rPr>
      </w:pPr>
      <w:r>
        <w:rPr>
          <w:noProof/>
          <w:color w:val="404040"/>
        </w:rPr>
        <w:t xml:space="preserve">Ta osredotočenost na prihodnje izzive je bila tudi osrednja tema </w:t>
      </w:r>
      <w:r>
        <w:rPr>
          <w:noProof/>
        </w:rPr>
        <w:t>vodilnih letnih</w:t>
      </w:r>
      <w:r>
        <w:rPr>
          <w:noProof/>
          <w:color w:val="404040"/>
        </w:rPr>
        <w:t xml:space="preserve"> konferenc GD AGRI </w:t>
      </w:r>
      <w:r>
        <w:rPr>
          <w:noProof/>
        </w:rPr>
        <w:t>o obetih za kmetijstvo EU</w:t>
      </w:r>
      <w:r>
        <w:rPr>
          <w:noProof/>
          <w:color w:val="404040"/>
        </w:rPr>
        <w:t>.</w:t>
      </w:r>
      <w:r>
        <w:rPr>
          <w:noProof/>
        </w:rPr>
        <w:t xml:space="preserve"> </w:t>
      </w:r>
      <w:r>
        <w:rPr>
          <w:noProof/>
          <w:color w:val="404040"/>
        </w:rPr>
        <w:t>Konferenca decembra 2018, ki jo je odprl komisar za kmetijstvo in razvoj podeželja, je bila posvečena najnovejšemu dogajanju</w:t>
      </w:r>
      <w:r>
        <w:rPr>
          <w:noProof/>
        </w:rPr>
        <w:t xml:space="preserve"> na področju digitalizacije in inovacij v kmetijskem sektorju. Na njej je bilo obravnavano tudi sodelovanje na področju trgovine in naložb med EU in Afriko. Tako v letu 2017 kot tudi v letu 2018 je bil na konferenci velik poudarek namenjen posodobitvi SKP in delu, opravljenemu v sodelovanju s Skupnim raziskovalnim središčem v zvezi z napovedmi za kmetijske trge EU. </w:t>
      </w:r>
      <w:r>
        <w:rPr>
          <w:noProof/>
          <w:color w:val="404040"/>
        </w:rPr>
        <w:t>Med udeleženci so bili institucije EU, vlade in mednarodne organizacije, subjekti, vključeni v verigo preskrbe s hrano, tržni strokovnjaki, akademiki, možganski trusti in civilna družba.</w:t>
      </w:r>
    </w:p>
    <w:p>
      <w:pPr>
        <w:autoSpaceDE w:val="0"/>
        <w:autoSpaceDN w:val="0"/>
        <w:adjustRightInd w:val="0"/>
        <w:spacing w:after="200"/>
        <w:contextualSpacing/>
        <w:jc w:val="both"/>
        <w:rPr>
          <w:noProof/>
          <w:color w:val="404040"/>
        </w:rPr>
      </w:pPr>
    </w:p>
    <w:p>
      <w:pPr>
        <w:autoSpaceDE w:val="0"/>
        <w:autoSpaceDN w:val="0"/>
        <w:adjustRightInd w:val="0"/>
        <w:spacing w:after="200"/>
        <w:contextualSpacing/>
        <w:jc w:val="both"/>
        <w:rPr>
          <w:noProof/>
          <w:color w:val="404040"/>
        </w:rPr>
      </w:pPr>
      <w:r>
        <w:rPr>
          <w:noProof/>
        </w:rPr>
        <w:t xml:space="preserve">Komisija in avstrijsko predsedstvo EU sta ob sodelovanju Evropskega parlamenta novembra 2018 na Dunaju skupaj organizirala dogodek o razvoju rastlinskih beljakovin v EU. </w:t>
      </w:r>
      <w:r>
        <w:rPr>
          <w:noProof/>
          <w:color w:val="404040"/>
        </w:rPr>
        <w:t>Približno 200 povabljenih strokovnjakov iz kmetijskih dobavnih verig za proizvodnjo krme in živil, raziskovalnih in svetovalnih mrež ter nacionalnih in regionalnih uprav je razpravljalo o glavnih ugotovitvah poročila Komisije o razvoju rastlinskih beljakovin v Evropski uniji in o tem, kako bi se lahko z obstoječim in prihodnjim okvirom politike podprla nadaljnja sprostitev potenciala za proizvodnjo rastlinskih beljakovin v Uniji</w:t>
      </w:r>
      <w:r>
        <w:rPr>
          <w:rStyle w:val="FootnoteReference"/>
          <w:noProof/>
          <w:color w:val="404040"/>
        </w:rPr>
        <w:footnoteReference w:id="10"/>
      </w:r>
      <w:r>
        <w:rPr>
          <w:noProof/>
          <w:color w:val="404040"/>
        </w:rPr>
        <w:t>.</w:t>
      </w:r>
    </w:p>
    <w:p>
      <w:pPr>
        <w:autoSpaceDE w:val="0"/>
        <w:autoSpaceDN w:val="0"/>
        <w:adjustRightInd w:val="0"/>
        <w:spacing w:after="200"/>
        <w:contextualSpacing/>
        <w:jc w:val="both"/>
        <w:rPr>
          <w:noProof/>
        </w:rPr>
      </w:pPr>
    </w:p>
    <w:p>
      <w:pPr>
        <w:autoSpaceDE w:val="0"/>
        <w:autoSpaceDN w:val="0"/>
        <w:adjustRightInd w:val="0"/>
        <w:spacing w:after="200"/>
        <w:contextualSpacing/>
        <w:jc w:val="both"/>
        <w:rPr>
          <w:noProof/>
        </w:rPr>
      </w:pPr>
      <w:r>
        <w:rPr>
          <w:noProof/>
        </w:rPr>
        <w:t>V Bruslju sta bili novembra in decembra 2018 v sodelovanju z Mednarodno zvezo za ohranjanje narave</w:t>
      </w:r>
      <w:r>
        <w:rPr>
          <w:b/>
          <w:noProof/>
        </w:rPr>
        <w:t xml:space="preserve"> </w:t>
      </w:r>
      <w:r>
        <w:rPr>
          <w:noProof/>
        </w:rPr>
        <w:t>organizirani okrogli mizi o predlagani zeleni strukturi nove SKP. To je deležnikom, ki predstavljajo kmetijski in okoljski sektor, omogočilo izmenjavo mnenj o tem, kako bi bilo mogoče izvesti zakonodajne predloge v zvezi s prihodnjo SKP.</w:t>
      </w:r>
    </w:p>
    <w:p>
      <w:pPr>
        <w:pStyle w:val="BodyText"/>
        <w:spacing w:after="240"/>
        <w:rPr>
          <w:noProof/>
          <w:color w:val="333333"/>
        </w:rPr>
      </w:pPr>
      <w:r>
        <w:rPr>
          <w:noProof/>
        </w:rPr>
        <w:t>Še en pomemben mejnik je bil vrh o inovacijah v kmetijstvu oktobra 2017 v Lizboni. To</w:t>
      </w:r>
      <w:r>
        <w:rPr>
          <w:noProof/>
          <w:color w:val="333333"/>
        </w:rPr>
        <w:t xml:space="preserve"> je bila skupna pobuda portugalskega konzorcija, portugalske vlade, mreže EIP-AGRI in Evropske mreže za razvoj podeželja.</w:t>
      </w:r>
      <w:r>
        <w:rPr>
          <w:noProof/>
        </w:rPr>
        <w:t xml:space="preserve"> </w:t>
      </w:r>
      <w:r>
        <w:rPr>
          <w:noProof/>
          <w:color w:val="333333"/>
        </w:rPr>
        <w:t>Maja 2018 je potekala še ena pomembna konferenca o kmetijskih raziskavah in inovacijah v EU, ki je spodbudila k razmisleku o tem, kako deležnike vključiti v opredelitev prihodnjih evropskih dejavnosti raziskav in inovacij v tem sektorju.</w:t>
      </w:r>
    </w:p>
    <w:p>
      <w:pPr>
        <w:pStyle w:val="Style3"/>
      </w:pPr>
      <w:r>
        <w:t>(c) Dejavnosti za širšo javnost</w:t>
      </w:r>
    </w:p>
    <w:p>
      <w:pPr>
        <w:autoSpaceDE w:val="0"/>
        <w:autoSpaceDN w:val="0"/>
        <w:adjustRightInd w:val="0"/>
        <w:jc w:val="both"/>
        <w:rPr>
          <w:rFonts w:eastAsiaTheme="minorHAnsi"/>
          <w:b/>
          <w:bCs/>
          <w:i/>
          <w:iCs/>
          <w:noProof/>
        </w:rPr>
      </w:pPr>
      <w:r>
        <w:rPr>
          <w:b/>
          <w:bCs/>
          <w:i/>
          <w:iCs/>
          <w:noProof/>
        </w:rPr>
        <w:t>Udeležba na sejmih</w:t>
      </w:r>
    </w:p>
    <w:p>
      <w:pPr>
        <w:autoSpaceDE w:val="0"/>
        <w:autoSpaceDN w:val="0"/>
        <w:adjustRightInd w:val="0"/>
        <w:jc w:val="both"/>
        <w:rPr>
          <w:rFonts w:eastAsiaTheme="minorHAnsi"/>
          <w:noProof/>
        </w:rPr>
      </w:pPr>
      <w:r>
        <w:rPr>
          <w:noProof/>
        </w:rPr>
        <w:t xml:space="preserve">Pri udeležbi na sejmih v tem obdobju je bila Komisija še naprej osredotočena na to, da prisluhne državljanom in z njimi sodeluje ter da ozavešča javnost o EU kot celoti, njeni vlogi in vrednotah. GD AGRI je okrepil svoje dejavnosti, namenjene državljanom in deležnikom, na devetih kmetijskih sejmih na temo „od vil do vilic, trajnostna hrana za našo prihodnost“. To je pogosto potekalo v sodelovanju z drugimi generalnimi direktorati in službami, vključno z GD za zdravje in varnost hrane (GD SANTE), GD za pomorske zadeve in ribištvo (GD MARE) ter GD za raziskave in inovacije (GD RTD), pa tudi s predstavništvi Komisije v državah članicah. Pogosto je navzočnost komisarja za kmetijstvo in razvoj podeželja ter visokih predstavnikov držav članic na sejmih, kot sta Mednarodni zeleni teden v Berlinu in </w:t>
      </w:r>
      <w:r>
        <w:rPr>
          <w:i/>
          <w:noProof/>
        </w:rPr>
        <w:t>Salon de l’Agriculture</w:t>
      </w:r>
      <w:r>
        <w:rPr>
          <w:noProof/>
        </w:rPr>
        <w:t xml:space="preserve"> v Parizu, vzbudila zelo veliko zanimanje in zagotovila pomembno medijsko pokritost v nacionalnih in regionalnih medijih. Udeležba je bila zagotovljena tudi na kmetijskih sejmih v več drugih državah članicah.</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Nadaljevala so se prizadevanja za zagotovitev privlačnega in učinkovitega komunikacijskega gradiva in dejavnosti za sejme v tem obdobju. Ta gradiva in dejavnosti so bili pogosto oblikovani tako, da so bili privlačni za družine in šolarje.</w:t>
      </w:r>
    </w:p>
    <w:p>
      <w:pPr>
        <w:autoSpaceDE w:val="0"/>
        <w:autoSpaceDN w:val="0"/>
        <w:adjustRightInd w:val="0"/>
        <w:jc w:val="both"/>
        <w:rPr>
          <w:rFonts w:eastAsiaTheme="minorHAnsi"/>
          <w:noProof/>
        </w:rPr>
      </w:pPr>
    </w:p>
    <w:p>
      <w:pPr>
        <w:autoSpaceDE w:val="0"/>
        <w:autoSpaceDN w:val="0"/>
        <w:adjustRightInd w:val="0"/>
        <w:jc w:val="both"/>
        <w:rPr>
          <w:rFonts w:eastAsiaTheme="minorHAnsi"/>
          <w:b/>
          <w:bCs/>
          <w:i/>
          <w:iCs/>
          <w:noProof/>
        </w:rPr>
      </w:pPr>
      <w:r>
        <w:rPr>
          <w:b/>
          <w:bCs/>
          <w:i/>
          <w:iCs/>
          <w:noProof/>
        </w:rPr>
        <w:t>Izobraževalni paket za šolarje</w:t>
      </w:r>
    </w:p>
    <w:p>
      <w:pPr>
        <w:autoSpaceDE w:val="0"/>
        <w:autoSpaceDN w:val="0"/>
        <w:adjustRightInd w:val="0"/>
        <w:jc w:val="both"/>
        <w:rPr>
          <w:rFonts w:eastAsiaTheme="minorHAnsi"/>
          <w:noProof/>
        </w:rPr>
      </w:pPr>
      <w:r>
        <w:rPr>
          <w:noProof/>
        </w:rPr>
        <w:t xml:space="preserve">V tem obdobju je bil dokončan izobraževalni paket za šolarje, stare od 11 do 15 let („edutainment pack“), katerega promocija in distribucija sta potekali prek informacijskih središč službe Europe Direct in predstavništev Komisije v državah članicah, podprti pa sta bili z digitalno kampanjo in kampanjo v družbenih medijih. </w:t>
      </w:r>
    </w:p>
    <w:p>
      <w:pPr>
        <w:autoSpaceDE w:val="0"/>
        <w:autoSpaceDN w:val="0"/>
        <w:adjustRightInd w:val="0"/>
        <w:jc w:val="both"/>
        <w:rPr>
          <w:b/>
          <w:noProof/>
        </w:rPr>
      </w:pPr>
    </w:p>
    <w:p>
      <w:pPr>
        <w:autoSpaceDE w:val="0"/>
        <w:autoSpaceDN w:val="0"/>
        <w:adjustRightInd w:val="0"/>
        <w:jc w:val="both"/>
        <w:rPr>
          <w:rFonts w:eastAsiaTheme="minorHAnsi"/>
          <w:noProof/>
        </w:rPr>
      </w:pPr>
      <w:r>
        <w:rPr>
          <w:noProof/>
        </w:rPr>
        <w:t>Cilj paketa je v privlačni pedagoški obliki pojasniti vlogo kmetov in kmečkih družin, njihov prispevek k družbi in izzive, s katerimi se srečujejo. Zaradi prizadevanj za ozaveščanje o učnih virih GD AGRI se je v letu 2018 močno povečal obisk zadevnih spletnih strani GD AGRI.</w:t>
      </w:r>
    </w:p>
    <w:p>
      <w:pPr>
        <w:autoSpaceDE w:val="0"/>
        <w:autoSpaceDN w:val="0"/>
        <w:adjustRightInd w:val="0"/>
        <w:jc w:val="both"/>
        <w:rPr>
          <w:rFonts w:eastAsiaTheme="minorHAnsi"/>
          <w:noProof/>
        </w:rPr>
      </w:pPr>
      <w:r>
        <w:rPr>
          <w:noProof/>
        </w:rPr>
        <w:t xml:space="preserve"> </w:t>
      </w:r>
    </w:p>
    <w:p>
      <w:pPr>
        <w:jc w:val="both"/>
        <w:rPr>
          <w:b/>
          <w:i/>
          <w:noProof/>
        </w:rPr>
      </w:pPr>
      <w:r>
        <w:rPr>
          <w:b/>
          <w:i/>
          <w:noProof/>
        </w:rPr>
        <w:t>Družbeni mediji</w:t>
      </w:r>
    </w:p>
    <w:p>
      <w:pPr>
        <w:jc w:val="both"/>
        <w:rPr>
          <w:noProof/>
        </w:rPr>
      </w:pPr>
      <w:r>
        <w:rPr>
          <w:noProof/>
        </w:rPr>
        <w:t>Kot je bilo navedeno zgoraj, so računi GD AGRI na družbenih medijih, ki so se v tem obdobju pomembno razvili, še naprej pomembno sredstvo za ozaveščanje in spodbujanje sodelovanja na temo prihodnosti SKP (#FutureofCAP) med deležniki, oblikovalci politik, novinarji in državljani. Račun na Instagramu na primer pomaga obveščati mlade prebivalce mest ter jih pritegniti v dialog o vprašanjih hrane in proizvodnje hrane, s čimer se poudarjajo koristi SKP za vse državljane.</w:t>
      </w:r>
    </w:p>
    <w:p>
      <w:pPr>
        <w:jc w:val="both"/>
        <w:rPr>
          <w:noProof/>
        </w:rPr>
      </w:pPr>
    </w:p>
    <w:p>
      <w:pPr>
        <w:autoSpaceDE w:val="0"/>
        <w:autoSpaceDN w:val="0"/>
        <w:adjustRightInd w:val="0"/>
        <w:jc w:val="both"/>
        <w:rPr>
          <w:rFonts w:eastAsiaTheme="minorHAnsi"/>
          <w:noProof/>
        </w:rPr>
      </w:pPr>
      <w:r>
        <w:rPr>
          <w:noProof/>
        </w:rPr>
        <w:t xml:space="preserve">Na splošno sta se v tem obdobju zaradi večje uporabe grafičnega oblikovanja ter vizualnega in avdiovizualnega gradiva povečali všečnost in privlačnost komunikacijskega gradiva GD AGRI za uporabo v publikacijah, na spletu in v družbenih medijih. </w:t>
      </w:r>
    </w:p>
    <w:p>
      <w:pPr>
        <w:jc w:val="both"/>
        <w:rPr>
          <w:b/>
          <w:i/>
          <w:noProof/>
        </w:rPr>
      </w:pPr>
    </w:p>
    <w:p>
      <w:pPr>
        <w:jc w:val="both"/>
        <w:rPr>
          <w:b/>
          <w:i/>
          <w:noProof/>
        </w:rPr>
      </w:pPr>
      <w:r>
        <w:rPr>
          <w:b/>
          <w:i/>
          <w:noProof/>
        </w:rPr>
        <w:t>Publikacije</w:t>
      </w:r>
    </w:p>
    <w:p>
      <w:pPr>
        <w:autoSpaceDE w:val="0"/>
        <w:autoSpaceDN w:val="0"/>
        <w:adjustRightInd w:val="0"/>
        <w:jc w:val="both"/>
        <w:rPr>
          <w:rFonts w:eastAsiaTheme="minorHAnsi"/>
          <w:noProof/>
        </w:rPr>
      </w:pPr>
      <w:r>
        <w:rPr>
          <w:noProof/>
        </w:rPr>
        <w:t xml:space="preserve">V obdobju poročanja je bil še naprej velik poudarek na nadaljnjem razvoju publikacij v elektronski obliki. Tako kot v preteklosti so bile v sodelovanju z Uradom za publikacije EU ter Uradom za infrastrukturo in logistiko v Bruslju pripravljene številne publikacije. Namen novih publikacij je bil poudariti evropsko kulinarično dediščino in vprašanja politike, vključno s sanitarnimi in fitosanitarnimi pravili EU (v sodelovanju z GD SANTE). Pripravljeni so bili tudi informativni pregledi, da bi se zlasti pojasnili zakonodajni predlogi v zvezi s posodobitvijo in poenostavitvijo SKP. </w:t>
      </w:r>
    </w:p>
    <w:p>
      <w:pPr>
        <w:autoSpaceDE w:val="0"/>
        <w:autoSpaceDN w:val="0"/>
        <w:adjustRightInd w:val="0"/>
        <w:jc w:val="both"/>
        <w:rPr>
          <w:rFonts w:eastAsiaTheme="minorHAnsi"/>
          <w:noProof/>
        </w:rPr>
      </w:pPr>
    </w:p>
    <w:p>
      <w:pPr>
        <w:jc w:val="both"/>
        <w:rPr>
          <w:b/>
          <w:i/>
          <w:noProof/>
        </w:rPr>
      </w:pPr>
      <w:r>
        <w:rPr>
          <w:b/>
          <w:i/>
          <w:noProof/>
        </w:rPr>
        <w:t>Spletišče</w:t>
      </w:r>
    </w:p>
    <w:p>
      <w:pPr>
        <w:jc w:val="both"/>
        <w:rPr>
          <w:noProof/>
        </w:rPr>
      </w:pPr>
      <w:r>
        <w:rPr>
          <w:noProof/>
        </w:rPr>
        <w:t>V obdobju poročanja je Komisija bistveno spremenila svojo navzočnost na spletu, ki naj bi postala uporabnikom prijaznejša in ustreznejša za širšo javnost. Dejavnosti za povečanje navzočnosti spletišča GD za kmetijstvo in razvoj podeželja na spletu</w:t>
      </w:r>
      <w:r>
        <w:rPr>
          <w:b/>
          <w:noProof/>
        </w:rPr>
        <w:t xml:space="preserve"> </w:t>
      </w:r>
      <w:r>
        <w:rPr>
          <w:noProof/>
        </w:rPr>
        <w:t xml:space="preserve">so bile usmerjene v digitalno preobrazbo, ki je potekala v vseh službah Komisije, in pregled spletne vsebine, da bi se izboljšali dostopnost in jasnost za vse uporabnike. </w:t>
      </w:r>
    </w:p>
    <w:p>
      <w:pPr>
        <w:jc w:val="both"/>
        <w:rPr>
          <w:noProof/>
        </w:rPr>
      </w:pPr>
    </w:p>
    <w:p>
      <w:pPr>
        <w:autoSpaceDE w:val="0"/>
        <w:autoSpaceDN w:val="0"/>
        <w:adjustRightInd w:val="0"/>
        <w:jc w:val="both"/>
        <w:rPr>
          <w:rFonts w:eastAsiaTheme="minorHAnsi"/>
          <w:noProof/>
        </w:rPr>
      </w:pPr>
      <w:r>
        <w:rPr>
          <w:noProof/>
        </w:rPr>
        <w:t>Spletišče je bilo še naprej tudi pomemben vir strokovnih podatkov o kmetijstvu in razvoju podeželja. Tako kot v preteklosti je imelo tudi pomembno vlogo v procesu posvetovanja z deležniki in širšo javnostjo v zvezi s prihodnjo smerjo politike, kar zadeva kmetijstvo in podeželje.</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V povprečju se je spletni promet povečal za 30 %.</w:t>
      </w:r>
    </w:p>
    <w:p>
      <w:pPr>
        <w:jc w:val="both"/>
        <w:rPr>
          <w:noProof/>
        </w:rPr>
      </w:pPr>
    </w:p>
    <w:p>
      <w:pPr>
        <w:jc w:val="both"/>
        <w:rPr>
          <w:b/>
          <w:i/>
          <w:noProof/>
        </w:rPr>
      </w:pPr>
      <w:r>
        <w:rPr>
          <w:b/>
          <w:i/>
          <w:noProof/>
        </w:rPr>
        <w:t>Obiskovalci</w:t>
      </w:r>
    </w:p>
    <w:p>
      <w:pPr>
        <w:jc w:val="both"/>
        <w:rPr>
          <w:noProof/>
        </w:rPr>
      </w:pPr>
      <w:r>
        <w:rPr>
          <w:noProof/>
        </w:rPr>
        <w:t xml:space="preserve">GD AGRI je v tem obdobju še naprej sodeloval na informativnih sestankih s skupinami obiskovalcev (vključno z deležniki, študenti in akademiki), ki jih je organiziralo Središče za obiskovalce GD COMM. Namen teh izmenjav je bil poglobiti razumevanje izzivov in priložnosti za kmetijstvo EU v okviru prihodnjega večletnega finančnega okvira. </w:t>
      </w:r>
    </w:p>
    <w:p>
      <w:pPr>
        <w:jc w:val="both"/>
        <w:rPr>
          <w:noProof/>
        </w:rPr>
      </w:pPr>
    </w:p>
    <w:p>
      <w:pPr>
        <w:jc w:val="both"/>
        <w:rPr>
          <w:rFonts w:eastAsiaTheme="minorHAnsi"/>
          <w:b/>
          <w:bCs/>
          <w:i/>
          <w:iCs/>
          <w:noProof/>
        </w:rPr>
      </w:pPr>
      <w:r>
        <w:rPr>
          <w:b/>
          <w:bCs/>
          <w:i/>
          <w:iCs/>
          <w:noProof/>
        </w:rPr>
        <w:t>Eurobarometer</w:t>
      </w:r>
    </w:p>
    <w:p>
      <w:pPr>
        <w:pStyle w:val="EBparagraph"/>
        <w:spacing w:after="0"/>
        <w:rPr>
          <w:rFonts w:ascii="Times New Roman" w:eastAsia="Calibri" w:hAnsi="Times New Roman"/>
          <w:noProof/>
          <w:sz w:val="24"/>
          <w:szCs w:val="24"/>
        </w:rPr>
      </w:pPr>
      <w:r>
        <w:rPr>
          <w:rFonts w:ascii="Times New Roman" w:hAnsi="Times New Roman"/>
          <w:noProof/>
        </w:rPr>
        <w:t>Decembra 2017 je v EU-28 potekala posebna raziskava Eurobarometra, ki jo je naročil GD AGRI in katere namen je bil raziskati javno mnenje o kmetijstvu, podeželju in SKP.</w:t>
      </w:r>
      <w:r>
        <w:rPr>
          <w:noProof/>
        </w:rPr>
        <w:t xml:space="preserve"> </w:t>
      </w:r>
      <w:r>
        <w:rPr>
          <w:rFonts w:ascii="Times New Roman" w:hAnsi="Times New Roman"/>
          <w:noProof/>
        </w:rPr>
        <w:t>Več kot devet od desetih sodelujočih je menilo, da sta kmetijstvo in podeželje pomembni za prihodnost.</w:t>
      </w:r>
      <w:r>
        <w:rPr>
          <w:noProof/>
        </w:rPr>
        <w:t xml:space="preserve"> </w:t>
      </w:r>
      <w:r>
        <w:rPr>
          <w:rFonts w:ascii="Times New Roman" w:hAnsi="Times New Roman"/>
          <w:noProof/>
        </w:rPr>
        <w:t>Zagotavljanje varne in zdrave visokokakovostne hrane bi moralo biti glavni cilj EU v smislu kmetijske in podeželske politike, pri čemer so anketiranci pozvali k večjemu ukrepanju med drugim v zvezi z okoljem in gospodarsko rastjo na podeželju</w:t>
      </w:r>
      <w:r>
        <w:rPr>
          <w:rStyle w:val="FootnoteReference"/>
          <w:rFonts w:ascii="Times New Roman" w:eastAsia="Calibri" w:hAnsi="Times New Roman"/>
          <w:noProof/>
        </w:rPr>
        <w:footnoteReference w:id="11"/>
      </w:r>
      <w:r>
        <w:rPr>
          <w:noProof/>
        </w:rPr>
        <w:t>.</w:t>
      </w:r>
    </w:p>
    <w:p>
      <w:pPr>
        <w:jc w:val="both"/>
        <w:rPr>
          <w:noProof/>
        </w:rPr>
      </w:pPr>
    </w:p>
    <w:p>
      <w:pPr>
        <w:spacing w:after="200" w:line="276" w:lineRule="auto"/>
        <w:rPr>
          <w:noProof/>
        </w:rPr>
      </w:pPr>
      <w:r>
        <w:rPr>
          <w:noProof/>
        </w:rPr>
        <w:br w:type="page"/>
      </w:r>
    </w:p>
    <w:p>
      <w:pPr>
        <w:pStyle w:val="Style1"/>
        <w:rPr>
          <w:color w:val="FF0000"/>
        </w:rPr>
      </w:pPr>
      <w:r>
        <w:t>IV.</w:t>
      </w:r>
      <w:r>
        <w:tab/>
        <w:t>RAZMERJE PORABE (OBVEZNOSTI IN PLAČILA) MED SOFINANCIRANIMI UKREPI NA POBUDO TRETJIH OSEB (NEPOVRATNA SREDSTVA) IN UKREPI ZA INFORMIRANJE NA POBUDO KOMISIJE (JAVNO NAROČANJE)</w:t>
      </w:r>
      <w:r>
        <w:rPr>
          <w:rStyle w:val="FootnoteReference"/>
          <w:b w:val="0"/>
          <w:u w:val="single"/>
        </w:rPr>
        <w:footnoteReference w:id="12"/>
      </w:r>
      <w:r>
        <w:t xml:space="preserve"> </w:t>
      </w:r>
    </w:p>
    <w:tbl>
      <w:tblPr>
        <w:tblpPr w:leftFromText="180" w:rightFromText="180" w:vertAnchor="text" w:horzAnchor="margin" w:tblpY="292"/>
        <w:tblW w:w="10020" w:type="dxa"/>
        <w:tblLook w:val="04A0" w:firstRow="1" w:lastRow="0" w:firstColumn="1" w:lastColumn="0" w:noHBand="0" w:noVBand="1"/>
      </w:tblPr>
      <w:tblGrid>
        <w:gridCol w:w="1548"/>
        <w:gridCol w:w="1384"/>
        <w:gridCol w:w="1438"/>
        <w:gridCol w:w="1406"/>
        <w:gridCol w:w="1406"/>
        <w:gridCol w:w="1438"/>
        <w:gridCol w:w="1400"/>
      </w:tblGrid>
      <w:tr>
        <w:trPr>
          <w:trHeight w:val="324"/>
        </w:trPr>
        <w:tc>
          <w:tcPr>
            <w:tcW w:w="1548" w:type="dxa"/>
            <w:tcBorders>
              <w:top w:val="nil"/>
              <w:left w:val="nil"/>
              <w:bottom w:val="nil"/>
              <w:right w:val="nil"/>
            </w:tcBorders>
            <w:shd w:val="clear" w:color="auto" w:fill="auto"/>
            <w:noWrap/>
            <w:vAlign w:val="center"/>
            <w:hideMark/>
          </w:tcPr>
          <w:p>
            <w:pPr>
              <w:jc w:val="both"/>
              <w:rPr>
                <w:rFonts w:eastAsia="Times New Roman"/>
                <w:noProof/>
                <w:sz w:val="20"/>
                <w:szCs w:val="20"/>
              </w:rPr>
            </w:pPr>
          </w:p>
        </w:tc>
        <w:tc>
          <w:tcPr>
            <w:tcW w:w="42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pPr>
              <w:jc w:val="both"/>
              <w:rPr>
                <w:rFonts w:eastAsia="Times New Roman"/>
                <w:b/>
                <w:bCs/>
                <w:noProof/>
                <w:color w:val="000000"/>
              </w:rPr>
            </w:pPr>
            <w:r>
              <w:rPr>
                <w:b/>
                <w:bCs/>
                <w:noProof/>
              </w:rPr>
              <w:t>2017</w:t>
            </w:r>
          </w:p>
        </w:tc>
        <w:tc>
          <w:tcPr>
            <w:tcW w:w="4244" w:type="dxa"/>
            <w:gridSpan w:val="3"/>
            <w:tcBorders>
              <w:top w:val="single" w:sz="8" w:space="0" w:color="auto"/>
              <w:left w:val="nil"/>
              <w:bottom w:val="single" w:sz="8" w:space="0" w:color="auto"/>
              <w:right w:val="single" w:sz="8" w:space="0" w:color="000000"/>
            </w:tcBorders>
            <w:shd w:val="clear" w:color="auto" w:fill="auto"/>
            <w:vAlign w:val="center"/>
            <w:hideMark/>
          </w:tcPr>
          <w:p>
            <w:pPr>
              <w:jc w:val="both"/>
              <w:rPr>
                <w:rFonts w:eastAsia="Times New Roman"/>
                <w:b/>
                <w:bCs/>
                <w:noProof/>
                <w:color w:val="000000"/>
              </w:rPr>
            </w:pPr>
            <w:r>
              <w:rPr>
                <w:b/>
                <w:bCs/>
                <w:noProof/>
              </w:rPr>
              <w:t>2018</w:t>
            </w:r>
          </w:p>
        </w:tc>
      </w:tr>
      <w:tr>
        <w:trPr>
          <w:trHeight w:val="564"/>
        </w:trPr>
        <w:tc>
          <w:tcPr>
            <w:tcW w:w="1548" w:type="dxa"/>
            <w:tcBorders>
              <w:top w:val="nil"/>
              <w:left w:val="nil"/>
              <w:bottom w:val="nil"/>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 </w:t>
            </w:r>
          </w:p>
        </w:tc>
        <w:tc>
          <w:tcPr>
            <w:tcW w:w="1384" w:type="dxa"/>
            <w:tcBorders>
              <w:top w:val="nil"/>
              <w:left w:val="nil"/>
              <w:bottom w:val="single" w:sz="8" w:space="0" w:color="auto"/>
              <w:right w:val="nil"/>
            </w:tcBorders>
            <w:shd w:val="clear" w:color="auto" w:fill="auto"/>
            <w:noWrap/>
            <w:vAlign w:val="center"/>
            <w:hideMark/>
          </w:tcPr>
          <w:p>
            <w:pPr>
              <w:jc w:val="both"/>
              <w:rPr>
                <w:rFonts w:eastAsia="Times New Roman"/>
                <w:b/>
                <w:bCs/>
                <w:noProof/>
                <w:color w:val="000000"/>
                <w:sz w:val="22"/>
                <w:szCs w:val="22"/>
              </w:rPr>
            </w:pPr>
            <w:r>
              <w:rPr>
                <w:b/>
                <w:bCs/>
                <w:noProof/>
                <w:sz w:val="22"/>
                <w:szCs w:val="22"/>
              </w:rPr>
              <w:t>Nepovratna sredstva</w:t>
            </w:r>
          </w:p>
        </w:tc>
        <w:tc>
          <w:tcPr>
            <w:tcW w:w="1438" w:type="dxa"/>
            <w:tcBorders>
              <w:top w:val="nil"/>
              <w:left w:val="single" w:sz="8" w:space="0" w:color="auto"/>
              <w:bottom w:val="nil"/>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Javno naročanje</w:t>
            </w:r>
          </w:p>
        </w:tc>
        <w:tc>
          <w:tcPr>
            <w:tcW w:w="1406" w:type="dxa"/>
            <w:tcBorders>
              <w:top w:val="nil"/>
              <w:left w:val="nil"/>
              <w:bottom w:val="nil"/>
              <w:right w:val="nil"/>
            </w:tcBorders>
            <w:shd w:val="clear" w:color="auto" w:fill="auto"/>
            <w:noWrap/>
            <w:vAlign w:val="center"/>
            <w:hideMark/>
          </w:tcPr>
          <w:p>
            <w:pPr>
              <w:jc w:val="both"/>
              <w:rPr>
                <w:rFonts w:eastAsia="Times New Roman"/>
                <w:b/>
                <w:bCs/>
                <w:noProof/>
                <w:color w:val="000000"/>
                <w:sz w:val="22"/>
                <w:szCs w:val="22"/>
              </w:rPr>
            </w:pPr>
            <w:r>
              <w:rPr>
                <w:b/>
                <w:bCs/>
                <w:noProof/>
                <w:sz w:val="22"/>
                <w:szCs w:val="22"/>
              </w:rPr>
              <w:t>Skupaj</w:t>
            </w:r>
          </w:p>
        </w:tc>
        <w:tc>
          <w:tcPr>
            <w:tcW w:w="1406" w:type="dxa"/>
            <w:tcBorders>
              <w:top w:val="nil"/>
              <w:left w:val="single" w:sz="8" w:space="0" w:color="auto"/>
              <w:bottom w:val="nil"/>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Nepovratna sredstva</w:t>
            </w:r>
          </w:p>
        </w:tc>
        <w:tc>
          <w:tcPr>
            <w:tcW w:w="1438" w:type="dxa"/>
            <w:tcBorders>
              <w:top w:val="nil"/>
              <w:left w:val="nil"/>
              <w:bottom w:val="nil"/>
              <w:right w:val="nil"/>
            </w:tcBorders>
            <w:shd w:val="clear" w:color="auto" w:fill="auto"/>
            <w:noWrap/>
            <w:vAlign w:val="center"/>
            <w:hideMark/>
          </w:tcPr>
          <w:p>
            <w:pPr>
              <w:jc w:val="both"/>
              <w:rPr>
                <w:rFonts w:eastAsia="Times New Roman"/>
                <w:b/>
                <w:bCs/>
                <w:noProof/>
                <w:color w:val="000000"/>
                <w:sz w:val="22"/>
                <w:szCs w:val="22"/>
              </w:rPr>
            </w:pPr>
            <w:r>
              <w:rPr>
                <w:b/>
                <w:bCs/>
                <w:noProof/>
                <w:sz w:val="22"/>
                <w:szCs w:val="22"/>
              </w:rPr>
              <w:t>Javno naročanje</w:t>
            </w:r>
          </w:p>
        </w:tc>
        <w:tc>
          <w:tcPr>
            <w:tcW w:w="1400" w:type="dxa"/>
            <w:tcBorders>
              <w:top w:val="nil"/>
              <w:left w:val="single" w:sz="8" w:space="0" w:color="auto"/>
              <w:bottom w:val="single" w:sz="8" w:space="0" w:color="auto"/>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Skupaj</w:t>
            </w:r>
          </w:p>
        </w:tc>
      </w:tr>
      <w:tr>
        <w:trPr>
          <w:trHeight w:val="288"/>
        </w:trPr>
        <w:tc>
          <w:tcPr>
            <w:tcW w:w="15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 xml:space="preserve">Prvotno predvidena proračunska sredstva </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3 500 000</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4 500 000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8 000 000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4 000 000</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4 000 000</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8 000 000</w:t>
            </w:r>
          </w:p>
        </w:tc>
      </w:tr>
      <w:tr>
        <w:trPr>
          <w:trHeight w:val="528"/>
        </w:trPr>
        <w:tc>
          <w:tcPr>
            <w:tcW w:w="154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Prevzete obveznosti (v EUR)</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3 676 801,52</w:t>
            </w:r>
          </w:p>
          <w:p>
            <w:pPr>
              <w:jc w:val="both"/>
              <w:rPr>
                <w:rFonts w:eastAsia="Times New Roman"/>
                <w:noProof/>
                <w:color w:val="000000"/>
                <w:sz w:val="22"/>
                <w:szCs w:val="22"/>
              </w:rPr>
            </w:pPr>
            <w:r>
              <w:rPr>
                <w:noProof/>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3 980 580,45</w:t>
            </w:r>
          </w:p>
          <w:p>
            <w:pPr>
              <w:jc w:val="both"/>
              <w:rPr>
                <w:rFonts w:eastAsia="Times New Roman"/>
                <w:noProof/>
                <w:color w:val="000000"/>
                <w:sz w:val="22"/>
                <w:szCs w:val="22"/>
              </w:rPr>
            </w:pPr>
            <w:r>
              <w:rPr>
                <w:noProof/>
                <w:sz w:val="22"/>
                <w:szCs w:val="22"/>
              </w:rPr>
              <w:t>(**)</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7 657 381,97</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4 008 448,57</w:t>
            </w:r>
          </w:p>
          <w:p>
            <w:pPr>
              <w:jc w:val="both"/>
              <w:rPr>
                <w:rFonts w:eastAsia="Times New Roman"/>
                <w:noProof/>
                <w:color w:val="000000"/>
                <w:sz w:val="22"/>
                <w:szCs w:val="22"/>
              </w:rPr>
            </w:pPr>
            <w:r>
              <w:rPr>
                <w:noProof/>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3 893 989,35</w:t>
            </w:r>
          </w:p>
          <w:p>
            <w:pPr>
              <w:jc w:val="both"/>
              <w:rPr>
                <w:rFonts w:eastAsia="Times New Roman"/>
                <w:noProof/>
                <w:color w:val="000000"/>
                <w:sz w:val="22"/>
                <w:szCs w:val="22"/>
              </w:rPr>
            </w:pPr>
            <w:r>
              <w:rPr>
                <w:noProof/>
                <w:sz w:val="22"/>
                <w:szCs w:val="22"/>
              </w:rPr>
              <w:t>(**)</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7 902 437,92</w:t>
            </w:r>
          </w:p>
        </w:tc>
      </w:tr>
      <w:tr>
        <w:trPr>
          <w:trHeight w:val="28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300"/>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Delež obveznosti</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105,05 %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88,46 %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95,72 %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100,21 %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97,35 %</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98,78 %</w:t>
            </w:r>
          </w:p>
        </w:tc>
      </w:tr>
      <w:tr>
        <w:trPr>
          <w:trHeight w:val="636"/>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Plačila (v EUR)</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3 291 910,64</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3 734 801,71</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7 026 711,35</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2 786 752,07</w:t>
            </w:r>
          </w:p>
          <w:p>
            <w:pPr>
              <w:jc w:val="both"/>
              <w:rPr>
                <w:rFonts w:eastAsia="Times New Roman"/>
                <w:noProof/>
                <w:color w:val="000000"/>
                <w:sz w:val="22"/>
                <w:szCs w:val="22"/>
              </w:rPr>
            </w:pPr>
            <w:r>
              <w:rPr>
                <w:noProof/>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2 496 542,35</w:t>
            </w:r>
          </w:p>
          <w:p>
            <w:pPr>
              <w:jc w:val="both"/>
              <w:rPr>
                <w:rFonts w:eastAsia="Times New Roman"/>
                <w:noProof/>
                <w:color w:val="000000"/>
                <w:sz w:val="22"/>
                <w:szCs w:val="22"/>
              </w:rPr>
            </w:pPr>
            <w:r>
              <w:rPr>
                <w:noProof/>
                <w:sz w:val="22"/>
                <w:szCs w:val="22"/>
              </w:rPr>
              <w:t>(*)</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5 283 294,42</w:t>
            </w:r>
          </w:p>
          <w:p>
            <w:pPr>
              <w:jc w:val="both"/>
              <w:rPr>
                <w:rFonts w:eastAsia="Times New Roman"/>
                <w:noProof/>
                <w:color w:val="000000"/>
                <w:sz w:val="22"/>
                <w:szCs w:val="22"/>
              </w:rPr>
            </w:pPr>
          </w:p>
        </w:tc>
      </w:tr>
      <w:tr>
        <w:trPr>
          <w:trHeight w:val="28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672"/>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Delež izplačila v primerjavi z obveznostjo</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89,53 %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93,83 %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91,76 %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69,52 %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64,11 %</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66,868 %</w:t>
            </w:r>
          </w:p>
          <w:p>
            <w:pPr>
              <w:jc w:val="both"/>
              <w:rPr>
                <w:rFonts w:eastAsia="Times New Roman"/>
                <w:noProof/>
                <w:color w:val="000000"/>
              </w:rPr>
            </w:pPr>
            <w:r>
              <w:rPr>
                <w:noProof/>
              </w:rPr>
              <w:t>(***)</w:t>
            </w:r>
          </w:p>
        </w:tc>
      </w:tr>
      <w:tr>
        <w:trPr>
          <w:trHeight w:val="124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r>
    </w:tbl>
    <w:p>
      <w:pPr>
        <w:spacing w:before="120" w:after="120"/>
        <w:jc w:val="both"/>
        <w:rPr>
          <w:noProof/>
        </w:rPr>
      </w:pPr>
    </w:p>
    <w:p>
      <w:pPr>
        <w:jc w:val="both"/>
        <w:rPr>
          <w:noProof/>
          <w:sz w:val="18"/>
          <w:szCs w:val="18"/>
        </w:rPr>
      </w:pPr>
      <w:r>
        <w:rPr>
          <w:noProof/>
          <w:sz w:val="18"/>
          <w:szCs w:val="18"/>
        </w:rPr>
        <w:t xml:space="preserve"> (*) Plačila za te ukrepe še potekajo in še niso končana.</w:t>
      </w:r>
    </w:p>
    <w:p>
      <w:pPr>
        <w:jc w:val="both"/>
        <w:rPr>
          <w:noProof/>
          <w:color w:val="FF0000"/>
          <w:sz w:val="18"/>
          <w:szCs w:val="18"/>
        </w:rPr>
      </w:pPr>
      <w:r>
        <w:rPr>
          <w:noProof/>
          <w:sz w:val="18"/>
          <w:szCs w:val="18"/>
        </w:rPr>
        <w:t>(**) Prim. po popravku akcijskih načrtov zunanjega komuniciranja, ki ju je za leti 2017 in 2018 pripravil GD AGRI.</w:t>
      </w:r>
    </w:p>
    <w:p>
      <w:pPr>
        <w:jc w:val="both"/>
        <w:rPr>
          <w:noProof/>
          <w:color w:val="FF0000"/>
          <w:sz w:val="18"/>
          <w:szCs w:val="18"/>
        </w:rPr>
      </w:pPr>
      <w:r>
        <w:rPr>
          <w:noProof/>
          <w:sz w:val="18"/>
          <w:szCs w:val="18"/>
        </w:rPr>
        <w:t>(***) Plačila za ukrepe za leto 2018 še potekajo.</w:t>
      </w:r>
    </w:p>
    <w:p>
      <w:pPr>
        <w:spacing w:before="120" w:after="120"/>
        <w:jc w:val="both"/>
        <w:rPr>
          <w:noProof/>
        </w:rPr>
      </w:pPr>
      <w:r>
        <w:rPr>
          <w:noProof/>
        </w:rPr>
        <w:t>Plačila so na splošno nižja od prvotnih zneskov prevzetih obveznosti. Pri nepovratnih sredstvih je to mogoče pojasniti, prvič, z dejstvom, da so končni stroški ukrepov nižji od stroškov, ki jih je upravičenec prvotno predvidel, in, drugič, s tem, da vsi izdatki, ki so jih prijavili upravičenci, ne morejo veljati za upravičene. Pri ukrepih, sprejetih na pobudo Komisije, razlika med plačili in prevzetimi obveznostmi izhaja iz dejstva, da so obveznosti fiksne, dejanski izdatki pa nižji od predvidenih zaradi varčevanja in uporabe stroškovno učinkovitejših ukrepov med izvajanjem.</w:t>
      </w:r>
    </w:p>
    <w:p>
      <w:pPr>
        <w:spacing w:before="120" w:after="120"/>
        <w:jc w:val="both"/>
        <w:rPr>
          <w:noProof/>
        </w:rPr>
      </w:pPr>
    </w:p>
    <w:p>
      <w:pPr>
        <w:pStyle w:val="Style1"/>
      </w:pPr>
      <w:r>
        <w:t>V.</w:t>
      </w:r>
      <w:r>
        <w:tab/>
        <w:t xml:space="preserve">SKLEPNA UGOTOVITEV </w:t>
      </w:r>
    </w:p>
    <w:p>
      <w:pPr>
        <w:jc w:val="both"/>
        <w:rPr>
          <w:noProof/>
        </w:rPr>
      </w:pPr>
      <w:r>
        <w:rPr>
          <w:noProof/>
        </w:rPr>
        <w:t>Komisija je svoje dejavnosti korporativnega komuniciranja v obdobju poročanja še naprej opirala na svojih deset političnih prednostnih nalog, pri čemer se je osredotočila na prispevek EU k delovnim mestom in rasti ter oprijemljive koristi, ki jih je EU zagotovila svojim državljanom.</w:t>
      </w:r>
    </w:p>
    <w:p>
      <w:pPr>
        <w:jc w:val="both"/>
        <w:rPr>
          <w:noProof/>
        </w:rPr>
      </w:pPr>
    </w:p>
    <w:p>
      <w:pPr>
        <w:jc w:val="both"/>
        <w:rPr>
          <w:noProof/>
        </w:rPr>
      </w:pPr>
      <w:r>
        <w:rPr>
          <w:noProof/>
        </w:rPr>
        <w:t>Ukrepi za informiranje, izvedeni v povezavi s skupno kmetijsko politiko in razvojem podeželja, so bili namenjeni ozaveščanju o prispevku politike h gospodarski rasti in dinamičnemu podeželju, učinkoviti rabi virov in blažitvi podnebnih sprememb ter zagotavljanju prehranske varnosti v Uniji.</w:t>
      </w:r>
    </w:p>
    <w:p>
      <w:pPr>
        <w:jc w:val="both"/>
        <w:rPr>
          <w:noProof/>
        </w:rPr>
      </w:pPr>
    </w:p>
    <w:p>
      <w:pPr>
        <w:jc w:val="both"/>
        <w:rPr>
          <w:noProof/>
        </w:rPr>
      </w:pPr>
      <w:r>
        <w:rPr>
          <w:noProof/>
        </w:rPr>
        <w:t>Zadevno obdobje so zaznamovala predvsem obsežna prizadevanja za ozaveščanje, da bi se skupaj z državljani in deležniki po vsej EU obravnavali razmisleki in odziv Komisije na prihodnje izzive in priložnosti za kmetijstvo in podeželje v EU v sektorskih predlogih za večletni finančni okvir.</w:t>
      </w:r>
    </w:p>
    <w:p>
      <w:pPr>
        <w:jc w:val="both"/>
        <w:rPr>
          <w:noProof/>
        </w:rPr>
      </w:pPr>
    </w:p>
    <w:p>
      <w:pPr>
        <w:jc w:val="both"/>
        <w:rPr>
          <w:noProof/>
        </w:rPr>
      </w:pPr>
      <w:r>
        <w:rPr>
          <w:noProof/>
        </w:rPr>
        <w:t>Te komunikacijske ukrepe je zaznamovalo okrepljeno sodelovanje med službami Komisije, drugimi institucijami EU ter nacionalnimi in regionalnimi organi.</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Malgun Gothic Semilight"/>
    <w:panose1 w:val="00000000000000000000"/>
    <w:charset w:val="00"/>
    <w:family w:val="roman"/>
    <w:notTrueType/>
    <w:pitch w:val="default"/>
    <w:sig w:usb0="00000000"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Segoe UI"/>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244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i/>
          <w:iCs/>
        </w:rPr>
        <w:t>Uradni list Evropske unije</w:t>
      </w:r>
      <w:r>
        <w:t>, UL L 347, 20.12.2013, str. 549.</w:t>
      </w:r>
    </w:p>
    <w:p>
      <w:pPr>
        <w:pStyle w:val="FootnoteText"/>
      </w:pPr>
    </w:p>
  </w:footnote>
  <w:footnote w:id="2">
    <w:p>
      <w:pPr>
        <w:pStyle w:val="FootnoteText"/>
        <w:ind w:left="0" w:firstLine="0"/>
      </w:pPr>
      <w:r>
        <w:rPr>
          <w:rStyle w:val="FootnoteReference"/>
        </w:rPr>
        <w:footnoteRef/>
      </w:r>
      <w:r>
        <w:t xml:space="preserve"> COM(2003) 235 final z dne 8. maja 2003; COM(2007) 324 final z dne 13. junija 2007; COM(2009) 237 final z dne 20. maja 2009; COM(2011) 294 final z dne 25. maja 2011; COM(2013) 645 final z dne 20. septembra 2013; COM(2016) 83 final z dne 23. februarja 2016; COM(2017) 777 final z dne 19. decembra 2017.</w:t>
      </w:r>
    </w:p>
  </w:footnote>
  <w:footnote w:id="3">
    <w:p>
      <w:pPr>
        <w:pStyle w:val="FootnoteText"/>
      </w:pPr>
      <w:r>
        <w:rPr>
          <w:rStyle w:val="FootnoteReference"/>
        </w:rPr>
        <w:footnoteRef/>
      </w:r>
      <w:r>
        <w:t xml:space="preserve"> </w:t>
      </w:r>
      <w:hyperlink r:id="rId1" w:history="1">
        <w:r>
          <w:rPr>
            <w:rStyle w:val="Hyperlink"/>
          </w:rPr>
          <w:t>https://ec.europa.eu/agriculture/consultations/cap-modernising/2017_sl</w:t>
        </w:r>
      </w:hyperlink>
      <w:r>
        <w:t>.</w:t>
      </w:r>
    </w:p>
    <w:p>
      <w:pPr>
        <w:pStyle w:val="FootnoteText"/>
      </w:pPr>
    </w:p>
  </w:footnote>
  <w:footnote w:id="4">
    <w:p>
      <w:pPr>
        <w:pStyle w:val="FootnoteText"/>
      </w:pPr>
      <w:r>
        <w:rPr>
          <w:rStyle w:val="FootnoteReference"/>
        </w:rPr>
        <w:footnoteRef/>
      </w:r>
      <w:r>
        <w:t xml:space="preserve"> COM(2017) 713 final z dne 29. novembra 2017.</w:t>
      </w:r>
    </w:p>
  </w:footnote>
  <w:footnote w:id="5">
    <w:p>
      <w:pPr>
        <w:pStyle w:val="NormalWeb"/>
        <w:spacing w:before="0" w:beforeAutospacing="0" w:after="75" w:afterAutospacing="0"/>
        <w:jc w:val="both"/>
        <w:rPr>
          <w:sz w:val="20"/>
          <w:szCs w:val="20"/>
        </w:rPr>
      </w:pPr>
      <w:r>
        <w:rPr>
          <w:rStyle w:val="FootnoteReference"/>
        </w:rPr>
        <w:footnoteRef/>
      </w:r>
      <w:r>
        <w:t xml:space="preserve"> </w:t>
      </w:r>
      <w:r>
        <w:rPr>
          <w:sz w:val="20"/>
          <w:szCs w:val="20"/>
        </w:rPr>
        <w:t>Predlog UREDBE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Uredbe (EU) št. 1305/2013 Evropskega parlamenta in Sveta in Uredbe (EU) št. 1307/2013 Evropskega parlamenta in Sveta, COM(2018) 392 final – 2018/0216 (COD).</w:t>
      </w:r>
    </w:p>
    <w:p>
      <w:pPr>
        <w:spacing w:after="75"/>
        <w:jc w:val="both"/>
        <w:rPr>
          <w:rFonts w:eastAsia="Times New Roman"/>
          <w:sz w:val="20"/>
          <w:szCs w:val="20"/>
        </w:rPr>
      </w:pPr>
      <w:r>
        <w:rPr>
          <w:sz w:val="20"/>
          <w:szCs w:val="20"/>
        </w:rPr>
        <w:t>Predlog UREDBE EVROPSKEGA PARLAMENTA IN SVETA o financiranju, upravljanju in spremljanju skupne kmetijske politike ter razveljavitvi Uredbe (EU) št. 1306/2013, COM(2018) 393 final – 2018/0217 (COD).</w:t>
      </w:r>
    </w:p>
    <w:p>
      <w:pPr>
        <w:spacing w:after="75"/>
        <w:jc w:val="both"/>
        <w:rPr>
          <w:rFonts w:eastAsia="Times New Roman"/>
          <w:sz w:val="20"/>
          <w:szCs w:val="20"/>
        </w:rPr>
      </w:pPr>
      <w:r>
        <w:rPr>
          <w:sz w:val="20"/>
          <w:szCs w:val="20"/>
        </w:rPr>
        <w:t>Predlog UREDBE EVROPSKEGA PARLAMENTA IN SVETA 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(EU) št. 228/2013 o posebnih ukrepih za kmetijstvo v najbolj oddaljenih regijah Unije in (EU) št. 229/2013 o posebnih ukrepih za kmetijstvo v korist manjših egejskih otokov,</w:t>
      </w:r>
    </w:p>
    <w:p>
      <w:pPr>
        <w:spacing w:after="75"/>
        <w:jc w:val="both"/>
      </w:pPr>
      <w:r>
        <w:rPr>
          <w:sz w:val="20"/>
          <w:szCs w:val="20"/>
        </w:rPr>
        <w:t>COM(2018) 394 final/2.</w:t>
      </w:r>
    </w:p>
  </w:footnote>
  <w:footnote w:id="6">
    <w:p>
      <w:pPr>
        <w:pStyle w:val="FootnoteText"/>
      </w:pPr>
      <w:r>
        <w:rPr>
          <w:rStyle w:val="FootnoteReference"/>
        </w:rPr>
        <w:footnoteRef/>
      </w:r>
      <w:r>
        <w:t xml:space="preserve"> Razpis za zbiranje predlogov za leto 2017, UL C 401, 29.10.2016, str. 9. </w:t>
      </w:r>
    </w:p>
  </w:footnote>
  <w:footnote w:id="7">
    <w:p>
      <w:pPr>
        <w:pStyle w:val="FootnoteText"/>
      </w:pPr>
      <w:r>
        <w:rPr>
          <w:rStyle w:val="FootnoteReference"/>
        </w:rPr>
        <w:footnoteRef/>
      </w:r>
      <w:r>
        <w:t xml:space="preserve"> Razpis za zbiranje predlogov za leto 2018, UL C 339, 10.10.2017, str. 7.</w:t>
      </w:r>
    </w:p>
  </w:footnote>
  <w:footnote w:id="8">
    <w:p>
      <w:pPr>
        <w:spacing w:after="75"/>
        <w:rPr>
          <w:rFonts w:eastAsia="Times New Roman"/>
          <w:sz w:val="20"/>
          <w:szCs w:val="20"/>
        </w:rPr>
      </w:pPr>
      <w:r>
        <w:rPr>
          <w:rStyle w:val="FootnoteReference"/>
        </w:rPr>
        <w:footnoteRef/>
      </w:r>
      <w:r>
        <w:t xml:space="preserve"> </w:t>
      </w:r>
      <w:r>
        <w:rPr>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193, 30.7.2018, str. 1).</w:t>
      </w:r>
    </w:p>
    <w:p>
      <w:pPr>
        <w:pStyle w:val="FootnoteText"/>
        <w:ind w:left="0" w:firstLine="0"/>
      </w:pPr>
    </w:p>
  </w:footnote>
  <w:footnote w:id="9">
    <w:p>
      <w:pPr>
        <w:pStyle w:val="FootnoteText"/>
      </w:pPr>
      <w:r>
        <w:rPr>
          <w:rStyle w:val="FootnoteReference"/>
        </w:rPr>
        <w:footnoteRef/>
      </w:r>
      <w:r>
        <w:t xml:space="preserve"> Podrobnejše informacije o nepovratnih sredstvih so na voljo tudi na spletišču Europa:</w:t>
      </w:r>
    </w:p>
    <w:p>
      <w:pPr>
        <w:pStyle w:val="FootnoteText"/>
      </w:pPr>
      <w:r>
        <w:t xml:space="preserve"> </w:t>
      </w:r>
      <w:hyperlink r:id="rId2" w:history="1">
        <w:r>
          <w:rPr>
            <w:rStyle w:val="Hyperlink"/>
          </w:rPr>
          <w:t>http://ec.europa.eu/agriculture/grants-for-information-measures_sl</w:t>
        </w:r>
      </w:hyperlink>
      <w:r>
        <w:t>.</w:t>
      </w:r>
    </w:p>
  </w:footnote>
  <w:footnote w:id="10">
    <w:p>
      <w:pPr>
        <w:pStyle w:val="FootnoteText"/>
      </w:pPr>
      <w:r>
        <w:rPr>
          <w:rStyle w:val="FootnoteReference"/>
        </w:rPr>
        <w:footnoteRef/>
      </w:r>
      <w:r>
        <w:t>https://ec.europa.eu/info/food-farming-fisheries/plants-and-plant-products/plant-products/cereals/development-plant-proteins_sl.</w:t>
      </w:r>
    </w:p>
  </w:footnote>
  <w:footnote w:id="11">
    <w:p>
      <w:pPr>
        <w:ind w:left="142" w:hanging="142"/>
      </w:pPr>
      <w:r>
        <w:rPr>
          <w:rStyle w:val="FootnoteReference"/>
          <w:sz w:val="20"/>
        </w:rPr>
        <w:footnoteRef/>
      </w:r>
      <w:hyperlink r:id="rId3" w:history="1">
        <w:r>
          <w:rPr>
            <w:rStyle w:val="Hyperlink"/>
            <w:sz w:val="20"/>
            <w:szCs w:val="20"/>
          </w:rPr>
          <w:t>https://ec.europa.eu/commfrontoffice/publicopinion/index.cfm/Survey/getSurveyDetail/instruments/SPECIAL/surveyKy/2161</w:t>
        </w:r>
      </w:hyperlink>
      <w:r>
        <w:t>.</w:t>
      </w:r>
    </w:p>
  </w:footnote>
  <w:footnote w:id="12">
    <w:p>
      <w:pPr>
        <w:pStyle w:val="FootnoteText"/>
        <w:ind w:left="284" w:hanging="284"/>
      </w:pPr>
      <w:r>
        <w:rPr>
          <w:rStyle w:val="FootnoteReference"/>
        </w:rPr>
        <w:footnoteRef/>
      </w:r>
      <w:r>
        <w:t xml:space="preserve"> 17 180 000 EUR – sododeljena GD COMM leta 2017 in 2018 za dejavnosti korporativnega komuniciranja, ki niso zajete v tej razpredelnici.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5E17"/>
    <w:multiLevelType w:val="hybridMultilevel"/>
    <w:tmpl w:val="7954F6F2"/>
    <w:lvl w:ilvl="0" w:tplc="6CB0284A">
      <w:start w:val="1"/>
      <w:numFmt w:val="bullet"/>
      <w:pStyle w:val="AARsimplelist"/>
      <w:lvlText w:val="-"/>
      <w:lvlJc w:val="left"/>
      <w:pPr>
        <w:ind w:left="2771" w:hanging="360"/>
      </w:pPr>
      <w:rPr>
        <w:rFonts w:ascii="Times New Roman" w:hAnsi="Times New Roman" w:cs="Times New Roman" w:hint="default"/>
      </w:rPr>
    </w:lvl>
    <w:lvl w:ilvl="1" w:tplc="08090003">
      <w:start w:val="1"/>
      <w:numFmt w:val="bullet"/>
      <w:lvlText w:val="o"/>
      <w:lvlJc w:val="left"/>
      <w:pPr>
        <w:ind w:left="3491" w:hanging="360"/>
      </w:pPr>
      <w:rPr>
        <w:rFonts w:ascii="Courier New" w:hAnsi="Courier New" w:cs="Courier New" w:hint="default"/>
      </w:rPr>
    </w:lvl>
    <w:lvl w:ilvl="2" w:tplc="08090005">
      <w:start w:val="1"/>
      <w:numFmt w:val="bullet"/>
      <w:lvlText w:val=""/>
      <w:lvlJc w:val="left"/>
      <w:pPr>
        <w:ind w:left="4211" w:hanging="360"/>
      </w:pPr>
      <w:rPr>
        <w:rFonts w:ascii="Wingdings" w:hAnsi="Wingdings" w:hint="default"/>
      </w:rPr>
    </w:lvl>
    <w:lvl w:ilvl="3" w:tplc="08090001">
      <w:start w:val="1"/>
      <w:numFmt w:val="bullet"/>
      <w:lvlText w:val=""/>
      <w:lvlJc w:val="left"/>
      <w:pPr>
        <w:ind w:left="4931" w:hanging="360"/>
      </w:pPr>
      <w:rPr>
        <w:rFonts w:ascii="Symbol" w:hAnsi="Symbol" w:hint="default"/>
      </w:rPr>
    </w:lvl>
    <w:lvl w:ilvl="4" w:tplc="08090003">
      <w:start w:val="1"/>
      <w:numFmt w:val="bullet"/>
      <w:lvlText w:val="o"/>
      <w:lvlJc w:val="left"/>
      <w:pPr>
        <w:ind w:left="5651" w:hanging="360"/>
      </w:pPr>
      <w:rPr>
        <w:rFonts w:ascii="Courier New" w:hAnsi="Courier New" w:cs="Courier New" w:hint="default"/>
      </w:rPr>
    </w:lvl>
    <w:lvl w:ilvl="5" w:tplc="08090005">
      <w:start w:val="1"/>
      <w:numFmt w:val="bullet"/>
      <w:lvlText w:val=""/>
      <w:lvlJc w:val="left"/>
      <w:pPr>
        <w:ind w:left="6371" w:hanging="360"/>
      </w:pPr>
      <w:rPr>
        <w:rFonts w:ascii="Wingdings" w:hAnsi="Wingdings" w:hint="default"/>
      </w:rPr>
    </w:lvl>
    <w:lvl w:ilvl="6" w:tplc="08090001">
      <w:start w:val="1"/>
      <w:numFmt w:val="bullet"/>
      <w:lvlText w:val=""/>
      <w:lvlJc w:val="left"/>
      <w:pPr>
        <w:ind w:left="7091" w:hanging="360"/>
      </w:pPr>
      <w:rPr>
        <w:rFonts w:ascii="Symbol" w:hAnsi="Symbol" w:hint="default"/>
      </w:rPr>
    </w:lvl>
    <w:lvl w:ilvl="7" w:tplc="08090003">
      <w:start w:val="1"/>
      <w:numFmt w:val="bullet"/>
      <w:lvlText w:val="o"/>
      <w:lvlJc w:val="left"/>
      <w:pPr>
        <w:ind w:left="7811" w:hanging="360"/>
      </w:pPr>
      <w:rPr>
        <w:rFonts w:ascii="Courier New" w:hAnsi="Courier New" w:cs="Courier New" w:hint="default"/>
      </w:rPr>
    </w:lvl>
    <w:lvl w:ilvl="8" w:tplc="08090005">
      <w:start w:val="1"/>
      <w:numFmt w:val="bullet"/>
      <w:lvlText w:val=""/>
      <w:lvlJc w:val="left"/>
      <w:pPr>
        <w:ind w:left="8531" w:hanging="360"/>
      </w:pPr>
      <w:rPr>
        <w:rFonts w:ascii="Wingdings" w:hAnsi="Wingdings" w:hint="default"/>
      </w:rPr>
    </w:lvl>
  </w:abstractNum>
  <w:abstractNum w:abstractNumId="1">
    <w:nsid w:val="27620CCF"/>
    <w:multiLevelType w:val="hybridMultilevel"/>
    <w:tmpl w:val="EC32D58A"/>
    <w:lvl w:ilvl="0" w:tplc="15EEA4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F3F702E-E878-4A73-BA16-140C761FBEF0"/>
    <w:docVar w:name="LW_COVERPAGE_TYPE" w:val="1"/>
    <w:docVar w:name="LW_CROSSREFERENCE" w:val="{SWD(2019) 438 final}"/>
    <w:docVar w:name="LW_DocType" w:val="NORMAL"/>
    <w:docVar w:name="LW_EMISSION" w:val="17.12.2019"/>
    <w:docVar w:name="LW_EMISSION_ISODATE" w:val="2019-12-17"/>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izvajanju \u269?lena 45 Uredbe (EU) \u353?t. 1306/2013 Evropskega parlamenta in Sveta o ukrepih za informiranje v zvezi s skupno kmetijsko politiko_x000d__x000d__x000d__x000d__x000d__x000d__x000b__x000d__x000d__x000d__x000d__x000d__x000d__x000b__x000d__x000d__x000d__x000d__x000d__x000d__x000b_"/>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ind w:left="720" w:hanging="720"/>
      <w:jc w:val="both"/>
    </w:pPr>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rPr>
      <w:shd w:val="clear" w:color="auto" w:fill="auto"/>
      <w:vertAlign w:val="superscript"/>
    </w:rPr>
  </w:style>
  <w:style w:type="paragraph" w:styleId="ListParagraph">
    <w:name w:val="List Paragraph"/>
    <w:basedOn w:val="Normal"/>
    <w:link w:val="ListParagraphChar"/>
    <w:uiPriority w:val="34"/>
    <w:qFormat/>
    <w:pPr>
      <w:ind w:left="720"/>
      <w:contextualSpacing/>
    </w:p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unhideWhenUsed/>
    <w:rPr>
      <w:color w:val="0000FF"/>
      <w:u w:val="single"/>
      <w:shd w:val="clear" w:color="auto" w:fill="auto"/>
    </w:rPr>
  </w:style>
  <w:style w:type="paragraph" w:customStyle="1" w:styleId="Style1">
    <w:name w:val="Style1"/>
    <w:basedOn w:val="Normal"/>
    <w:link w:val="Style1Char"/>
    <w:qFormat/>
    <w:pPr>
      <w:keepNext/>
      <w:tabs>
        <w:tab w:val="left" w:pos="850"/>
      </w:tabs>
      <w:spacing w:before="360" w:after="120"/>
      <w:ind w:left="850" w:hanging="850"/>
      <w:jc w:val="both"/>
      <w:outlineLvl w:val="0"/>
    </w:pPr>
    <w:rPr>
      <w:rFonts w:eastAsia="Times New Roman"/>
      <w:b/>
      <w:smallCaps/>
      <w:noProof/>
    </w:rPr>
  </w:style>
  <w:style w:type="paragraph" w:customStyle="1" w:styleId="Style2">
    <w:name w:val="Style2"/>
    <w:basedOn w:val="Normal"/>
    <w:qFormat/>
    <w:pPr>
      <w:jc w:val="both"/>
    </w:pPr>
    <w:rPr>
      <w:b/>
      <w:noProof/>
    </w:rPr>
  </w:style>
  <w:style w:type="paragraph" w:customStyle="1" w:styleId="Style3">
    <w:name w:val="Style3"/>
    <w:basedOn w:val="Normal"/>
    <w:qFormat/>
    <w:pPr>
      <w:spacing w:before="120" w:after="120"/>
      <w:jc w:val="both"/>
    </w:pPr>
    <w:rPr>
      <w:b/>
      <w:noProof/>
    </w:rPr>
  </w:style>
  <w:style w:type="character" w:customStyle="1" w:styleId="Style1Char">
    <w:name w:val="Style1 Char"/>
    <w:basedOn w:val="DefaultParagraphFont"/>
    <w:link w:val="Style1"/>
    <w:rPr>
      <w:rFonts w:ascii="Times New Roman" w:eastAsia="Times New Roman" w:hAnsi="Times New Roman" w:cs="Times New Roman"/>
      <w:b/>
      <w:smallCaps/>
      <w:noProof/>
      <w:sz w:val="24"/>
      <w:szCs w:val="24"/>
    </w:rPr>
  </w:style>
  <w:style w:type="character" w:customStyle="1" w:styleId="AARsimplelistChar">
    <w:name w:val="AAR simple list Char"/>
    <w:link w:val="AARsimplelist"/>
    <w:locked/>
    <w:rPr>
      <w:rFonts w:ascii="Verdana" w:hAnsi="Verdana"/>
      <w:szCs w:val="24"/>
    </w:rPr>
  </w:style>
  <w:style w:type="paragraph" w:customStyle="1" w:styleId="AARsimplelist">
    <w:name w:val="AAR simple list"/>
    <w:basedOn w:val="Normal"/>
    <w:link w:val="AARsimplelistChar"/>
    <w:qFormat/>
    <w:pPr>
      <w:widowControl w:val="0"/>
      <w:numPr>
        <w:numId w:val="2"/>
      </w:numPr>
      <w:autoSpaceDE w:val="0"/>
      <w:autoSpaceDN w:val="0"/>
      <w:adjustRightInd w:val="0"/>
      <w:spacing w:after="120" w:line="240" w:lineRule="atLeast"/>
      <w:ind w:right="1"/>
      <w:jc w:val="both"/>
    </w:pPr>
    <w:rPr>
      <w:rFonts w:ascii="Verdana" w:eastAsiaTheme="minorHAnsi" w:hAnsi="Verdana" w:cstheme="minorBidi"/>
      <w:sz w:val="22"/>
    </w:rPr>
  </w:style>
  <w:style w:type="paragraph" w:styleId="NormalWeb">
    <w:name w:val="Normal (Web)"/>
    <w:basedOn w:val="Normal"/>
    <w:uiPriority w:val="99"/>
    <w:unhideWhenUsed/>
    <w:pPr>
      <w:spacing w:before="100" w:beforeAutospacing="1" w:after="100" w:afterAutospacing="1"/>
    </w:pPr>
    <w:rPr>
      <w:rFonts w:eastAsia="Times New Roman"/>
      <w:lang w:eastAsia="en-GB"/>
    </w:rPr>
  </w:style>
  <w:style w:type="character" w:customStyle="1" w:styleId="ListParagraphChar">
    <w:name w:val="List Paragraph Char"/>
    <w:link w:val="ListParagraph"/>
    <w:uiPriority w:val="34"/>
    <w:rPr>
      <w:rFonts w:ascii="Times New Roman" w:eastAsia="Calibri" w:hAnsi="Times New Roman" w:cs="Times New Roman"/>
      <w:sz w:val="24"/>
      <w:szCs w:val="24"/>
    </w:rPr>
  </w:style>
  <w:style w:type="paragraph" w:styleId="BodyText">
    <w:name w:val="Body Text"/>
    <w:basedOn w:val="Normal"/>
    <w:link w:val="BodyTextChar"/>
    <w:pPr>
      <w:spacing w:after="120"/>
      <w:jc w:val="both"/>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Calibri"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Style1Char"/>
    <w:link w:val="FooterCoverPage"/>
    <w:rPr>
      <w:rFonts w:ascii="Times New Roman" w:eastAsia="Calibri" w:hAnsi="Times New Roman" w:cs="Times New Roman"/>
      <w:b w:val="0"/>
      <w:smallCaps w:val="0"/>
      <w:noProof/>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Style1Char"/>
    <w:link w:val="FooterSensitivity"/>
    <w:rPr>
      <w:rFonts w:ascii="Times New Roman" w:eastAsia="Calibri" w:hAnsi="Times New Roman" w:cs="Times New Roman"/>
      <w:b/>
      <w:smallCaps w:val="0"/>
      <w:noProof/>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Style1Char"/>
    <w:link w:val="HeaderCoverPage"/>
    <w:rPr>
      <w:rFonts w:ascii="Times New Roman" w:eastAsia="Calibri" w:hAnsi="Times New Roman" w:cs="Times New Roman"/>
      <w:b w:val="0"/>
      <w:smallCaps w:val="0"/>
      <w:noProof/>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yle1Char"/>
    <w:link w:val="HeaderSensitivity"/>
    <w:rPr>
      <w:rFonts w:ascii="Times New Roman" w:eastAsia="Calibri" w:hAnsi="Times New Roman" w:cs="Times New Roman"/>
      <w:b/>
      <w:smallCaps w:val="0"/>
      <w:noProof/>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Style1Char"/>
    <w:link w:val="HeaderSensitivityRight"/>
    <w:rPr>
      <w:rFonts w:ascii="Times New Roman" w:eastAsia="Calibri" w:hAnsi="Times New Roman" w:cs="Times New Roman"/>
      <w:b w:val="0"/>
      <w:smallCaps w:val="0"/>
      <w:noProof/>
      <w:sz w:val="28"/>
      <w:szCs w:val="24"/>
    </w:rPr>
  </w:style>
  <w:style w:type="paragraph" w:customStyle="1" w:styleId="EBparagraph">
    <w:name w:val="EB paragraph"/>
    <w:basedOn w:val="Normal"/>
    <w:pPr>
      <w:spacing w:after="120"/>
      <w:jc w:val="both"/>
    </w:pPr>
    <w:rPr>
      <w:rFonts w:ascii="EC Square Sans Pro" w:eastAsiaTheme="minorHAnsi" w:hAnsi="EC Square Sans Pro"/>
      <w:sz w:val="22"/>
      <w:szCs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customStyle="1" w:styleId="forceindicator">
    <w:name w:val="forceindicator"/>
    <w:basedOn w:val="Normal"/>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ind w:left="720" w:hanging="720"/>
      <w:jc w:val="both"/>
    </w:pPr>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rPr>
      <w:shd w:val="clear" w:color="auto" w:fill="auto"/>
      <w:vertAlign w:val="superscript"/>
    </w:rPr>
  </w:style>
  <w:style w:type="paragraph" w:styleId="ListParagraph">
    <w:name w:val="List Paragraph"/>
    <w:basedOn w:val="Normal"/>
    <w:link w:val="ListParagraphChar"/>
    <w:uiPriority w:val="34"/>
    <w:qFormat/>
    <w:pPr>
      <w:ind w:left="720"/>
      <w:contextualSpacing/>
    </w:p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unhideWhenUsed/>
    <w:rPr>
      <w:color w:val="0000FF"/>
      <w:u w:val="single"/>
      <w:shd w:val="clear" w:color="auto" w:fill="auto"/>
    </w:rPr>
  </w:style>
  <w:style w:type="paragraph" w:customStyle="1" w:styleId="Style1">
    <w:name w:val="Style1"/>
    <w:basedOn w:val="Normal"/>
    <w:link w:val="Style1Char"/>
    <w:qFormat/>
    <w:pPr>
      <w:keepNext/>
      <w:tabs>
        <w:tab w:val="left" w:pos="850"/>
      </w:tabs>
      <w:spacing w:before="360" w:after="120"/>
      <w:ind w:left="850" w:hanging="850"/>
      <w:jc w:val="both"/>
      <w:outlineLvl w:val="0"/>
    </w:pPr>
    <w:rPr>
      <w:rFonts w:eastAsia="Times New Roman"/>
      <w:b/>
      <w:smallCaps/>
      <w:noProof/>
    </w:rPr>
  </w:style>
  <w:style w:type="paragraph" w:customStyle="1" w:styleId="Style2">
    <w:name w:val="Style2"/>
    <w:basedOn w:val="Normal"/>
    <w:qFormat/>
    <w:pPr>
      <w:jc w:val="both"/>
    </w:pPr>
    <w:rPr>
      <w:b/>
      <w:noProof/>
    </w:rPr>
  </w:style>
  <w:style w:type="paragraph" w:customStyle="1" w:styleId="Style3">
    <w:name w:val="Style3"/>
    <w:basedOn w:val="Normal"/>
    <w:qFormat/>
    <w:pPr>
      <w:spacing w:before="120" w:after="120"/>
      <w:jc w:val="both"/>
    </w:pPr>
    <w:rPr>
      <w:b/>
      <w:noProof/>
    </w:rPr>
  </w:style>
  <w:style w:type="character" w:customStyle="1" w:styleId="Style1Char">
    <w:name w:val="Style1 Char"/>
    <w:basedOn w:val="DefaultParagraphFont"/>
    <w:link w:val="Style1"/>
    <w:rPr>
      <w:rFonts w:ascii="Times New Roman" w:eastAsia="Times New Roman" w:hAnsi="Times New Roman" w:cs="Times New Roman"/>
      <w:b/>
      <w:smallCaps/>
      <w:noProof/>
      <w:sz w:val="24"/>
      <w:szCs w:val="24"/>
    </w:rPr>
  </w:style>
  <w:style w:type="character" w:customStyle="1" w:styleId="AARsimplelistChar">
    <w:name w:val="AAR simple list Char"/>
    <w:link w:val="AARsimplelist"/>
    <w:locked/>
    <w:rPr>
      <w:rFonts w:ascii="Verdana" w:hAnsi="Verdana"/>
      <w:szCs w:val="24"/>
    </w:rPr>
  </w:style>
  <w:style w:type="paragraph" w:customStyle="1" w:styleId="AARsimplelist">
    <w:name w:val="AAR simple list"/>
    <w:basedOn w:val="Normal"/>
    <w:link w:val="AARsimplelistChar"/>
    <w:qFormat/>
    <w:pPr>
      <w:widowControl w:val="0"/>
      <w:numPr>
        <w:numId w:val="2"/>
      </w:numPr>
      <w:autoSpaceDE w:val="0"/>
      <w:autoSpaceDN w:val="0"/>
      <w:adjustRightInd w:val="0"/>
      <w:spacing w:after="120" w:line="240" w:lineRule="atLeast"/>
      <w:ind w:right="1"/>
      <w:jc w:val="both"/>
    </w:pPr>
    <w:rPr>
      <w:rFonts w:ascii="Verdana" w:eastAsiaTheme="minorHAnsi" w:hAnsi="Verdana" w:cstheme="minorBidi"/>
      <w:sz w:val="22"/>
    </w:rPr>
  </w:style>
  <w:style w:type="paragraph" w:styleId="NormalWeb">
    <w:name w:val="Normal (Web)"/>
    <w:basedOn w:val="Normal"/>
    <w:uiPriority w:val="99"/>
    <w:unhideWhenUsed/>
    <w:pPr>
      <w:spacing w:before="100" w:beforeAutospacing="1" w:after="100" w:afterAutospacing="1"/>
    </w:pPr>
    <w:rPr>
      <w:rFonts w:eastAsia="Times New Roman"/>
      <w:lang w:eastAsia="en-GB"/>
    </w:rPr>
  </w:style>
  <w:style w:type="character" w:customStyle="1" w:styleId="ListParagraphChar">
    <w:name w:val="List Paragraph Char"/>
    <w:link w:val="ListParagraph"/>
    <w:uiPriority w:val="34"/>
    <w:rPr>
      <w:rFonts w:ascii="Times New Roman" w:eastAsia="Calibri" w:hAnsi="Times New Roman" w:cs="Times New Roman"/>
      <w:sz w:val="24"/>
      <w:szCs w:val="24"/>
    </w:rPr>
  </w:style>
  <w:style w:type="paragraph" w:styleId="BodyText">
    <w:name w:val="Body Text"/>
    <w:basedOn w:val="Normal"/>
    <w:link w:val="BodyTextChar"/>
    <w:pPr>
      <w:spacing w:after="120"/>
      <w:jc w:val="both"/>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Calibri"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Style1Char"/>
    <w:link w:val="FooterCoverPage"/>
    <w:rPr>
      <w:rFonts w:ascii="Times New Roman" w:eastAsia="Calibri" w:hAnsi="Times New Roman" w:cs="Times New Roman"/>
      <w:b w:val="0"/>
      <w:smallCaps w:val="0"/>
      <w:noProof/>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Style1Char"/>
    <w:link w:val="FooterSensitivity"/>
    <w:rPr>
      <w:rFonts w:ascii="Times New Roman" w:eastAsia="Calibri" w:hAnsi="Times New Roman" w:cs="Times New Roman"/>
      <w:b/>
      <w:smallCaps w:val="0"/>
      <w:noProof/>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Style1Char"/>
    <w:link w:val="HeaderCoverPage"/>
    <w:rPr>
      <w:rFonts w:ascii="Times New Roman" w:eastAsia="Calibri" w:hAnsi="Times New Roman" w:cs="Times New Roman"/>
      <w:b w:val="0"/>
      <w:smallCaps w:val="0"/>
      <w:noProof/>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yle1Char"/>
    <w:link w:val="HeaderSensitivity"/>
    <w:rPr>
      <w:rFonts w:ascii="Times New Roman" w:eastAsia="Calibri" w:hAnsi="Times New Roman" w:cs="Times New Roman"/>
      <w:b/>
      <w:smallCaps w:val="0"/>
      <w:noProof/>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Style1Char"/>
    <w:link w:val="HeaderSensitivityRight"/>
    <w:rPr>
      <w:rFonts w:ascii="Times New Roman" w:eastAsia="Calibri" w:hAnsi="Times New Roman" w:cs="Times New Roman"/>
      <w:b w:val="0"/>
      <w:smallCaps w:val="0"/>
      <w:noProof/>
      <w:sz w:val="28"/>
      <w:szCs w:val="24"/>
    </w:rPr>
  </w:style>
  <w:style w:type="paragraph" w:customStyle="1" w:styleId="EBparagraph">
    <w:name w:val="EB paragraph"/>
    <w:basedOn w:val="Normal"/>
    <w:pPr>
      <w:spacing w:after="120"/>
      <w:jc w:val="both"/>
    </w:pPr>
    <w:rPr>
      <w:rFonts w:ascii="EC Square Sans Pro" w:eastAsiaTheme="minorHAnsi" w:hAnsi="EC Square Sans Pro"/>
      <w:sz w:val="22"/>
      <w:szCs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customStyle="1" w:styleId="forceindicator">
    <w:name w:val="forceindicator"/>
    <w:basedOn w:val="Normal"/>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7772">
      <w:bodyDiv w:val="1"/>
      <w:marLeft w:val="0"/>
      <w:marRight w:val="0"/>
      <w:marTop w:val="0"/>
      <w:marBottom w:val="0"/>
      <w:divBdr>
        <w:top w:val="none" w:sz="0" w:space="0" w:color="auto"/>
        <w:left w:val="none" w:sz="0" w:space="0" w:color="auto"/>
        <w:bottom w:val="none" w:sz="0" w:space="0" w:color="auto"/>
        <w:right w:val="none" w:sz="0" w:space="0" w:color="auto"/>
      </w:divBdr>
    </w:div>
    <w:div w:id="1477137394">
      <w:bodyDiv w:val="1"/>
      <w:marLeft w:val="0"/>
      <w:marRight w:val="0"/>
      <w:marTop w:val="0"/>
      <w:marBottom w:val="0"/>
      <w:divBdr>
        <w:top w:val="none" w:sz="0" w:space="0" w:color="auto"/>
        <w:left w:val="none" w:sz="0" w:space="0" w:color="auto"/>
        <w:bottom w:val="none" w:sz="0" w:space="0" w:color="auto"/>
        <w:right w:val="none" w:sz="0" w:space="0" w:color="auto"/>
      </w:divBdr>
    </w:div>
    <w:div w:id="1487546265">
      <w:bodyDiv w:val="1"/>
      <w:marLeft w:val="0"/>
      <w:marRight w:val="0"/>
      <w:marTop w:val="0"/>
      <w:marBottom w:val="0"/>
      <w:divBdr>
        <w:top w:val="none" w:sz="0" w:space="0" w:color="auto"/>
        <w:left w:val="none" w:sz="0" w:space="0" w:color="auto"/>
        <w:bottom w:val="none" w:sz="0" w:space="0" w:color="auto"/>
        <w:right w:val="none" w:sz="0" w:space="0" w:color="auto"/>
      </w:divBdr>
    </w:div>
    <w:div w:id="19330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g-Pres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frontoffice/publicopinion/index.cfm/Survey/getSurveyDetail/instruments/SPECIAL/surveyKy/2161" TargetMode="External"/><Relationship Id="rId2" Type="http://schemas.openxmlformats.org/officeDocument/2006/relationships/hyperlink" Target="https://ec.europa.eu/agriculture/grants-for-information-measures_sl" TargetMode="External"/><Relationship Id="rId1" Type="http://schemas.openxmlformats.org/officeDocument/2006/relationships/hyperlink" Target="https://ec.europa.eu/agriculture/consultations/cap-modernising/2017_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2999-72F8-40E0-9DCE-0DFACF81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3881</Words>
  <Characters>22591</Characters>
  <Application>Microsoft Office Word</Application>
  <DocSecurity>0</DocSecurity>
  <Lines>502</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82</cp:revision>
  <cp:lastPrinted>2019-10-01T10:45:00Z</cp:lastPrinted>
  <dcterms:created xsi:type="dcterms:W3CDTF">2019-11-14T16:07:00Z</dcterms:created>
  <dcterms:modified xsi:type="dcterms:W3CDTF">2019-12-09T15:52:00Z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