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68B52FC-9343-4F06-A60F-AF4D54AAB818" style="width:450.4pt;height:320.6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ind w:left="0"/>
        <w:jc w:val="center"/>
        <w:rPr>
          <w:rFonts w:ascii="Times New Roman" w:hAnsi="Times New Roman" w:cs="Times New Roman"/>
          <w:b/>
          <w:noProof/>
          <w:sz w:val="24"/>
          <w:szCs w:val="24"/>
        </w:rPr>
      </w:pPr>
      <w:bookmarkStart w:id="1" w:name="_GoBack"/>
      <w:bookmarkEnd w:id="1"/>
      <w:r>
        <w:rPr>
          <w:rFonts w:ascii="Times New Roman" w:hAnsi="Times New Roman"/>
          <w:b/>
          <w:noProof/>
        </w:rPr>
        <w:lastRenderedPageBreak/>
        <w:t>KOMISIJOS ATASKAITA EUROPOS PARLAMENTUI IR TARYBAI</w:t>
      </w:r>
    </w:p>
    <w:p>
      <w:pPr>
        <w:pStyle w:val="ListParagraph"/>
        <w:ind w:left="0"/>
        <w:jc w:val="center"/>
        <w:rPr>
          <w:rFonts w:ascii="Times New Roman" w:hAnsi="Times New Roman" w:cs="Times New Roman"/>
          <w:b/>
          <w:noProof/>
          <w:sz w:val="24"/>
          <w:szCs w:val="24"/>
        </w:rPr>
      </w:pPr>
    </w:p>
    <w:p>
      <w:pPr>
        <w:pStyle w:val="ListParagraph"/>
        <w:ind w:left="0"/>
        <w:jc w:val="center"/>
        <w:rPr>
          <w:rFonts w:ascii="Times New Roman" w:hAnsi="Times New Roman" w:cs="Times New Roman"/>
          <w:b/>
          <w:noProof/>
          <w:sz w:val="24"/>
          <w:szCs w:val="24"/>
        </w:rPr>
      </w:pPr>
      <w:r>
        <w:rPr>
          <w:rFonts w:ascii="Times New Roman" w:hAnsi="Times New Roman"/>
          <w:b/>
          <w:noProof/>
        </w:rPr>
        <w:t>dėl Komisijos naudojimosi įgaliojimais, suteiktais pagal Reglamentą (EB) Nr. 1007/2009 su pakeitimais, padarytais Reglamentu (ES) 2015/1775 dėl prekybos produktais iš ruonių</w:t>
      </w:r>
    </w:p>
    <w:p>
      <w:pPr>
        <w:pStyle w:val="ListParagraph"/>
        <w:ind w:left="0"/>
        <w:rPr>
          <w:rFonts w:ascii="Times New Roman" w:hAnsi="Times New Roman" w:cs="Times New Roman"/>
          <w:b/>
          <w:noProof/>
          <w:sz w:val="24"/>
          <w:szCs w:val="24"/>
        </w:rPr>
      </w:pP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ĮVADAS</w:t>
      </w:r>
    </w:p>
    <w:p>
      <w:pPr>
        <w:pStyle w:val="NormalWeb"/>
        <w:spacing w:before="0" w:beforeAutospacing="0" w:after="240" w:afterAutospacing="0"/>
        <w:jc w:val="both"/>
        <w:rPr>
          <w:noProof/>
        </w:rPr>
      </w:pPr>
      <w:r>
        <w:rPr>
          <w:noProof/>
        </w:rPr>
        <w:t>Europos Parlamento ir Tarybos reglamentu (EB) Nr. 1007/2009</w:t>
      </w:r>
      <w:r>
        <w:rPr>
          <w:rStyle w:val="FootnoteReference"/>
          <w:noProof/>
        </w:rPr>
        <w:footnoteReference w:id="1"/>
      </w:r>
      <w:r>
        <w:rPr>
          <w:noProof/>
        </w:rPr>
        <w:t xml:space="preserve"> dėl prekybos produktais iš ruonių (Pagrindinis reglamentas) draudžiama pateikti rinkai produktus iš ruonių.</w:t>
      </w:r>
    </w:p>
    <w:p>
      <w:pPr>
        <w:pStyle w:val="NormalWeb"/>
        <w:spacing w:before="0" w:beforeAutospacing="0" w:after="240" w:afterAutospacing="0"/>
        <w:jc w:val="both"/>
        <w:rPr>
          <w:noProof/>
        </w:rPr>
      </w:pPr>
      <w:r>
        <w:rPr>
          <w:noProof/>
        </w:rPr>
        <w:t>Jis iš dalies pakeistas Reglamentu (ES) Nr. 2015/1775</w:t>
      </w:r>
      <w:r>
        <w:rPr>
          <w:rStyle w:val="FootnoteReference"/>
          <w:noProof/>
        </w:rPr>
        <w:footnoteReference w:id="2"/>
      </w:r>
      <w:r>
        <w:rPr>
          <w:noProof/>
        </w:rPr>
        <w:t xml:space="preserve"> siekiant atsižvelgti į Pasaulio prekybos organizacijos sprendimų EK iškeltoje byloje dėl produktų iš ruonių</w:t>
      </w:r>
      <w:r>
        <w:rPr>
          <w:rStyle w:val="FootnoteReference"/>
          <w:noProof/>
        </w:rPr>
        <w:footnoteReference w:id="3"/>
      </w:r>
      <w:r>
        <w:rPr>
          <w:noProof/>
        </w:rPr>
        <w:t xml:space="preserve"> rezultatus. Atitinkamai, ES tvarkoje dėl ruonių numatytos dvi draudimo išimtys:</w:t>
      </w:r>
    </w:p>
    <w:p>
      <w:pPr>
        <w:pStyle w:val="ListParagraph"/>
        <w:numPr>
          <w:ilvl w:val="0"/>
          <w:numId w:val="2"/>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rPr>
        <w:t>Pagal šią tvarką leidžiama pateikti rinkai produktus iš ruonių, kai tie produktai yra inuitų ar kitų čiabuvių bendruomenių medžioklės rezultatas, jei yra tenkinamos specialios Pagrindinio reglamento 3 straipsnio 1 dalyje nustatytos sąlygos.</w:t>
      </w:r>
    </w:p>
    <w:p>
      <w:pPr>
        <w:spacing w:after="240" w:line="240" w:lineRule="auto"/>
        <w:ind w:left="360"/>
        <w:jc w:val="both"/>
        <w:rPr>
          <w:rFonts w:ascii="Times New Roman" w:eastAsia="Times New Roman" w:hAnsi="Times New Roman" w:cs="Times New Roman"/>
          <w:noProof/>
          <w:sz w:val="24"/>
          <w:szCs w:val="24"/>
          <w:u w:val="single"/>
        </w:rPr>
      </w:pPr>
      <w:r>
        <w:rPr>
          <w:rFonts w:ascii="Times New Roman" w:hAnsi="Times New Roman"/>
          <w:noProof/>
        </w:rPr>
        <w:t>To paties reglamento su pakeitimais 3 straipsnio 1a dalyje taip numatyta, kad produkto iš ruonių pateikimo ES rinkai metu kartu su juo pateikiamas dokumentas, patvirtinantis atitiktį nustatytoms sąlygoms, kuriomis galima pasinaudoti „inuitų arba kitoms čiabuvių bendruomenėms taikoma išimtimi“. Patvirtinimo dokumentas turi būti išduotas tuo tikslu Europos Komisijos pripažintos įstaigos pagal Komisijos įgyvendinimo reglamento (ES) 2015/1850</w:t>
      </w:r>
      <w:r>
        <w:rPr>
          <w:rStyle w:val="FootnoteReference"/>
          <w:rFonts w:ascii="Times New Roman" w:hAnsi="Times New Roman"/>
          <w:noProof/>
        </w:rPr>
        <w:footnoteReference w:id="4"/>
      </w:r>
      <w:r>
        <w:rPr>
          <w:rFonts w:ascii="Times New Roman" w:hAnsi="Times New Roman"/>
          <w:noProof/>
        </w:rPr>
        <w:t xml:space="preserve"> (Įgyvendinimo reglamentas) 3 straipsnį.</w:t>
      </w:r>
    </w:p>
    <w:p>
      <w:pPr>
        <w:pStyle w:val="ListParagraph"/>
        <w:numPr>
          <w:ilvl w:val="0"/>
          <w:numId w:val="2"/>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rPr>
        <w:t>ES taip pat leidžia importuoti produktus iš ruonių, kai importas yra atsitiktinis ir importuojamos tik keliautojų arba jų šeimos narių asmeninėms reikmėms naudojamos prekės (Pagrindinio reglamento su pakeitimais 3 straipsnio 2 dalis).</w:t>
      </w: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TEISINIS PAGRINDAS</w:t>
      </w:r>
    </w:p>
    <w:p>
      <w:pPr>
        <w:pStyle w:val="ti-art"/>
        <w:spacing w:before="0" w:beforeAutospacing="0" w:after="240" w:afterAutospacing="0"/>
        <w:jc w:val="both"/>
        <w:rPr>
          <w:noProof/>
        </w:rPr>
      </w:pPr>
      <w:r>
        <w:rPr>
          <w:noProof/>
        </w:rPr>
        <w:t>Reglamento (EB) Nr. 1007/2009 su pakeitimais, padarytais Reglamentu (ES) 2015/1775 dėl prekybos produktais iš ruonių, 3 straipsnio 5 dalyje nurodoma, kad jei yra įrodymų, jog ruonių medžioklė vykdoma visų pirma dėl komercinių priežasčių, Komisijai suteikiami įgaliojamai priimti deleguotuosius aktus pagal 4a straipsnį siekiant uždrausti pateikti rinkai iš atitinkamos medžioklės gautus produktus arba apriboti jų kiekį. Ypač svarbu, kad Komisija vadovautųsi savo įprasta praktika ir konsultuotųsi su ekspertais, įskaitant valstybių narių ekspertus, prieš priimdama tuos deleguotuosius aktus.</w:t>
      </w:r>
    </w:p>
    <w:p>
      <w:pPr>
        <w:pStyle w:val="ti-art"/>
        <w:spacing w:before="0" w:beforeAutospacing="0" w:after="240" w:afterAutospacing="0"/>
        <w:jc w:val="both"/>
        <w:rPr>
          <w:noProof/>
        </w:rPr>
      </w:pPr>
      <w:r>
        <w:rPr>
          <w:noProof/>
        </w:rPr>
        <w:t>Pagrindinio reglamento su pakeitimais 4a straipsnio 1 ir 2 dalyje nurodoma, kad įgaliojimai priimti deleguotuosius aktus Komisijai suteikiami penkerių metų laikotarpiui nuo 2015 m. spalio 10 d. Jame taip pat nurodyta, kad likus ne mažiau kaip devyniems mėnesiams iki penkerių metų laikotarpio pabaigos Komisija parengia naudojimosi deleguotaisiais įgaliojimais ataskaitą.</w:t>
      </w:r>
    </w:p>
    <w:p>
      <w:pPr>
        <w:pStyle w:val="Normal1"/>
        <w:spacing w:before="0" w:beforeAutospacing="0" w:after="240" w:afterAutospacing="0"/>
        <w:jc w:val="both"/>
        <w:rPr>
          <w:noProof/>
        </w:rPr>
      </w:pPr>
      <w:r>
        <w:rPr>
          <w:noProof/>
        </w:rPr>
        <w:t>Pagrindinio reglamento su pakeitimais 4a straipsnio 2 dalyje išdėstyta, kad įgaliojimai savaime pratęsiami tokios pačios trukmės laikotarpiams, išskyrus atvejus, kai Europos Parlamentas arba Taryba pareiškia prieštaravimų dėl tokio pratęsimo likus ne mažiau kaip trims mėnesiams iki kiekvieno laikotarpio pabaigos, o 4a straipsnio 3 dalyje teigiama, kad Europos Parlamentas arba Taryba gali deleguotuosius įgaliojimus atšaukti bet kada.</w:t>
      </w: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NAUDOJIMASIS ĮGALIOJIMAIS</w:t>
      </w:r>
    </w:p>
    <w:p>
      <w:pPr>
        <w:pStyle w:val="Default"/>
        <w:spacing w:after="240"/>
        <w:jc w:val="both"/>
        <w:rPr>
          <w:noProof/>
        </w:rPr>
      </w:pPr>
      <w:r>
        <w:rPr>
          <w:noProof/>
        </w:rPr>
        <w:t>Ataskaitiniu laikotarpiu, t. y. nuo 2015 m. spalio 10 d. iki 2020 m. sausio 10 d. Komisija nepasinaudojo jai deleguotais įgaliojimais, nes nebuvo pateikta jokių įrodymų, kad ruonių medžioklė buvo vykdoma visų pirma dėl komercinių priežasčių.</w:t>
      </w:r>
    </w:p>
    <w:p>
      <w:pPr>
        <w:pStyle w:val="Default"/>
        <w:spacing w:after="240"/>
        <w:jc w:val="both"/>
        <w:rPr>
          <w:noProof/>
        </w:rPr>
      </w:pPr>
      <w:r>
        <w:rPr>
          <w:noProof/>
        </w:rPr>
        <w:t>Komisija laiko, kad po dabartinio penkerių metų laikotarpio įgaliojimą reikėtų pratęsti, nes tokia komercinė veikla galėtų būti vykdoma ateityje.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8031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color w:val="444444"/>
          <w:sz w:val="18"/>
          <w:szCs w:val="18"/>
        </w:rPr>
        <w:t>https://eur-lex.europa.eu/legal-content/LT/TXT/PDF/?uri=CELEX:32009R1007&amp;from=EN</w:t>
      </w:r>
    </w:p>
  </w:footnote>
  <w:footnote w:id="2">
    <w:p>
      <w:pPr>
        <w:pStyle w:val="FootnoteText"/>
      </w:pPr>
      <w:r>
        <w:rPr>
          <w:rStyle w:val="FootnoteReference"/>
        </w:rPr>
        <w:footnoteRef/>
      </w:r>
      <w:r>
        <w:t xml:space="preserve"> </w:t>
      </w:r>
      <w:r>
        <w:rPr>
          <w:rFonts w:ascii="Times New Roman" w:hAnsi="Times New Roman"/>
          <w:color w:val="444444"/>
          <w:sz w:val="18"/>
          <w:szCs w:val="18"/>
        </w:rPr>
        <w:t>https://eur-lex.europa.eu/legal-content/LT/TXT/PDF/?uri=CELEX:32015R1775&amp;from=EN</w:t>
      </w:r>
    </w:p>
  </w:footnote>
  <w:footnote w:id="3">
    <w:p>
      <w:pPr>
        <w:pStyle w:val="FootnoteText"/>
      </w:pPr>
      <w:r>
        <w:rPr>
          <w:rStyle w:val="FootnoteReference"/>
        </w:rPr>
        <w:footnoteRef/>
      </w:r>
      <w:r>
        <w:t xml:space="preserve"> </w:t>
      </w:r>
      <w:r>
        <w:rPr>
          <w:rFonts w:ascii="Times New Roman" w:hAnsi="Times New Roman"/>
          <w:sz w:val="18"/>
          <w:szCs w:val="18"/>
        </w:rPr>
        <w:t>http://trade.ec.europa.eu/wtodispute/show.cfm?id=475&amp;code=2</w:t>
      </w:r>
    </w:p>
  </w:footnote>
  <w:footnote w:id="4">
    <w:p>
      <w:pPr>
        <w:pStyle w:val="FootnoteText"/>
      </w:pPr>
      <w:r>
        <w:rPr>
          <w:rStyle w:val="FootnoteReference"/>
        </w:rPr>
        <w:footnoteRef/>
      </w:r>
      <w:r>
        <w:t xml:space="preserve"> </w:t>
      </w:r>
      <w:r>
        <w:rPr>
          <w:rFonts w:ascii="Times New Roman" w:hAnsi="Times New Roman"/>
          <w:sz w:val="18"/>
          <w:szCs w:val="18"/>
        </w:rPr>
        <w:t>https://eur-lex.europa.eu/legal-content/LT/TXT/PDF/?uri=CELEX:32015R1850&amp;from=EN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37C92"/>
    <w:multiLevelType w:val="hybridMultilevel"/>
    <w:tmpl w:val="1B644F6A"/>
    <w:lvl w:ilvl="0" w:tplc="08090011">
      <w:start w:val="1"/>
      <w:numFmt w:val="decimal"/>
      <w:lvlText w:val="%1)"/>
      <w:lvlJc w:val="left"/>
      <w:pPr>
        <w:ind w:left="360" w:hanging="360"/>
      </w:pPr>
      <w:rPr>
        <w:rFonts w:hint="default"/>
      </w:rPr>
    </w:lvl>
    <w:lvl w:ilvl="1" w:tplc="20C8169C">
      <w:start w:val="2"/>
      <w:numFmt w:val="bullet"/>
      <w:lvlText w:val="-"/>
      <w:lvlJc w:val="left"/>
      <w:pPr>
        <w:ind w:left="1245" w:hanging="525"/>
      </w:pPr>
      <w:rPr>
        <w:rFonts w:ascii="Times New Roman" w:eastAsia="Times New Roman" w:hAnsi="Times New Roman" w:cs="Times New Roman" w:hint="default"/>
        <w:u w:val="no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8216557"/>
    <w:multiLevelType w:val="hybridMultilevel"/>
    <w:tmpl w:val="B44C79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68B52FC-9343-4F06-A60F-AF4D54AAB818"/>
    <w:docVar w:name="LW_COVERPAGE_TYPE" w:val="1"/>
    <w:docVar w:name="LW_CROSSREFERENCE" w:val="&lt;UNUSED&gt;"/>
    <w:docVar w:name="LW_DocType" w:val="NORMAL"/>
    <w:docVar w:name="LW_EMISSION" w:val="2019 12 17"/>
    <w:docVar w:name="LW_EMISSION_ISODATE" w:val="2019-12-17"/>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6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u279?l Komisijos naudojimosi \u303?galiojimais, suteiktais pagal Reglament\u261? (EB) Nr. 1007/2009 su pakeitimais, padarytais Reglamentu (ES) 2015/1775 d\u279?l prekybos produktais i\u353? ruoni\u371?&lt;/FMT&gt;"/>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1">
    <w:name w:val="Normal1"/>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basedOn w:val="DefaultParagraphFont"/>
    <w:link w:val="ListParagraph"/>
    <w:uiPriority w:val="34"/>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1">
    <w:name w:val="Normal1"/>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basedOn w:val="DefaultParagraphFont"/>
    <w:link w:val="ListParagraph"/>
    <w:uiPriority w:val="34"/>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97C6-91DA-45CA-967F-36BD0140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447</Words>
  <Characters>2998</Characters>
  <Application>Microsoft Office Word</Application>
  <DocSecurity>0</DocSecurity>
  <Lines>49</Lines>
  <Paragraphs>17</Paragraphs>
  <ScaleCrop>false</ScaleCrop>
  <Manager/>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2019-11-21T10:12:00Z</dcterms:created>
  <dcterms:modified xsi:type="dcterms:W3CDTF">2019-12-09T10:46:00Z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