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A2469426-2BAB-4E20-9C78-3FF98C144662" style="width:450.75pt;height:348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ind w:left="0"/>
        <w:jc w:val="center"/>
        <w:rPr>
          <w:rFonts w:ascii="Times New Roman" w:hAnsi="Times New Roman" w:cs="Times New Roman"/>
          <w:b/>
          <w:noProof/>
          <w:sz w:val="24"/>
          <w:szCs w:val="24"/>
        </w:rPr>
      </w:pPr>
      <w:bookmarkStart w:id="1" w:name="_GoBack"/>
      <w:bookmarkEnd w:id="1"/>
      <w:r>
        <w:rPr>
          <w:rFonts w:ascii="Times New Roman" w:hAnsi="Times New Roman"/>
          <w:b/>
          <w:noProof/>
        </w:rPr>
        <w:lastRenderedPageBreak/>
        <w:t>KOMISSION KERTOMUS EUROOPAN PARLAMENTILLE JA NEUVOSTOLLE</w:t>
      </w:r>
    </w:p>
    <w:p>
      <w:pPr>
        <w:pStyle w:val="ListParagraph"/>
        <w:ind w:left="0"/>
        <w:jc w:val="center"/>
        <w:rPr>
          <w:rFonts w:ascii="Times New Roman" w:hAnsi="Times New Roman" w:cs="Times New Roman"/>
          <w:b/>
          <w:noProof/>
          <w:sz w:val="24"/>
          <w:szCs w:val="24"/>
        </w:rPr>
      </w:pPr>
    </w:p>
    <w:p>
      <w:pPr>
        <w:pStyle w:val="ListParagraph"/>
        <w:ind w:left="0"/>
        <w:jc w:val="center"/>
        <w:rPr>
          <w:rFonts w:ascii="Times New Roman" w:hAnsi="Times New Roman" w:cs="Times New Roman"/>
          <w:b/>
          <w:noProof/>
          <w:sz w:val="24"/>
          <w:szCs w:val="24"/>
        </w:rPr>
      </w:pPr>
      <w:r>
        <w:rPr>
          <w:rFonts w:ascii="Times New Roman" w:hAnsi="Times New Roman"/>
          <w:b/>
          <w:noProof/>
        </w:rPr>
        <w:t>komissiolle hyljetuotteiden kaupasta annetun asetuksen (EY) N:o 1007/2009, sellaisena kuin se on muutettuna asetuksella (EU) 2015/1775, mukaisesti siirretyn säädösvallan käyttämisestä</w:t>
      </w:r>
    </w:p>
    <w:p>
      <w:pPr>
        <w:pStyle w:val="ListParagraph"/>
        <w:ind w:left="0"/>
        <w:rPr>
          <w:rFonts w:ascii="Times New Roman" w:hAnsi="Times New Roman" w:cs="Times New Roman"/>
          <w:b/>
          <w:noProof/>
          <w:sz w:val="24"/>
          <w:szCs w:val="24"/>
        </w:rPr>
      </w:pPr>
    </w:p>
    <w:p>
      <w:pPr>
        <w:pStyle w:val="ListParagraph"/>
        <w:numPr>
          <w:ilvl w:val="0"/>
          <w:numId w:val="1"/>
        </w:numPr>
        <w:spacing w:after="240" w:line="240" w:lineRule="auto"/>
        <w:contextualSpacing w:val="0"/>
        <w:rPr>
          <w:rFonts w:ascii="Times New Roman" w:hAnsi="Times New Roman" w:cs="Times New Roman"/>
          <w:b/>
          <w:noProof/>
          <w:sz w:val="24"/>
          <w:szCs w:val="24"/>
        </w:rPr>
      </w:pPr>
      <w:r>
        <w:rPr>
          <w:rFonts w:ascii="Times New Roman" w:hAnsi="Times New Roman"/>
          <w:b/>
          <w:noProof/>
        </w:rPr>
        <w:t>JOHDANTO</w:t>
      </w:r>
    </w:p>
    <w:p>
      <w:pPr>
        <w:pStyle w:val="NormalWeb"/>
        <w:spacing w:before="0" w:beforeAutospacing="0" w:after="240" w:afterAutospacing="0"/>
        <w:jc w:val="both"/>
        <w:rPr>
          <w:noProof/>
        </w:rPr>
      </w:pPr>
      <w:r>
        <w:rPr>
          <w:noProof/>
        </w:rPr>
        <w:t>Hyljetuotteiden kaupasta annetussa Euroopan parlamentin ja neuvoston asetuksessa (EY) N:o 1007/2009</w:t>
      </w:r>
      <w:r>
        <w:rPr>
          <w:rStyle w:val="FootnoteReference"/>
          <w:noProof/>
        </w:rPr>
        <w:footnoteReference w:id="1"/>
      </w:r>
      <w:r>
        <w:rPr>
          <w:noProof/>
        </w:rPr>
        <w:t>, jäljempänä ’perusasetus’, kielletään hyljetuotteiden saattaminen EU:n markkinoille.</w:t>
      </w:r>
    </w:p>
    <w:p>
      <w:pPr>
        <w:pStyle w:val="NormalWeb"/>
        <w:spacing w:before="0" w:beforeAutospacing="0" w:after="240" w:afterAutospacing="0"/>
        <w:jc w:val="both"/>
        <w:rPr>
          <w:noProof/>
        </w:rPr>
      </w:pPr>
      <w:r>
        <w:rPr>
          <w:noProof/>
        </w:rPr>
        <w:t>Sitä muutettiin asetuksella (EU) 2015/1775</w:t>
      </w:r>
      <w:r>
        <w:rPr>
          <w:rStyle w:val="FootnoteReference"/>
          <w:noProof/>
        </w:rPr>
        <w:footnoteReference w:id="2"/>
      </w:r>
      <w:r>
        <w:rPr>
          <w:noProof/>
        </w:rPr>
        <w:t>, jotta voitiin ottaa huomioon Maailman kauppajärjestön asiassa EC-Seal products</w:t>
      </w:r>
      <w:r>
        <w:rPr>
          <w:rStyle w:val="FootnoteReference"/>
          <w:noProof/>
        </w:rPr>
        <w:footnoteReference w:id="3"/>
      </w:r>
      <w:r>
        <w:rPr>
          <w:noProof/>
        </w:rPr>
        <w:t xml:space="preserve"> tekemien päätösten tulokset. Tämän seurauksena hyljetuotteiden kauppaa koskevaan EU:n järjestelmään sisältyy kaksi poikkeusta kiellosta:</w:t>
      </w:r>
    </w:p>
    <w:p>
      <w:pPr>
        <w:pStyle w:val="ListParagraph"/>
        <w:numPr>
          <w:ilvl w:val="0"/>
          <w:numId w:val="2"/>
        </w:numPr>
        <w:spacing w:after="240" w:line="240" w:lineRule="auto"/>
        <w:contextualSpacing w:val="0"/>
        <w:jc w:val="both"/>
        <w:rPr>
          <w:rFonts w:ascii="Times New Roman" w:eastAsia="Times New Roman" w:hAnsi="Times New Roman" w:cs="Times New Roman"/>
          <w:noProof/>
          <w:sz w:val="24"/>
          <w:szCs w:val="24"/>
        </w:rPr>
      </w:pPr>
      <w:r>
        <w:rPr>
          <w:rFonts w:ascii="Times New Roman" w:hAnsi="Times New Roman"/>
          <w:noProof/>
        </w:rPr>
        <w:t>Siinä sallitaan hyljetuotteiden saattaminen markkinoille silloin, kun kyseiset tuotteet ovat peräisin inuiittiyhteisöjen tai muiden alkuperäisyhteisöjen harjoittamasta hylkeenpyynnistä, edellyttäen, että perusasetuksen, sellaisena kuin se on muutettuna, 3 artiklan 1 kohdassa säädetyt erityisedellytykset täyttyvät.</w:t>
      </w:r>
    </w:p>
    <w:p>
      <w:pPr>
        <w:spacing w:after="240" w:line="240" w:lineRule="auto"/>
        <w:ind w:left="360"/>
        <w:jc w:val="both"/>
        <w:rPr>
          <w:rFonts w:ascii="Times New Roman" w:eastAsia="Times New Roman" w:hAnsi="Times New Roman" w:cs="Times New Roman"/>
          <w:noProof/>
          <w:sz w:val="24"/>
          <w:szCs w:val="24"/>
          <w:u w:val="single"/>
        </w:rPr>
      </w:pPr>
      <w:r>
        <w:rPr>
          <w:rFonts w:ascii="Times New Roman" w:hAnsi="Times New Roman"/>
          <w:noProof/>
        </w:rPr>
        <w:t>Saman asetuksen, sellaisena kuin se on muutettuna, 3 artiklan 1 a kohdassa säädetään myös, että kun hyljetuote saatetaan EU:n markkinoille, sen mukana on oltava asiakirja, joka todistaa, että ”inuiittiyhteisöjä tai muita alkuperäisyhteisöjä” koskevan poikkeuksen soveltamisedellytykset täyttyvät. Todistuksen on oltava Euroopan komission tätä tarkoitusta varten tunnustaman elimen myöntämä komission täytäntöönpanoasetuksen (EU) 2015/1850</w:t>
      </w:r>
      <w:r>
        <w:rPr>
          <w:rStyle w:val="FootnoteReference"/>
          <w:rFonts w:ascii="Times New Roman" w:hAnsi="Times New Roman"/>
          <w:noProof/>
        </w:rPr>
        <w:footnoteReference w:id="4"/>
      </w:r>
      <w:r>
        <w:rPr>
          <w:rFonts w:ascii="Times New Roman" w:hAnsi="Times New Roman"/>
          <w:noProof/>
        </w:rPr>
        <w:t xml:space="preserve"> (täytäntöönpanoasetus) 3 artiklan mukaisesti.</w:t>
      </w:r>
    </w:p>
    <w:p>
      <w:pPr>
        <w:pStyle w:val="ListParagraph"/>
        <w:numPr>
          <w:ilvl w:val="0"/>
          <w:numId w:val="2"/>
        </w:numPr>
        <w:spacing w:after="240" w:line="240" w:lineRule="auto"/>
        <w:contextualSpacing w:val="0"/>
        <w:jc w:val="both"/>
        <w:rPr>
          <w:rFonts w:ascii="Times New Roman" w:eastAsia="Times New Roman" w:hAnsi="Times New Roman" w:cs="Times New Roman"/>
          <w:noProof/>
          <w:sz w:val="24"/>
          <w:szCs w:val="24"/>
        </w:rPr>
      </w:pPr>
      <w:r>
        <w:rPr>
          <w:rFonts w:ascii="Times New Roman" w:hAnsi="Times New Roman"/>
          <w:noProof/>
        </w:rPr>
        <w:t>EU sallii hyljetuotteiden tuonnin myös silloin, kun se on luonteeltaan satunnaista ja kun siinä on kyse ainoastaan matkailijoiden tai heidän perheidensä henkilökohtaiseen käyttöön tarkoitetuista tavaroista (perusasetuksen, sellaisena kuin se on muutettuna, 3 artiklan 2 kohta).</w:t>
      </w:r>
    </w:p>
    <w:p>
      <w:pPr>
        <w:pStyle w:val="ListParagraph"/>
        <w:numPr>
          <w:ilvl w:val="0"/>
          <w:numId w:val="1"/>
        </w:numPr>
        <w:spacing w:after="240" w:line="240" w:lineRule="auto"/>
        <w:contextualSpacing w:val="0"/>
        <w:rPr>
          <w:rFonts w:ascii="Times New Roman" w:hAnsi="Times New Roman" w:cs="Times New Roman"/>
          <w:b/>
          <w:noProof/>
          <w:sz w:val="24"/>
          <w:szCs w:val="24"/>
        </w:rPr>
      </w:pPr>
      <w:r>
        <w:rPr>
          <w:rFonts w:ascii="Times New Roman" w:hAnsi="Times New Roman"/>
          <w:b/>
          <w:noProof/>
        </w:rPr>
        <w:t>OIKEUSPERUSTA</w:t>
      </w:r>
    </w:p>
    <w:p>
      <w:pPr>
        <w:pStyle w:val="ti-art"/>
        <w:spacing w:before="0" w:beforeAutospacing="0" w:after="240" w:afterAutospacing="0"/>
        <w:jc w:val="both"/>
        <w:rPr>
          <w:noProof/>
        </w:rPr>
      </w:pPr>
      <w:r>
        <w:rPr>
          <w:noProof/>
        </w:rPr>
        <w:t>Hyljetuotteiden kaupasta annetun asetuksen (EY) N:o 1007/2009, sellaisena kuin se on muutettuna asetuksella (EU) 2015/1775, 3 artiklan 5 kohdassa täsmennetään, että jos on näyttöä siitä, että hylkeenpyyntiä harjoitetaan pääasiassa kaupallisista syistä, komissiolle siirretään valta antaa 4 a artiklan mukaisesti delegoituja säädöksiä, joilla kielletään kyseisestä pyynnistä peräisin olevien hyljetuotteiden saattaminen markkinoille tai rajoitetaan tällaisten tuotteiden määriä, jotka voidaan saattaa markkinoille. On erityisen tärkeää, että komissio noudattaa tavanomaista käytäntöään ja toteuttaa kuulemisia asiantuntijoiden, myös jäsenvaltioiden asiantuntijoiden, kanssa ennen näiden delegoitujen säädösten hyväksymistä.</w:t>
      </w:r>
    </w:p>
    <w:p>
      <w:pPr>
        <w:pStyle w:val="ti-art"/>
        <w:spacing w:before="0" w:beforeAutospacing="0" w:after="240" w:afterAutospacing="0"/>
        <w:jc w:val="both"/>
        <w:rPr>
          <w:noProof/>
        </w:rPr>
      </w:pPr>
      <w:r>
        <w:rPr>
          <w:noProof/>
        </w:rPr>
        <w:t>Muutetun perusasetuksen 4 a artiklan 1 ja 2 kohdassa säädetään, että valta antaa delegoituja säädöksiä siirretään komissiolle viideksi vuodeksi 10. lokakuuta 2015 alkaen. Siinä säädetään myös, että komissio laatii siirretyn säädösvallan käyttöä koskevan kertomuksen viimeistään yhdeksän kuukautta ennen tämän viiden vuoden kauden päättymistä.</w:t>
      </w:r>
    </w:p>
    <w:p>
      <w:pPr>
        <w:pStyle w:val="Normal1"/>
        <w:spacing w:before="0" w:beforeAutospacing="0" w:after="240" w:afterAutospacing="0"/>
        <w:jc w:val="both"/>
        <w:rPr>
          <w:noProof/>
        </w:rPr>
      </w:pPr>
      <w:r>
        <w:rPr>
          <w:noProof/>
        </w:rPr>
        <w:t>Muutetun perusasetuksen 4 a artiklan 2 kohdassa säädetään, että säädösvallan siirtoa jatketaan ilman eri toimenpiteitä samanpituisiksi kausiksi, jollei Euroopan parlamentti tai neuvosto vastusta tällaista jatkamista viimeistään kolme kuukautta ennen kunkin kauden päättymistä, ja 4 a artiklan 3 kohdassa säädetään, että Euroopan parlamentti tai neuvosto voi milloin tahansa peruuttaa säädösvallan siirron.</w:t>
      </w:r>
    </w:p>
    <w:p>
      <w:pPr>
        <w:pStyle w:val="ListParagraph"/>
        <w:numPr>
          <w:ilvl w:val="0"/>
          <w:numId w:val="1"/>
        </w:numPr>
        <w:spacing w:after="240" w:line="240" w:lineRule="auto"/>
        <w:contextualSpacing w:val="0"/>
        <w:rPr>
          <w:rFonts w:ascii="Times New Roman" w:hAnsi="Times New Roman" w:cs="Times New Roman"/>
          <w:b/>
          <w:noProof/>
          <w:sz w:val="24"/>
          <w:szCs w:val="24"/>
        </w:rPr>
      </w:pPr>
      <w:r>
        <w:rPr>
          <w:rFonts w:ascii="Times New Roman" w:hAnsi="Times New Roman"/>
          <w:b/>
          <w:noProof/>
        </w:rPr>
        <w:t>SIIRRETYN SÄÄDÖSVALLAN KÄYTTÄMINEN</w:t>
      </w:r>
    </w:p>
    <w:p>
      <w:pPr>
        <w:pStyle w:val="Default"/>
        <w:spacing w:after="240"/>
        <w:jc w:val="both"/>
        <w:rPr>
          <w:noProof/>
        </w:rPr>
      </w:pPr>
      <w:r>
        <w:rPr>
          <w:noProof/>
        </w:rPr>
        <w:t>Raportointikaudella eli 10. lokakuuta 2015 ja 10. tammikuuta 2020 välisenä aikana komissio ei käyttänyt sille siirrettyä säädösvaltaa, koska ei esitetty näyttöä siitä, että hylkeenpyyntiä olisi harjoitettu pääasiassa kaupallisista syistä.</w:t>
      </w:r>
    </w:p>
    <w:p>
      <w:pPr>
        <w:pStyle w:val="Default"/>
        <w:spacing w:after="240"/>
        <w:jc w:val="both"/>
        <w:rPr>
          <w:noProof/>
        </w:rPr>
      </w:pPr>
      <w:r>
        <w:rPr>
          <w:noProof/>
        </w:rPr>
        <w:t>Komissio katsoo, että säädösvallan siirtoa on jatkettava nykyisen viisivuotiskauden jälkeen, koska tällaisia kaupallisia käytäntöjä voi esiintyä tulevaisuudessa.</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980310"/>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rPr>
          <w:rFonts w:ascii="Times New Roman" w:hAnsi="Times New Roman"/>
          <w:color w:val="444444"/>
          <w:sz w:val="18"/>
          <w:szCs w:val="18"/>
        </w:rPr>
        <w:t>https://eur-lex.europa.eu/legal-content/FI/TXT/?uri=CELEX:32009R1007</w:t>
      </w:r>
    </w:p>
  </w:footnote>
  <w:footnote w:id="2">
    <w:p>
      <w:pPr>
        <w:pStyle w:val="FootnoteText"/>
      </w:pPr>
      <w:r>
        <w:rPr>
          <w:rStyle w:val="FootnoteReference"/>
        </w:rPr>
        <w:footnoteRef/>
      </w:r>
      <w:r>
        <w:t xml:space="preserve"> </w:t>
      </w:r>
      <w:r>
        <w:rPr>
          <w:rFonts w:ascii="Times New Roman" w:hAnsi="Times New Roman"/>
          <w:color w:val="444444"/>
          <w:sz w:val="18"/>
          <w:szCs w:val="18"/>
        </w:rPr>
        <w:t>https://eur-lex.europa.eu/legal-content/FI/TXT/?uri=uriserv:OJ.L_.2015.262.01.0001.01.ENG</w:t>
      </w:r>
    </w:p>
  </w:footnote>
  <w:footnote w:id="3">
    <w:p>
      <w:pPr>
        <w:pStyle w:val="FootnoteText"/>
      </w:pPr>
      <w:r>
        <w:rPr>
          <w:rStyle w:val="FootnoteReference"/>
        </w:rPr>
        <w:footnoteRef/>
      </w:r>
      <w:r>
        <w:t xml:space="preserve"> </w:t>
      </w:r>
      <w:r>
        <w:rPr>
          <w:rFonts w:ascii="Times New Roman" w:hAnsi="Times New Roman"/>
          <w:sz w:val="18"/>
          <w:szCs w:val="18"/>
        </w:rPr>
        <w:t>http://trade.ec.europa.eu/wtodispute/show.cfm?id=475&amp;code=2</w:t>
      </w:r>
    </w:p>
  </w:footnote>
  <w:footnote w:id="4">
    <w:p>
      <w:pPr>
        <w:pStyle w:val="FootnoteText"/>
      </w:pPr>
      <w:r>
        <w:rPr>
          <w:rStyle w:val="FootnoteReference"/>
        </w:rPr>
        <w:footnoteRef/>
      </w:r>
      <w:r>
        <w:t xml:space="preserve"> </w:t>
      </w:r>
      <w:r>
        <w:rPr>
          <w:rFonts w:ascii="Times New Roman" w:hAnsi="Times New Roman"/>
          <w:sz w:val="18"/>
          <w:szCs w:val="18"/>
        </w:rPr>
        <w:t>https://eur-lex.europa.eu/legal-content/FI/TXT/?uri=OJ:JOL_2015_271_R_0001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37C92"/>
    <w:multiLevelType w:val="hybridMultilevel"/>
    <w:tmpl w:val="1B644F6A"/>
    <w:lvl w:ilvl="0" w:tplc="08090011">
      <w:start w:val="1"/>
      <w:numFmt w:val="decimal"/>
      <w:lvlText w:val="%1)"/>
      <w:lvlJc w:val="left"/>
      <w:pPr>
        <w:ind w:left="360" w:hanging="360"/>
      </w:pPr>
      <w:rPr>
        <w:rFonts w:hint="default"/>
      </w:rPr>
    </w:lvl>
    <w:lvl w:ilvl="1" w:tplc="20C8169C">
      <w:start w:val="2"/>
      <w:numFmt w:val="bullet"/>
      <w:lvlText w:val="-"/>
      <w:lvlJc w:val="left"/>
      <w:pPr>
        <w:ind w:left="1245" w:hanging="525"/>
      </w:pPr>
      <w:rPr>
        <w:rFonts w:ascii="Times New Roman" w:eastAsia="Times New Roman" w:hAnsi="Times New Roman" w:cs="Times New Roman" w:hint="default"/>
        <w:u w:val="none"/>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8216557"/>
    <w:multiLevelType w:val="hybridMultilevel"/>
    <w:tmpl w:val="B44C79B0"/>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i-FI" w:vendorID="64" w:dllVersion="131078" w:nlCheck="1" w:checkStyle="0"/>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2469426-2BAB-4E20-9C78-3FF98C144662"/>
    <w:docVar w:name="LW_COVERPAGE_TYPE" w:val="1"/>
    <w:docVar w:name="LW_CROSSREFERENCE" w:val="&lt;UNUSED&gt;"/>
    <w:docVar w:name="LW_DocType" w:val="NORMAL"/>
    <w:docVar w:name="LW_EMISSION" w:val="17.12.2019"/>
    <w:docVar w:name="LW_EMISSION_ISODATE" w:val="2019-12-17"/>
    <w:docVar w:name="LW_EMISSION_LOCATION" w:val="BRX"/>
    <w:docVar w:name="LW_EMISSION_PREFIX" w:val="Bryssel "/>
    <w:docVar w:name="LW_EMISSION_SUFFIX" w:val=" "/>
    <w:docVar w:name="LW_ID_DOCTYPE_NONLW" w:val="CP-006"/>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6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_x000b_&lt;FMT:Bold&gt;komissiolle hyljetuotteiden kaupasta annetun asetuksen (EY) N:o 1007/2009, sellaisena kuin se on muutettuna asetuksella (EU) 2015/1775, mukaisesti siirretyn säädösvallan käyttämisestä&lt;/FMT&gt;_x000b_"/>
    <w:docVar w:name="LW_TYPE.DOC.CP" w:val="KOMISSION KERTOMUS EUROOPAN PARLAMENTILLE JA NEUVOSTOL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styleId="ListParagraph">
    <w:name w:val="List Paragraph"/>
    <w:basedOn w:val="Normal"/>
    <w:link w:val="ListParagraphChar"/>
    <w:uiPriority w:val="34"/>
    <w:qFormat/>
    <w:pPr>
      <w:ind w:left="720"/>
      <w:contextualSpacing/>
    </w:p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customStyle="1" w:styleId="ti-art">
    <w:name w:val="ti-art"/>
    <w:basedOn w:val="Normal"/>
    <w:pPr>
      <w:spacing w:before="100" w:beforeAutospacing="1" w:after="100" w:afterAutospacing="1" w:line="240" w:lineRule="auto"/>
    </w:pPr>
    <w:rPr>
      <w:rFonts w:ascii="Times New Roman" w:hAnsi="Times New Roman" w:cs="Times New Roman"/>
      <w:sz w:val="24"/>
      <w:szCs w:val="24"/>
      <w:lang w:eastAsia="en-GB"/>
    </w:rPr>
  </w:style>
  <w:style w:type="paragraph" w:customStyle="1" w:styleId="Normal1">
    <w:name w:val="Normal1"/>
    <w:basedOn w:val="Normal"/>
    <w:pPr>
      <w:spacing w:before="100" w:beforeAutospacing="1" w:after="100" w:afterAutospacing="1" w:line="240" w:lineRule="auto"/>
    </w:pPr>
    <w:rPr>
      <w:rFonts w:ascii="Times New Roman" w:hAnsi="Times New Roman" w:cs="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basedOn w:val="DefaultParagraphFont"/>
    <w:link w:val="ListParagraph"/>
    <w:uiPriority w:val="34"/>
  </w:style>
  <w:style w:type="character" w:customStyle="1" w:styleId="FooterSensitivityChar">
    <w:name w:val="Footer Sensitivity Char"/>
    <w:basedOn w:val="ListParagraph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ListParagraphChar"/>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ListParagraphChar"/>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styleId="ListParagraph">
    <w:name w:val="List Paragraph"/>
    <w:basedOn w:val="Normal"/>
    <w:link w:val="ListParagraphChar"/>
    <w:uiPriority w:val="34"/>
    <w:qFormat/>
    <w:pPr>
      <w:ind w:left="720"/>
      <w:contextualSpacing/>
    </w:p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customStyle="1" w:styleId="ti-art">
    <w:name w:val="ti-art"/>
    <w:basedOn w:val="Normal"/>
    <w:pPr>
      <w:spacing w:before="100" w:beforeAutospacing="1" w:after="100" w:afterAutospacing="1" w:line="240" w:lineRule="auto"/>
    </w:pPr>
    <w:rPr>
      <w:rFonts w:ascii="Times New Roman" w:hAnsi="Times New Roman" w:cs="Times New Roman"/>
      <w:sz w:val="24"/>
      <w:szCs w:val="24"/>
      <w:lang w:eastAsia="en-GB"/>
    </w:rPr>
  </w:style>
  <w:style w:type="paragraph" w:customStyle="1" w:styleId="Normal1">
    <w:name w:val="Normal1"/>
    <w:basedOn w:val="Normal"/>
    <w:pPr>
      <w:spacing w:before="100" w:beforeAutospacing="1" w:after="100" w:afterAutospacing="1" w:line="240" w:lineRule="auto"/>
    </w:pPr>
    <w:rPr>
      <w:rFonts w:ascii="Times New Roman" w:hAnsi="Times New Roman" w:cs="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basedOn w:val="DefaultParagraphFont"/>
    <w:link w:val="ListParagraph"/>
    <w:uiPriority w:val="34"/>
  </w:style>
  <w:style w:type="character" w:customStyle="1" w:styleId="FooterSensitivityChar">
    <w:name w:val="Footer Sensitivity Char"/>
    <w:basedOn w:val="ListParagraphChar"/>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ListParagraphChar"/>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ListParagraphChar"/>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ListParagraphChar"/>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4F2D9-4F8A-4BFC-BD11-45DDF34F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423</Words>
  <Characters>3282</Characters>
  <Application>Microsoft Office Word</Application>
  <DocSecurity>0</DocSecurity>
  <Lines>51</Lines>
  <Paragraphs>16</Paragraphs>
  <ScaleCrop>false</ScaleCrop>
  <Manager/>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2019-11-21T10:12:00Z</dcterms:created>
  <dcterms:modified xsi:type="dcterms:W3CDTF">2019-12-09T10:46:00Z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