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6563A51E-3053-4547-B13D-937A8BE8DA53"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ΠΑΡΑΡΤΗΜΑ</w:t>
      </w:r>
    </w:p>
    <w:p>
      <w:pPr>
        <w:autoSpaceDE w:val="0"/>
        <w:autoSpaceDN w:val="0"/>
        <w:adjustRightInd w:val="0"/>
        <w:spacing w:before="0" w:after="27"/>
        <w:rPr>
          <w:noProof/>
          <w:color w:val="000000"/>
          <w:szCs w:val="24"/>
        </w:rPr>
      </w:pPr>
    </w:p>
    <w:p>
      <w:pPr>
        <w:autoSpaceDE w:val="0"/>
        <w:autoSpaceDN w:val="0"/>
        <w:adjustRightInd w:val="0"/>
        <w:spacing w:before="0" w:after="27"/>
        <w:rPr>
          <w:noProof/>
          <w:color w:val="000000"/>
          <w:szCs w:val="24"/>
        </w:rPr>
      </w:pPr>
      <w:r>
        <w:rPr>
          <w:noProof/>
        </w:rPr>
        <w:t>Θέση που πρέπει να ληφθεί από τα κράτη μέλη που είναι μέλη της Επιτροπής για τα Ναρκωτικά και ενεργούν από κοινού προς το συμφέρον της Ένωσης, κατά την εξηκοστή τρίτη σύνοδο της Επιτροπής για τα Ναρκωτικά, η οποία έχει προσωρινά οριστεί να διεξαχθεί από τις 2 έως τις 6 Μαρτίου 2020, όσον αφορά τις αλλαγές στο πεδίο εφαρμογής του ελέγχου ουσιών:</w:t>
      </w:r>
    </w:p>
    <w:p>
      <w:pPr>
        <w:autoSpaceDE w:val="0"/>
        <w:autoSpaceDN w:val="0"/>
        <w:adjustRightInd w:val="0"/>
        <w:spacing w:before="0" w:after="27"/>
        <w:rPr>
          <w:noProof/>
          <w:color w:val="000000"/>
          <w:szCs w:val="24"/>
        </w:rPr>
      </w:pPr>
    </w:p>
    <w:p>
      <w:pPr>
        <w:pStyle w:val="Point0number"/>
        <w:numPr>
          <w:ilvl w:val="0"/>
          <w:numId w:val="1"/>
        </w:numPr>
        <w:rPr>
          <w:noProof/>
        </w:rPr>
      </w:pPr>
      <w:r>
        <w:rPr>
          <w:noProof/>
        </w:rPr>
        <w:t>Η κροτωνυλοφαιντανύλη πρέπει να περιληφθεί στο παράρτημα I της σύμβασης για τα ναρκωτικά.</w:t>
      </w:r>
    </w:p>
    <w:p>
      <w:pPr>
        <w:pStyle w:val="Point0number"/>
        <w:numPr>
          <w:ilvl w:val="0"/>
          <w:numId w:val="1"/>
        </w:numPr>
        <w:rPr>
          <w:noProof/>
        </w:rPr>
      </w:pPr>
      <w:r>
        <w:rPr>
          <w:noProof/>
        </w:rPr>
        <w:t>Η βαλερυλοφαιντανύλη πρέπει να περιληφθεί στο παράρτημα I της σύμβασης για τα ναρκωτικά.</w:t>
      </w:r>
    </w:p>
    <w:p>
      <w:pPr>
        <w:pStyle w:val="Point0number"/>
        <w:numPr>
          <w:ilvl w:val="0"/>
          <w:numId w:val="1"/>
        </w:numPr>
        <w:rPr>
          <w:noProof/>
        </w:rPr>
      </w:pPr>
      <w:r>
        <w:rPr>
          <w:noProof/>
        </w:rPr>
        <w:t>Η ουσία DOC πρέπει να περιληφθεί στο παράρτημα I της σύμβασης για τις ψυχοτρόπους ουσίες.</w:t>
      </w:r>
    </w:p>
    <w:p>
      <w:pPr>
        <w:pStyle w:val="Point0number"/>
        <w:numPr>
          <w:ilvl w:val="0"/>
          <w:numId w:val="1"/>
        </w:numPr>
        <w:rPr>
          <w:noProof/>
        </w:rPr>
      </w:pPr>
      <w:r>
        <w:rPr>
          <w:noProof/>
        </w:rPr>
        <w:t>Η ουσία AB-FUBINACA πρέπει να περιληφθεί στο παράρτημα II της σύμβασης για τις ψυχοτρόπους ουσίες.</w:t>
      </w:r>
    </w:p>
    <w:p>
      <w:pPr>
        <w:pStyle w:val="Point0number"/>
        <w:numPr>
          <w:ilvl w:val="0"/>
          <w:numId w:val="1"/>
        </w:numPr>
        <w:rPr>
          <w:noProof/>
        </w:rPr>
      </w:pPr>
      <w:r>
        <w:rPr>
          <w:noProof/>
        </w:rPr>
        <w:t>Η ουσία 5F-AMB-PINACA (5F-AMB, 5F-MMB-PINACA) πρέπει να περιληφθεί στο παράρτημα II της σύμβασης για τις ψυχοτρόπους ουσίες.</w:t>
      </w:r>
    </w:p>
    <w:p>
      <w:pPr>
        <w:pStyle w:val="Point0number"/>
        <w:numPr>
          <w:ilvl w:val="0"/>
          <w:numId w:val="1"/>
        </w:numPr>
        <w:rPr>
          <w:noProof/>
        </w:rPr>
      </w:pPr>
      <w:r>
        <w:rPr>
          <w:noProof/>
        </w:rPr>
        <w:t>Η ουσία 5F-MDMB-PICA (5F-MDMB-2201) πρέπει να περιληφθεί στο παράρτημα II της σύμβασης για τις ψυχοτρόπους ουσίες.</w:t>
      </w:r>
    </w:p>
    <w:p>
      <w:pPr>
        <w:pStyle w:val="Point0number"/>
        <w:numPr>
          <w:ilvl w:val="0"/>
          <w:numId w:val="1"/>
        </w:numPr>
        <w:rPr>
          <w:noProof/>
        </w:rPr>
      </w:pPr>
      <w:r>
        <w:rPr>
          <w:noProof/>
        </w:rPr>
        <w:t>Η ουσία 4-F-MDMB-BINACA πρέπει να περιληφθεί στο παράρτημα II της σύμβασης για τις ψυχοτρόπους ουσίες.</w:t>
      </w:r>
    </w:p>
    <w:p>
      <w:pPr>
        <w:pStyle w:val="Point0number"/>
        <w:numPr>
          <w:ilvl w:val="0"/>
          <w:numId w:val="1"/>
        </w:numPr>
        <w:rPr>
          <w:noProof/>
        </w:rPr>
      </w:pPr>
      <w:r>
        <w:rPr>
          <w:noProof/>
        </w:rPr>
        <w:t>Η ουσία 4-CMC (4-χλωρομεθκαθινόνη, κλεφεδρόνη) πρέπει να περιληφθεί στο παράρτημα II της σύμβασης για τις ψυχοτρόπους ουσίες.</w:t>
      </w:r>
    </w:p>
    <w:p>
      <w:pPr>
        <w:pStyle w:val="Point0number"/>
        <w:numPr>
          <w:ilvl w:val="0"/>
          <w:numId w:val="1"/>
        </w:numPr>
        <w:rPr>
          <w:noProof/>
        </w:rPr>
      </w:pPr>
      <w:r>
        <w:rPr>
          <w:noProof/>
        </w:rPr>
        <w:t xml:space="preserve">Η </w:t>
      </w:r>
      <w:r>
        <w:rPr>
          <w:i/>
          <w:noProof/>
        </w:rPr>
        <w:t>N</w:t>
      </w:r>
      <w:r>
        <w:rPr>
          <w:noProof/>
        </w:rPr>
        <w:t>-αιθυλεξεδρόνη πρέπει να περιληφθεί στο παράρτημα II της σύμβασης για τις ψυχοτρόπους ουσίες.</w:t>
      </w:r>
    </w:p>
    <w:p>
      <w:pPr>
        <w:pStyle w:val="Point0number"/>
        <w:numPr>
          <w:ilvl w:val="0"/>
          <w:numId w:val="1"/>
        </w:numPr>
        <w:rPr>
          <w:noProof/>
        </w:rPr>
      </w:pPr>
      <w:r>
        <w:rPr>
          <w:noProof/>
        </w:rPr>
        <w:t>Η ουσία άλφα-PVP πρέπει να περιληφθεί στο παράρτημα II της σύμβασης για τις ψυχοτρόπους ουσίες.</w:t>
      </w:r>
    </w:p>
    <w:p>
      <w:pPr>
        <w:pStyle w:val="Point0number"/>
        <w:numPr>
          <w:ilvl w:val="0"/>
          <w:numId w:val="1"/>
        </w:numPr>
        <w:rPr>
          <w:noProof/>
        </w:rPr>
      </w:pPr>
      <w:r>
        <w:rPr>
          <w:noProof/>
        </w:rPr>
        <w:t>Η φλουαλπραζολάμη πρέπει να περιληφθεί στο παράρτημα IV της σύμβασης για τις ψυχοτρόπους ουσίες.</w:t>
      </w:r>
    </w:p>
    <w:p>
      <w:pPr>
        <w:pStyle w:val="Point0number"/>
        <w:numPr>
          <w:ilvl w:val="0"/>
          <w:numId w:val="1"/>
        </w:numPr>
        <w:rPr>
          <w:noProof/>
        </w:rPr>
      </w:pPr>
      <w:r>
        <w:rPr>
          <w:noProof/>
        </w:rPr>
        <w:t>Η ετιζολάμη πρέπει να περιληφθεί στο παράρτημα IV της σύμβασης για τις ψυχοτρόπους ουσίες.</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1CCB02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57EDC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6EAB2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9E4C4A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EB4D50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1626C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F608E0"/>
    <w:lvl w:ilvl="0">
      <w:start w:val="1"/>
      <w:numFmt w:val="decimal"/>
      <w:pStyle w:val="ListNumber"/>
      <w:lvlText w:val="%1."/>
      <w:lvlJc w:val="left"/>
      <w:pPr>
        <w:tabs>
          <w:tab w:val="num" w:pos="360"/>
        </w:tabs>
        <w:ind w:left="360" w:hanging="360"/>
      </w:pPr>
    </w:lvl>
  </w:abstractNum>
  <w:abstractNum w:abstractNumId="7">
    <w:nsid w:val="FFFFFF89"/>
    <w:multiLevelType w:val="singleLevel"/>
    <w:tmpl w:val="0F4AD45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2-18 09:04: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u964?\u951?\u962?"/>
    <w:docVar w:name="LW_ACCOMPAGNANT.CP" w:val="\u964?\u951?\u962?"/>
    <w:docVar w:name="LW_ANNEX_NBR_FIRST" w:val="1"/>
    <w:docVar w:name="LW_ANNEX_NBR_LAST" w:val="1"/>
    <w:docVar w:name="LW_ANNEX_UNIQUE" w:val="0"/>
    <w:docVar w:name="LW_CORRIGENDUM" w:val="&lt;UNUSED&gt;"/>
    <w:docVar w:name="LW_COVERPAGE_EXISTS" w:val="True"/>
    <w:docVar w:name="LW_COVERPAGE_GUID" w:val="6563A51E-3053-4547-B13D-937A8BE8DA53"/>
    <w:docVar w:name="LW_COVERPAGE_TYPE" w:val="1"/>
    <w:docVar w:name="LW_CROSSREFERENCE" w:val="&lt;UNUSED&gt;"/>
    <w:docVar w:name="LW_DocType" w:val="ANNEX"/>
    <w:docVar w:name="LW_EMISSION" w:val="13.12.2019"/>
    <w:docVar w:name="LW_EMISSION_ISODATE" w:val="2019-12-13"/>
    <w:docVar w:name="LW_EMISSION_LOCATION" w:val="BRX"/>
    <w:docVar w:name="LW_EMISSION_PREFIX" w:val="Βρυξέλλες, "/>
    <w:docVar w:name="LW_EMISSION_SUFFIX" w:val=" "/>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u947?\u953?\u945? \u964?\u951? \u952?\u941?\u963?\u951? \u960?\u959?\u965? \u960?\u961?\u941?\u960?\u949?\u953? \u957?\u945? \u955?\u951?\u966?\u952?\u949?\u943?, \u949?\u958? \u959?\u957?\u972?\u956?\u945?\u964?\u959?\u962? \u964?\u951?\u962? \u917?\u965?\u961?\u969?\u960?\u945?\u970?\u954?\u942?\u962? \u904?\u957?\u969?\u963?\u951?\u962?, \u954?\u945?\u964?\u940? \u964?\u951?\u957? \u949?\u958?\u951?\u954?\u959?\u963?\u964?\u942? \u964?\u961?\u943?\u964?\u951? \u963?\u973?\u957?\u959?\u948?\u959? \u964?\u951?\u962? \u917?\u960?\u953?\u964?\u961?\u959?\u960?\u942?\u962? \u947?\u953?\u945? \u964?\u945? \u925?\u945?\u961?\u954?\u969?\u964?\u953?\u954?\u940? \u972?\u963?\u959?\u957? \u945?\u966?\u959?\u961?\u940? \u964?\u951?\u957? \u954?\u945?\u964?\u945?\u967?\u974?\u961?\u953?\u963?\u951? \u959?\u965?\u963?\u953?\u974?\u957? \u963?\u964?\u945? \u960?\u945?\u961?\u945?\u961?\u964?\u942?\u956?\u945?\u964?\u945? \u964?\u951?\u962? \u949?\u957?\u953?\u945?\u943?\u945?\u962? \u963?\u973?\u956?\u946?\u945?\u963?\u951?\u962? \u947?\u953?\u945? \u964?\u945? \u957?\u945?\u961?\u954?\u969?\u964?\u953?\u954?\u940? \u964?\u959?\u965? 1961, \u972?\u960?\u969?\u962? \u964?\u961?\u959?\u960?\u959?\u960?\u959?\u953?\u942?\u952?\u951?\u954?\u949? \u945?\u960?\u972? \u964?\u959? \u960?\u961?\u969?\u964?\u972?\u954?\u959?\u955?\u955?\u959? \u964?\u959?\u965? 1972, \u954?\u945?\u953? \u964?\u951?\u962? \u963?\u973?\u956?\u946?\u945?\u963?\u951?\u962? \u947?\u953?\u945? \u964?\u953?\u962? \u968?\u965?\u967?\u959?\u964?\u961?\u972?\u960?\u959?\u965?\u962? \u959?\u965?\u963?\u943?\u949?\u962? \u964?\u959?\u965? 1971"/>
    <w:docVar w:name="LW_OBJETACTEPRINCIPAL.CP" w:val="\u947?\u953?\u945? \u964?\u951? \u952?\u941?\u963?\u951? \u960?\u959?\u965? \u960?\u961?\u941?\u960?\u949?\u953? \u957?\u945? \u955?\u951?\u966?\u952?\u949?\u943?, \u949?\u958? \u959?\u957?\u972?\u956?\u945?\u964?\u959?\u962? \u964?\u951?\u962? \u917?\u965?\u961?\u969?\u960?\u945?\u970?\u954?\u942?\u962? \u904?\u957?\u969?\u963?\u951?\u962?, \u954?\u945?\u964?\u940? \u964?\u951?\u957? \u949?\u958?\u951?\u954?\u959?\u963?\u964?\u942? \u964?\u961?\u943?\u964?\u951? \u963?\u973?\u957?\u959?\u948?\u959? \u964?\u951?\u962? \u917?\u960?\u953?\u964?\u961?\u959?\u960?\u942?\u962? \u947?\u953?\u945? \u964?\u945? \u925?\u945?\u961?\u954?\u969?\u964?\u953?\u954?\u940? \u972?\u963?\u959?\u957? \u945?\u966?\u959?\u961?\u940? \u964?\u951?\u957? \u954?\u945?\u964?\u945?\u967?\u974?\u961?\u953?\u963?\u951? \u959?\u965?\u963?\u953?\u974?\u957? \u963?\u964?\u945? \u960?\u945?\u961?\u945?\u961?\u964?\u942?\u956?\u945?\u964?\u945? \u964?\u951?\u962? \u949?\u957?\u953?\u945?\u943?\u945?\u962? \u963?\u973?\u956?\u946?\u945?\u963?\u951?\u962? \u947?\u953?\u945? \u964?\u945? \u957?\u945?\u961?\u954?\u969?\u964?\u953?\u954?\u940? \u964?\u959?\u965? 1961, \u972?\u960?\u969?\u962? \u964?\u961?\u959?\u960?\u959?\u960?\u959?\u953?\u942?\u952?\u951?\u954?\u949? \u945?\u960?\u972? \u964?\u959? \u960?\u961?\u969?\u964?\u972?\u954?\u959?\u955?\u955?\u959? \u964?\u959?\u965? 1972, \u954?\u945?\u953? \u964?\u951?\u962? \u963?\u973?\u956?\u946?\u945?\u963?\u951?\u962? \u947?\u953?\u945? \u964?\u953?\u962? \u968?\u965?\u967?\u959?\u964?\u961?\u972?\u960?\u959?\u965?\u962? \u959?\u965?\u963?\u943?\u949?\u962? \u964?\u959?\u965? 1971"/>
    <w:docVar w:name="LW_PART_NBR" w:val="1"/>
    <w:docVar w:name="LW_PART_NBR_TOTAL" w:val="1"/>
    <w:docVar w:name="LW_REF.INST.NEW" w:val="COM"/>
    <w:docVar w:name="LW_REF.INST.NEW_ADOPTED" w:val="final"/>
    <w:docVar w:name="LW_REF.INST.NEW_TEXT" w:val="(2019) 6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u928?\u913?\u929?\u913?\u929?\u932?\u919?\u924?\u913?"/>
    <w:docVar w:name="LW_TYPE.DOC.CP" w:val="\u928?\u913?\u929?\u913?\u929?\u932?\u919?\u924?\u913?"/>
    <w:docVar w:name="LW_TYPEACTEPRINCIPAL" w:val="\u960?\u961?\u972?\u964?\u945?\u963?\u951?\u962? \u945?\u960?\u972?\u966?\u945?\u963?\u951?\u962? \u964?\u959?\u965? \u931?\u965?\u956?\u946?\u959?\u965?\u955?\u943?\u959?\u965?"/>
    <w:docVar w:name="LW_TYPEACTEPRINCIPAL.CP" w:val="\u960?\u961?\u972?\u964?\u945?\u963?\u951?\u962? \u945?\u960?\u972?\u966?\u945?\u963?\u951?\u962?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2</Pages>
  <Words>244</Words>
  <Characters>1336</Characters>
  <Application>Microsoft Office Word</Application>
  <DocSecurity>0</DocSecurity>
  <Lines>33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HOFER Edith (ENER)</dc:creator>
  <cp:lastModifiedBy>WES PDFC Administrator</cp:lastModifiedBy>
  <cp:revision>9</cp:revision>
  <cp:lastPrinted>2019-11-26T16:04:00Z</cp:lastPrinted>
  <dcterms:created xsi:type="dcterms:W3CDTF">2019-12-17T13:07:00Z</dcterms:created>
  <dcterms:modified xsi:type="dcterms:W3CDTF">2019-12-18T08:04:00Z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