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82B" w:rsidRDefault="0062365E" w:rsidP="0062365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8E69A82-DFD4-4902-A020-1C9D6DD3EA7F" style="width:450.25pt;height:408.35pt">
            <v:imagedata r:id="rId8" o:title=""/>
          </v:shape>
        </w:pict>
      </w:r>
    </w:p>
    <w:bookmarkEnd w:id="0"/>
    <w:p w:rsidR="00B9782B" w:rsidRDefault="00B9782B">
      <w:pPr>
        <w:rPr>
          <w:noProof/>
        </w:rPr>
        <w:sectPr w:rsidR="00B9782B" w:rsidSect="0062365E">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B9782B" w:rsidRDefault="0062365E">
      <w:pPr>
        <w:pStyle w:val="Heading1"/>
        <w:spacing w:line="240" w:lineRule="auto"/>
        <w:rPr>
          <w:noProof/>
        </w:rPr>
      </w:pPr>
      <w:r>
        <w:rPr>
          <w:noProof/>
        </w:rPr>
        <w:lastRenderedPageBreak/>
        <w:t>ANHÄNGE</w:t>
      </w:r>
    </w:p>
    <w:p w:rsidR="00B9782B" w:rsidRDefault="0062365E">
      <w:pPr>
        <w:rPr>
          <w:rFonts w:ascii="Times New Roman" w:hAnsi="Times New Roman" w:cs="Times New Roman"/>
          <w:b/>
          <w:noProof/>
          <w:sz w:val="24"/>
          <w:szCs w:val="24"/>
        </w:rPr>
      </w:pPr>
      <w:r>
        <w:rPr>
          <w:rFonts w:ascii="Times New Roman" w:hAnsi="Times New Roman"/>
          <w:b/>
          <w:noProof/>
        </w:rPr>
        <w:t>Anhang 1. Leitindikatoren des sozialpolitischen Scoreboards, Niveaus</w:t>
      </w:r>
    </w:p>
    <w:tbl>
      <w:tblPr>
        <w:tblW w:w="10208" w:type="dxa"/>
        <w:tblInd w:w="-176" w:type="dxa"/>
        <w:tblLayout w:type="fixed"/>
        <w:tblLook w:val="04A0" w:firstRow="1" w:lastRow="0" w:firstColumn="1" w:lastColumn="0" w:noHBand="0" w:noVBand="1"/>
      </w:tblPr>
      <w:tblGrid>
        <w:gridCol w:w="993"/>
        <w:gridCol w:w="576"/>
        <w:gridCol w:w="700"/>
        <w:gridCol w:w="596"/>
        <w:gridCol w:w="576"/>
        <w:gridCol w:w="576"/>
        <w:gridCol w:w="576"/>
        <w:gridCol w:w="576"/>
        <w:gridCol w:w="576"/>
        <w:gridCol w:w="576"/>
        <w:gridCol w:w="719"/>
        <w:gridCol w:w="720"/>
        <w:gridCol w:w="604"/>
        <w:gridCol w:w="548"/>
        <w:gridCol w:w="720"/>
        <w:gridCol w:w="576"/>
      </w:tblGrid>
      <w:tr w:rsidR="00B9782B">
        <w:trPr>
          <w:trHeight w:val="345"/>
        </w:trPr>
        <w:tc>
          <w:tcPr>
            <w:tcW w:w="993"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w:t>
            </w:r>
          </w:p>
        </w:tc>
        <w:tc>
          <w:tcPr>
            <w:tcW w:w="9215"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Chancengleichheit und gleichberechtigter Zugang zum Arbeitsmarkt</w:t>
            </w:r>
          </w:p>
        </w:tc>
      </w:tr>
      <w:tr w:rsidR="00B9782B">
        <w:trPr>
          <w:trHeight w:val="1527"/>
        </w:trPr>
        <w:tc>
          <w:tcPr>
            <w:tcW w:w="993" w:type="dxa"/>
            <w:vMerge/>
            <w:tcBorders>
              <w:top w:val="single" w:sz="4" w:space="0" w:color="auto"/>
              <w:left w:val="single" w:sz="4" w:space="0" w:color="auto"/>
              <w:bottom w:val="single" w:sz="4" w:space="0" w:color="000000"/>
              <w:right w:val="single" w:sz="4" w:space="0" w:color="auto"/>
            </w:tcBorders>
            <w:vAlign w:val="center"/>
            <w:hideMark/>
          </w:tcPr>
          <w:p w:rsidR="00B9782B" w:rsidRDefault="00B9782B">
            <w:pPr>
              <w:spacing w:after="0" w:line="240" w:lineRule="auto"/>
              <w:rPr>
                <w:rFonts w:ascii="Arial Narrow" w:eastAsia="Times New Roman" w:hAnsi="Arial Narrow" w:cs="Calibri"/>
                <w:b/>
                <w:bCs/>
                <w:noProof/>
                <w:color w:val="000000"/>
                <w:sz w:val="16"/>
                <w:szCs w:val="16"/>
              </w:rPr>
            </w:pPr>
          </w:p>
        </w:tc>
        <w:tc>
          <w:tcPr>
            <w:tcW w:w="1872"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Frühe Schul- und Ausbildungsabgänger </w:t>
            </w:r>
            <w:r>
              <w:rPr>
                <w:rFonts w:ascii="Arial Narrow" w:hAnsi="Arial Narrow"/>
                <w:b/>
                <w:bCs/>
                <w:noProof/>
                <w:sz w:val="16"/>
                <w:szCs w:val="16"/>
              </w:rPr>
              <w:br/>
              <w:t>(% der Bevölkerung im Alter von 18-24 Jahren)</w:t>
            </w:r>
          </w:p>
        </w:tc>
        <w:tc>
          <w:tcPr>
            <w:tcW w:w="172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Geschlechts-spezifisches Beschäftigungsgefälle (Prozentpunkte)</w:t>
            </w:r>
          </w:p>
        </w:tc>
        <w:tc>
          <w:tcPr>
            <w:tcW w:w="172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Einkommensquintil (S80/S20)</w:t>
            </w:r>
          </w:p>
        </w:tc>
        <w:tc>
          <w:tcPr>
            <w:tcW w:w="2043"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Von Armut und sozialer Ausgrenzung bedrohte Personen (in %)</w:t>
            </w:r>
          </w:p>
        </w:tc>
        <w:tc>
          <w:tcPr>
            <w:tcW w:w="1844"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NEET-Quote bei jungen</w:t>
            </w:r>
            <w:r>
              <w:rPr>
                <w:rFonts w:ascii="Arial Narrow" w:hAnsi="Arial Narrow"/>
                <w:b/>
                <w:bCs/>
                <w:noProof/>
                <w:sz w:val="16"/>
                <w:szCs w:val="16"/>
              </w:rPr>
              <w:t xml:space="preserve"> Menschen (% an der Gesamtbevölkerung im Alter von 15–24 Jahren)</w:t>
            </w:r>
          </w:p>
        </w:tc>
      </w:tr>
      <w:tr w:rsidR="00B9782B">
        <w:trPr>
          <w:trHeight w:val="675"/>
        </w:trPr>
        <w:tc>
          <w:tcPr>
            <w:tcW w:w="993" w:type="dxa"/>
            <w:tcBorders>
              <w:top w:val="single" w:sz="4" w:space="0" w:color="auto"/>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Jahr</w:t>
            </w:r>
          </w:p>
        </w:tc>
        <w:tc>
          <w:tcPr>
            <w:tcW w:w="57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700"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59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57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7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57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57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7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57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719"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720"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604"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548"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720"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576"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r>
      <w:tr w:rsidR="00B9782B">
        <w:trPr>
          <w:trHeight w:val="227"/>
        </w:trPr>
        <w:tc>
          <w:tcPr>
            <w:tcW w:w="993" w:type="dxa"/>
            <w:tcBorders>
              <w:top w:val="single" w:sz="4" w:space="0" w:color="auto"/>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EU28</w:t>
            </w:r>
          </w:p>
        </w:tc>
        <w:tc>
          <w:tcPr>
            <w:tcW w:w="57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w:t>
            </w:r>
          </w:p>
        </w:tc>
        <w:tc>
          <w:tcPr>
            <w:tcW w:w="700"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9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7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57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w:t>
            </w:r>
          </w:p>
        </w:tc>
        <w:tc>
          <w:tcPr>
            <w:tcW w:w="57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57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7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57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719"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23,5</w:t>
            </w:r>
          </w:p>
        </w:tc>
        <w:tc>
          <w:tcPr>
            <w:tcW w:w="720"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22,4</w:t>
            </w:r>
          </w:p>
        </w:tc>
        <w:tc>
          <w:tcPr>
            <w:tcW w:w="604"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548"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720"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57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ER19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23,1</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22,1</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EU (nicht gewichtet)</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23,8</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22,8</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r>
      <w:tr w:rsidR="00B9782B">
        <w:trPr>
          <w:trHeight w:val="227"/>
        </w:trPr>
        <w:tc>
          <w:tcPr>
            <w:tcW w:w="993"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ER (nicht gewichtet)</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700"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59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57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7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719"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23,2</w:t>
            </w:r>
          </w:p>
        </w:tc>
        <w:tc>
          <w:tcPr>
            <w:tcW w:w="720"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22,3</w:t>
            </w:r>
          </w:p>
        </w:tc>
        <w:tc>
          <w:tcPr>
            <w:tcW w:w="604"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21,7</w:t>
            </w:r>
          </w:p>
        </w:tc>
        <w:tc>
          <w:tcPr>
            <w:tcW w:w="54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w:t>
            </w:r>
          </w:p>
        </w:tc>
        <w:tc>
          <w:tcPr>
            <w:tcW w:w="720"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57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 b</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 b</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20,7</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 b</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 b</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40,4 b</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38,9</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32,8</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18,2</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15,0</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15,8</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13,3</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 b</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 b</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 b</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 b</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16,8</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17,2</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 b</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xml:space="preserve"> 7,0 b</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19,7</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18,7</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23,4</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 b</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 p</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22,7</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21,1 p</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 b</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19,7</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35,6</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34,8</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31,8</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15,8</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14,1</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18,3</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11,9</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26,6</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26,1</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18,2</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17,0</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 u</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 p</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26,4</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24,8</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15,4</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14,5</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30,0</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28,9</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27,3</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19,2</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27,7</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25,2</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23,9</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13,2</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28,5</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28,2</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30,1</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29,6</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 b</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 b</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26,3</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25,6</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19,6</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19,2</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17,7 b</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25,5</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19,3</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 b</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 b</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16,7 b</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17,0</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16,7</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9,0</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18,0</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18,1</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17,5</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 b</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14,4</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19,5</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18,9</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 b</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25,1</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23,3</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18,5</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18,1</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16,4</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38,8</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35,7</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32,5</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14,5</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18,4</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17,1</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16,2</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14,2</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12,8</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13,7</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18,1</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16,3</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16,3</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12,3</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12,1</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16,6</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15,7</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16,5</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r>
      <w:tr w:rsidR="00B9782B">
        <w:trPr>
          <w:trHeight w:val="227"/>
        </w:trPr>
        <w:tc>
          <w:tcPr>
            <w:tcW w:w="993"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0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59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 p</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 p</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719"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18,3</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17,7</w:t>
            </w:r>
          </w:p>
        </w:tc>
        <w:tc>
          <w:tcPr>
            <w:tcW w:w="60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18,0</w:t>
            </w:r>
          </w:p>
        </w:tc>
        <w:tc>
          <w:tcPr>
            <w:tcW w:w="54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720"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7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 p</w:t>
            </w:r>
          </w:p>
        </w:tc>
      </w:tr>
      <w:tr w:rsidR="00B9782B">
        <w:trPr>
          <w:trHeight w:val="227"/>
        </w:trPr>
        <w:tc>
          <w:tcPr>
            <w:tcW w:w="993"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700"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9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57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57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 b</w:t>
            </w:r>
          </w:p>
        </w:tc>
        <w:tc>
          <w:tcPr>
            <w:tcW w:w="57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 p</w:t>
            </w:r>
          </w:p>
        </w:tc>
        <w:tc>
          <w:tcPr>
            <w:tcW w:w="719"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22,2</w:t>
            </w:r>
          </w:p>
        </w:tc>
        <w:tc>
          <w:tcPr>
            <w:tcW w:w="720"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22,0 b</w:t>
            </w:r>
          </w:p>
        </w:tc>
        <w:tc>
          <w:tcPr>
            <w:tcW w:w="604"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23,6 p</w:t>
            </w:r>
          </w:p>
        </w:tc>
        <w:tc>
          <w:tcPr>
            <w:tcW w:w="54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720"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w:t>
            </w:r>
          </w:p>
        </w:tc>
        <w:tc>
          <w:tcPr>
            <w:tcW w:w="57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r>
    </w:tbl>
    <w:p w:rsidR="00B9782B" w:rsidRDefault="00B9782B">
      <w:pPr>
        <w:spacing w:line="240" w:lineRule="auto"/>
        <w:jc w:val="both"/>
        <w:rPr>
          <w:rFonts w:ascii="Times New Roman" w:hAnsi="Times New Roman" w:cs="Times New Roman"/>
          <w:b/>
          <w:bCs/>
          <w:noProof/>
          <w:sz w:val="24"/>
          <w:szCs w:val="24"/>
          <w:highlight w:val="yellow"/>
        </w:rPr>
      </w:pP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Anmerkung: EU (nicht gewichtet) und ER (nicht gewichtet) beziehen sich auf die ungewichteten Durchschnittswerte für </w:t>
      </w:r>
      <w:r>
        <w:rPr>
          <w:rFonts w:ascii="Times New Roman" w:hAnsi="Times New Roman"/>
          <w:noProof/>
          <w:sz w:val="20"/>
          <w:szCs w:val="20"/>
        </w:rPr>
        <w:t>die EU bzw. das Euro-Währungsgebiet.</w:t>
      </w:r>
    </w:p>
    <w:p w:rsidR="00B9782B" w:rsidRDefault="0062365E">
      <w:pPr>
        <w:jc w:val="both"/>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rsidR="00B9782B" w:rsidRDefault="0062365E">
      <w:pPr>
        <w:spacing w:line="240" w:lineRule="auto"/>
        <w:rPr>
          <w:rFonts w:ascii="Times New Roman" w:hAnsi="Times New Roman" w:cs="Times New Roman"/>
          <w:b/>
          <w:noProof/>
          <w:sz w:val="24"/>
          <w:szCs w:val="24"/>
        </w:rPr>
      </w:pPr>
      <w:r>
        <w:rPr>
          <w:noProof/>
        </w:rPr>
        <w:br w:type="page"/>
      </w:r>
    </w:p>
    <w:p w:rsidR="00B9782B" w:rsidRDefault="0062365E">
      <w:pPr>
        <w:rPr>
          <w:rFonts w:ascii="Times New Roman" w:hAnsi="Times New Roman" w:cs="Times New Roman"/>
          <w:b/>
          <w:noProof/>
          <w:sz w:val="24"/>
          <w:szCs w:val="24"/>
        </w:rPr>
      </w:pPr>
      <w:r>
        <w:rPr>
          <w:rFonts w:ascii="Times New Roman" w:hAnsi="Times New Roman"/>
          <w:b/>
          <w:noProof/>
        </w:rPr>
        <w:lastRenderedPageBreak/>
        <w:t>Anhang 1 (Fortsetzung). Leitindikatoren des sozialpolitischen Scoreboards, Niveaus</w:t>
      </w:r>
    </w:p>
    <w:tbl>
      <w:tblPr>
        <w:tblW w:w="10065" w:type="dxa"/>
        <w:tblInd w:w="-176" w:type="dxa"/>
        <w:tblLayout w:type="fixed"/>
        <w:tblLook w:val="04A0" w:firstRow="1" w:lastRow="0" w:firstColumn="1" w:lastColumn="0" w:noHBand="0" w:noVBand="1"/>
      </w:tblPr>
      <w:tblGrid>
        <w:gridCol w:w="1277"/>
        <w:gridCol w:w="581"/>
        <w:gridCol w:w="581"/>
        <w:gridCol w:w="680"/>
        <w:gridCol w:w="644"/>
        <w:gridCol w:w="508"/>
        <w:gridCol w:w="508"/>
        <w:gridCol w:w="627"/>
        <w:gridCol w:w="626"/>
        <w:gridCol w:w="626"/>
        <w:gridCol w:w="545"/>
        <w:gridCol w:w="545"/>
        <w:gridCol w:w="545"/>
        <w:gridCol w:w="581"/>
        <w:gridCol w:w="581"/>
        <w:gridCol w:w="610"/>
      </w:tblGrid>
      <w:tr w:rsidR="00B9782B">
        <w:trPr>
          <w:trHeight w:val="390"/>
        </w:trPr>
        <w:tc>
          <w:tcPr>
            <w:tcW w:w="1277"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w:t>
            </w:r>
          </w:p>
        </w:tc>
        <w:tc>
          <w:tcPr>
            <w:tcW w:w="8788"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Dynamische Arbeitsmärkte und faire Arbeitsbedingungen</w:t>
            </w:r>
          </w:p>
        </w:tc>
      </w:tr>
      <w:tr w:rsidR="00B9782B">
        <w:trPr>
          <w:trHeight w:val="1473"/>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B9782B" w:rsidRDefault="00B9782B">
            <w:pPr>
              <w:spacing w:after="0" w:line="240" w:lineRule="auto"/>
              <w:rPr>
                <w:rFonts w:ascii="Arial Narrow" w:eastAsia="Times New Roman" w:hAnsi="Arial Narrow" w:cs="Calibri"/>
                <w:b/>
                <w:bCs/>
                <w:noProof/>
                <w:color w:val="000000"/>
                <w:sz w:val="16"/>
                <w:szCs w:val="16"/>
              </w:rPr>
            </w:pPr>
          </w:p>
        </w:tc>
        <w:tc>
          <w:tcPr>
            <w:tcW w:w="1842"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Beschäftigungsquote </w:t>
            </w:r>
            <w:r>
              <w:rPr>
                <w:rFonts w:ascii="Arial Narrow" w:hAnsi="Arial Narrow"/>
                <w:b/>
                <w:bCs/>
                <w:noProof/>
                <w:sz w:val="16"/>
                <w:szCs w:val="16"/>
              </w:rPr>
              <w:br/>
              <w:t xml:space="preserve">(% der Bevölkerung im Alter von </w:t>
            </w:r>
          </w:p>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20–64 Jahren)</w:t>
            </w:r>
          </w:p>
        </w:tc>
        <w:tc>
          <w:tcPr>
            <w:tcW w:w="1660"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Arbeitslosenquote </w:t>
            </w:r>
            <w:r>
              <w:rPr>
                <w:rFonts w:ascii="Arial Narrow" w:hAnsi="Arial Narrow"/>
                <w:b/>
                <w:bCs/>
                <w:noProof/>
                <w:sz w:val="16"/>
                <w:szCs w:val="16"/>
              </w:rPr>
              <w:br/>
              <w:t xml:space="preserve">(% der Erwerbsbevölkerung im Alter von 15–74 Jahren) </w:t>
            </w:r>
          </w:p>
        </w:tc>
        <w:tc>
          <w:tcPr>
            <w:tcW w:w="1879"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Langzeitarbeitslosenquote </w:t>
            </w:r>
          </w:p>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 der Erwerbsbevölkerung im </w:t>
            </w:r>
            <w:r>
              <w:rPr>
                <w:rFonts w:ascii="Arial Narrow" w:hAnsi="Arial Narrow"/>
                <w:b/>
                <w:bCs/>
                <w:noProof/>
                <w:sz w:val="16"/>
                <w:szCs w:val="16"/>
              </w:rPr>
              <w:t>Alter von 15–74 Jahren)</w:t>
            </w:r>
          </w:p>
        </w:tc>
        <w:tc>
          <w:tcPr>
            <w:tcW w:w="1635"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Reales verfügbares Bruttoeinkommen der Haushalte pro Kopf </w:t>
            </w:r>
            <w:r>
              <w:rPr>
                <w:rFonts w:ascii="Arial Narrow" w:hAnsi="Arial Narrow"/>
                <w:b/>
                <w:bCs/>
                <w:noProof/>
                <w:sz w:val="16"/>
                <w:szCs w:val="16"/>
              </w:rPr>
              <w:br/>
              <w:t>(2008 = 100)</w:t>
            </w:r>
          </w:p>
        </w:tc>
        <w:tc>
          <w:tcPr>
            <w:tcW w:w="1772"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Nettoeinkommen </w:t>
            </w:r>
            <w:r>
              <w:rPr>
                <w:rFonts w:ascii="Arial Narrow" w:hAnsi="Arial Narrow"/>
                <w:b/>
                <w:bCs/>
                <w:noProof/>
                <w:sz w:val="16"/>
                <w:szCs w:val="16"/>
              </w:rPr>
              <w:br/>
              <w:t xml:space="preserve">eines alleinstehenden Vollzeitbeschäftigten </w:t>
            </w:r>
            <w:r>
              <w:rPr>
                <w:rFonts w:ascii="Arial Narrow" w:hAnsi="Arial Narrow"/>
                <w:b/>
                <w:bCs/>
                <w:noProof/>
                <w:sz w:val="16"/>
                <w:szCs w:val="16"/>
              </w:rPr>
              <w:br/>
              <w:t>mit durchschnittlichem Einkommen (Kaufkraftstandards, KKS)</w:t>
            </w:r>
          </w:p>
        </w:tc>
      </w:tr>
      <w:tr w:rsidR="00B9782B">
        <w:trPr>
          <w:trHeight w:val="675"/>
        </w:trPr>
        <w:tc>
          <w:tcPr>
            <w:tcW w:w="1277" w:type="dxa"/>
            <w:tcBorders>
              <w:top w:val="single" w:sz="4" w:space="0" w:color="auto"/>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Jahr</w:t>
            </w:r>
          </w:p>
        </w:tc>
        <w:tc>
          <w:tcPr>
            <w:tcW w:w="581"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81"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680"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644" w:type="dxa"/>
            <w:tcBorders>
              <w:top w:val="nil"/>
              <w:left w:val="nil"/>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08"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508"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627" w:type="dxa"/>
            <w:tcBorders>
              <w:top w:val="nil"/>
              <w:left w:val="nil"/>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626"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626"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545" w:type="dxa"/>
            <w:tcBorders>
              <w:top w:val="nil"/>
              <w:left w:val="nil"/>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2015</w:t>
            </w:r>
          </w:p>
        </w:tc>
        <w:tc>
          <w:tcPr>
            <w:tcW w:w="545"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45"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581"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81"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610"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r>
      <w:tr w:rsidR="00B9782B">
        <w:trPr>
          <w:trHeight w:val="227"/>
        </w:trPr>
        <w:tc>
          <w:tcPr>
            <w:tcW w:w="1277" w:type="dxa"/>
            <w:tcBorders>
              <w:top w:val="single" w:sz="4" w:space="0" w:color="auto"/>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EU28</w:t>
            </w:r>
          </w:p>
        </w:tc>
        <w:tc>
          <w:tcPr>
            <w:tcW w:w="581"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581"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72,2</w:t>
            </w:r>
          </w:p>
        </w:tc>
        <w:tc>
          <w:tcPr>
            <w:tcW w:w="680"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73,2</w:t>
            </w:r>
          </w:p>
        </w:tc>
        <w:tc>
          <w:tcPr>
            <w:tcW w:w="644"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508"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508"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627"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62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62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45" w:type="dxa"/>
            <w:tcBorders>
              <w:top w:val="single" w:sz="4" w:space="0" w:color="auto"/>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101,0</w:t>
            </w:r>
          </w:p>
        </w:tc>
        <w:tc>
          <w:tcPr>
            <w:tcW w:w="54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102,9</w:t>
            </w:r>
          </w:p>
        </w:tc>
        <w:tc>
          <w:tcPr>
            <w:tcW w:w="545"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ER19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71,0</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98,1</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99,8</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EU (nicht gewichtet)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72,5</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73,9</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100,6</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103,9</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19868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20265</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20600</w:t>
            </w:r>
          </w:p>
        </w:tc>
      </w:tr>
      <w:tr w:rsidR="00B9782B">
        <w:trPr>
          <w:trHeight w:val="227"/>
        </w:trPr>
        <w:tc>
          <w:tcPr>
            <w:tcW w:w="1277"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ER (nicht gewichtet)</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70,6</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680"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64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50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c>
          <w:tcPr>
            <w:tcW w:w="508"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62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62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62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45" w:type="dxa"/>
            <w:tcBorders>
              <w:top w:val="nil"/>
              <w:left w:val="single" w:sz="4" w:space="0" w:color="auto"/>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96,7</w:t>
            </w:r>
          </w:p>
        </w:tc>
        <w:tc>
          <w:tcPr>
            <w:tcW w:w="54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99,4</w:t>
            </w:r>
          </w:p>
        </w:tc>
        <w:tc>
          <w:tcPr>
            <w:tcW w:w="54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101,5</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21267</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21628</w:t>
            </w:r>
          </w:p>
        </w:tc>
        <w:tc>
          <w:tcPr>
            <w:tcW w:w="610"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21947</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68,5 b</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69,7</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 b</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 b</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98,0</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99,1</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25086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25339</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25593</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71,3</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72,4</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116,5</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122,1</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9348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9883</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10388</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78,5</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79,9</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104,9</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108,2</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14185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14635</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15282</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77,4 b</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76,9 b</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78,2</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 b</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 b</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107,4</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111,7</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26497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26864</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27055</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79,2</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79,9</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105,9</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107,7</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27203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27549</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27870</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78,7</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79,5</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107,4</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111,4</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14500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15234</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16160</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73,0</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74,1</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93,5</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97,3</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29744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30940</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32061</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57,8</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59,5</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23,6</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19,3</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15,6</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69,6</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68,8</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19074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18848</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18745</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65,5</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19,6</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17,2</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91,7</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93,9</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23063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23270</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23140</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70,6</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71,3</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100,8</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102,0</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24594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24784</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25009</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63,6</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65,2</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13,4</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11,0</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13118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13577</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13796</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62,3</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63,0</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89,8</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91,0</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21287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21547</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21730</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70,8</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73,9</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13,0</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8,4</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79,8</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85,2</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74,8</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76,8</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98,6</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104,0</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10062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10696</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11269</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76,0</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77,8</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107,8</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116,2</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118,7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11141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11797</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12528</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71,5</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72,1</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102,3</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101,7</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32538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33149</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33492</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73,3</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74,4</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103,8</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108,7</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11730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12224</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12924</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73,0</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75,5</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21197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21503</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21747</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78,0</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79,2</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100,1</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101,9</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28329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28514</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28493</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75,4</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76,2</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95,3</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96,4</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26949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27722</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28284</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70,9</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72,2</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117,7</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124,7</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128,0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13770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14193</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14638</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75,4</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11,2</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9,0</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96,3</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99,2</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16039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15971</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15985</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68,8</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69,9</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106,0</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116,4</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131,0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9671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10570</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10816</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75,4</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95,0</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99,7</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15080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15207</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15391</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71,1</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72,4</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105,8</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109,6</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12465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12663</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12950</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74,2</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76,3</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102,3</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103,7</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24459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24564</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24594</w:t>
            </w:r>
          </w:p>
        </w:tc>
      </w:tr>
      <w:tr w:rsidR="00B9782B">
        <w:trPr>
          <w:trHeight w:val="227"/>
        </w:trPr>
        <w:tc>
          <w:tcPr>
            <w:tcW w:w="127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81,8</w:t>
            </w:r>
          </w:p>
        </w:tc>
        <w:tc>
          <w:tcPr>
            <w:tcW w:w="68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82,6 p</w:t>
            </w:r>
          </w:p>
        </w:tc>
        <w:tc>
          <w:tcPr>
            <w:tcW w:w="64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w:t>
            </w:r>
          </w:p>
        </w:tc>
        <w:tc>
          <w:tcPr>
            <w:tcW w:w="50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508"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62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62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 p</w:t>
            </w:r>
          </w:p>
        </w:tc>
        <w:tc>
          <w:tcPr>
            <w:tcW w:w="545" w:type="dxa"/>
            <w:tcBorders>
              <w:top w:val="nil"/>
              <w:left w:val="single" w:sz="4" w:space="0" w:color="auto"/>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113,0</w:t>
            </w:r>
          </w:p>
        </w:tc>
        <w:tc>
          <w:tcPr>
            <w:tcW w:w="54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115,6</w:t>
            </w:r>
          </w:p>
        </w:tc>
        <w:tc>
          <w:tcPr>
            <w:tcW w:w="54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26050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26045</w:t>
            </w:r>
          </w:p>
        </w:tc>
        <w:tc>
          <w:tcPr>
            <w:tcW w:w="61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26189</w:t>
            </w:r>
          </w:p>
        </w:tc>
      </w:tr>
      <w:tr w:rsidR="00B9782B">
        <w:trPr>
          <w:trHeight w:val="227"/>
        </w:trPr>
        <w:tc>
          <w:tcPr>
            <w:tcW w:w="1277"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77,5</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78,2</w:t>
            </w:r>
          </w:p>
        </w:tc>
        <w:tc>
          <w:tcPr>
            <w:tcW w:w="680"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78,7</w:t>
            </w:r>
          </w:p>
        </w:tc>
        <w:tc>
          <w:tcPr>
            <w:tcW w:w="64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50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08"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62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2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62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45" w:type="dxa"/>
            <w:tcBorders>
              <w:top w:val="nil"/>
              <w:left w:val="single" w:sz="4" w:space="0" w:color="auto"/>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106,8</w:t>
            </w:r>
          </w:p>
        </w:tc>
        <w:tc>
          <w:tcPr>
            <w:tcW w:w="54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106,3</w:t>
            </w:r>
          </w:p>
        </w:tc>
        <w:tc>
          <w:tcPr>
            <w:tcW w:w="54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107,0</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29265</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29874</w:t>
            </w:r>
          </w:p>
        </w:tc>
        <w:tc>
          <w:tcPr>
            <w:tcW w:w="610"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30065</w:t>
            </w:r>
          </w:p>
        </w:tc>
      </w:tr>
    </w:tbl>
    <w:p w:rsidR="00B9782B" w:rsidRDefault="0062365E" w:rsidP="0062365E">
      <w:pPr>
        <w:spacing w:before="120" w:after="0" w:line="240" w:lineRule="auto"/>
        <w:rPr>
          <w:rFonts w:ascii="Times New Roman" w:hAnsi="Times New Roman" w:cs="Times New Roman"/>
          <w:noProof/>
          <w:sz w:val="20"/>
          <w:szCs w:val="20"/>
        </w:rPr>
      </w:pPr>
      <w:r>
        <w:rPr>
          <w:rFonts w:ascii="Times New Roman" w:hAnsi="Times New Roman"/>
          <w:noProof/>
          <w:sz w:val="20"/>
          <w:szCs w:val="20"/>
        </w:rPr>
        <w:t>Quelle: Eurostat, OECD.</w:t>
      </w:r>
    </w:p>
    <w:p w:rsidR="00B9782B" w:rsidRDefault="0062365E">
      <w:pPr>
        <w:pStyle w:val="FootnoteText"/>
        <w:jc w:val="both"/>
        <w:rPr>
          <w:rStyle w:val="FootnoteReference"/>
          <w:rFonts w:ascii="Times New Roman" w:hAnsi="Times New Roman" w:cs="Times New Roman"/>
          <w:noProof/>
        </w:rPr>
      </w:pPr>
      <w:r>
        <w:rPr>
          <w:rFonts w:ascii="Times New Roman" w:hAnsi="Times New Roman"/>
          <w:noProof/>
        </w:rPr>
        <w:t xml:space="preserve">Anmerkung: EU (nicht gewichtet) und ER (nicht gewichtet) beziehen sich auf die ungewichteten Durchschnittswerte für die EU bzw. das Euro-Währungsgebiet. Das verfügbare </w:t>
      </w:r>
      <w:r>
        <w:rPr>
          <w:rFonts w:ascii="Times New Roman" w:hAnsi="Times New Roman"/>
          <w:noProof/>
        </w:rPr>
        <w:t>Bruttoeinkommen der Haushalte pro Kopf bemisst sich nach den „unbereinigten Einkünften“ (d. h. ohne soziale Sachtransfers) ohne Berichtigung nach Kaufkraftstandards. Das Nettoeinkommen eines alleinstehenden Vollzeitbeschäftigten mit Durchschnittslohn sollt</w:t>
      </w:r>
      <w:r>
        <w:rPr>
          <w:rFonts w:ascii="Times New Roman" w:hAnsi="Times New Roman"/>
          <w:noProof/>
        </w:rPr>
        <w:t>e in Verbindung mit anderen Indikatoren wie der Quote für Armut trotz Erwerbstätigkeit, dem Verhältnis zwischen dem fünften und dem ersten Zehntel der Lohnverteilung (D5/D1) und anderen einschlägigen Indikatoren des gemeinsamen Bewertungsrahmens und der An</w:t>
      </w:r>
      <w:r>
        <w:rPr>
          <w:rFonts w:ascii="Times New Roman" w:hAnsi="Times New Roman"/>
          <w:noProof/>
        </w:rPr>
        <w:t>zeiger für die Leistungen im Beschäftigungsbereich und im Bereich des Sozialschutzes gelesen und ausgelegt werden. Für diesen Indikator werden Durchschnittswerte für einen Dreijahreszeitraum verwendet, um kurzfristige Schwankungen auszugleichen.</w:t>
      </w:r>
    </w:p>
    <w:p w:rsidR="00B9782B" w:rsidRDefault="0062365E">
      <w:pPr>
        <w:jc w:val="both"/>
        <w:rPr>
          <w:rFonts w:ascii="Times New Roman" w:hAnsi="Times New Roman" w:cs="Times New Roman"/>
          <w:noProof/>
          <w:sz w:val="20"/>
          <w:szCs w:val="20"/>
        </w:rPr>
      </w:pPr>
      <w:r>
        <w:rPr>
          <w:rFonts w:ascii="Times New Roman" w:hAnsi="Times New Roman"/>
          <w:noProof/>
          <w:sz w:val="20"/>
          <w:szCs w:val="20"/>
        </w:rPr>
        <w:lastRenderedPageBreak/>
        <w:t>Kennzeichn</w:t>
      </w:r>
      <w:r>
        <w:rPr>
          <w:rFonts w:ascii="Times New Roman" w:hAnsi="Times New Roman"/>
          <w:noProof/>
          <w:sz w:val="20"/>
          <w:szCs w:val="20"/>
        </w:rPr>
        <w:t>ungen – b: Zeitreihenbrüche; e: geschätzt; p: vorläufig; u: von geringer Zuverlässigkeit (geringe Anzahl von Beobachtungen).</w:t>
      </w:r>
    </w:p>
    <w:p w:rsidR="00B9782B" w:rsidRDefault="0062365E">
      <w:pPr>
        <w:rPr>
          <w:rFonts w:ascii="Times New Roman" w:hAnsi="Times New Roman" w:cs="Times New Roman"/>
          <w:b/>
          <w:noProof/>
          <w:sz w:val="24"/>
          <w:szCs w:val="24"/>
        </w:rPr>
      </w:pPr>
      <w:bookmarkStart w:id="1" w:name="_GoBack"/>
      <w:bookmarkEnd w:id="1"/>
      <w:r>
        <w:rPr>
          <w:rFonts w:ascii="Times New Roman" w:hAnsi="Times New Roman"/>
          <w:b/>
          <w:noProof/>
        </w:rPr>
        <w:t>Anhang 1 (Fortsetzung). Leitindikatoren des sozialpolitischen Scoreboards, Niveaus</w:t>
      </w:r>
    </w:p>
    <w:tbl>
      <w:tblPr>
        <w:tblW w:w="0" w:type="auto"/>
        <w:tblInd w:w="113" w:type="dxa"/>
        <w:tblLayout w:type="fixed"/>
        <w:tblLook w:val="04A0" w:firstRow="1" w:lastRow="0" w:firstColumn="1" w:lastColumn="0" w:noHBand="0" w:noVBand="1"/>
      </w:tblPr>
      <w:tblGrid>
        <w:gridCol w:w="1478"/>
        <w:gridCol w:w="581"/>
        <w:gridCol w:w="581"/>
        <w:gridCol w:w="605"/>
        <w:gridCol w:w="578"/>
        <w:gridCol w:w="581"/>
        <w:gridCol w:w="694"/>
        <w:gridCol w:w="567"/>
        <w:gridCol w:w="567"/>
        <w:gridCol w:w="567"/>
        <w:gridCol w:w="567"/>
        <w:gridCol w:w="567"/>
        <w:gridCol w:w="567"/>
      </w:tblGrid>
      <w:tr w:rsidR="00B9782B">
        <w:trPr>
          <w:trHeight w:val="345"/>
        </w:trPr>
        <w:tc>
          <w:tcPr>
            <w:tcW w:w="1478" w:type="dxa"/>
            <w:vMerge w:val="restart"/>
            <w:tcBorders>
              <w:top w:val="single" w:sz="4" w:space="0" w:color="auto"/>
              <w:left w:val="single" w:sz="4" w:space="0" w:color="auto"/>
              <w:bottom w:val="single" w:sz="4" w:space="0" w:color="000000"/>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w:t>
            </w:r>
          </w:p>
        </w:tc>
        <w:tc>
          <w:tcPr>
            <w:tcW w:w="7022" w:type="dxa"/>
            <w:gridSpan w:val="12"/>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Öffentliche Unterstützung / Sozialschutz und</w:t>
            </w:r>
            <w:r>
              <w:rPr>
                <w:rFonts w:ascii="Arial Narrow" w:hAnsi="Arial Narrow"/>
                <w:b/>
                <w:bCs/>
                <w:noProof/>
                <w:sz w:val="16"/>
                <w:szCs w:val="16"/>
              </w:rPr>
              <w:t xml:space="preserve"> Inklusion</w:t>
            </w:r>
          </w:p>
        </w:tc>
      </w:tr>
      <w:tr w:rsidR="00B9782B">
        <w:trPr>
          <w:trHeight w:val="1671"/>
        </w:trPr>
        <w:tc>
          <w:tcPr>
            <w:tcW w:w="1478" w:type="dxa"/>
            <w:vMerge/>
            <w:tcBorders>
              <w:top w:val="single" w:sz="4" w:space="0" w:color="auto"/>
              <w:left w:val="single" w:sz="4" w:space="0" w:color="auto"/>
              <w:bottom w:val="single" w:sz="4" w:space="0" w:color="000000"/>
              <w:right w:val="single" w:sz="4" w:space="0" w:color="auto"/>
            </w:tcBorders>
            <w:vAlign w:val="center"/>
            <w:hideMark/>
          </w:tcPr>
          <w:p w:rsidR="00B9782B" w:rsidRDefault="00B9782B">
            <w:pPr>
              <w:spacing w:after="0" w:line="240" w:lineRule="auto"/>
              <w:rPr>
                <w:rFonts w:ascii="Arial Narrow" w:eastAsia="Times New Roman" w:hAnsi="Arial Narrow" w:cs="Calibri"/>
                <w:b/>
                <w:bCs/>
                <w:noProof/>
                <w:color w:val="000000"/>
                <w:sz w:val="16"/>
                <w:szCs w:val="16"/>
              </w:rPr>
            </w:pPr>
          </w:p>
        </w:tc>
        <w:tc>
          <w:tcPr>
            <w:tcW w:w="1767"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Auswirkungen sozialer Transferleistungen (ausgenommen Rentenzahlungen) bei der Armutsbekämpfung (%)</w:t>
            </w:r>
          </w:p>
        </w:tc>
        <w:tc>
          <w:tcPr>
            <w:tcW w:w="1853"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Kinder unter 3 Jahren in formaler Kinderbetreuung (%)</w:t>
            </w:r>
          </w:p>
        </w:tc>
        <w:tc>
          <w:tcPr>
            <w:tcW w:w="1701"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Nach eigenen Angaben nicht gedeckter Bedarf an ärztlicher Versorgung (%)</w:t>
            </w:r>
          </w:p>
        </w:tc>
        <w:tc>
          <w:tcPr>
            <w:tcW w:w="1701"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Personen mit </w:t>
            </w:r>
            <w:r>
              <w:rPr>
                <w:rFonts w:ascii="Arial Narrow" w:hAnsi="Arial Narrow"/>
                <w:b/>
                <w:bCs/>
                <w:noProof/>
                <w:sz w:val="16"/>
                <w:szCs w:val="16"/>
              </w:rPr>
              <w:t>grundlegender oder mehr als grundlegender digitaler Kompetenz (% der Bevölkerung im Alter von 16-74 Jahren)</w:t>
            </w:r>
          </w:p>
        </w:tc>
      </w:tr>
      <w:tr w:rsidR="00B9782B">
        <w:trPr>
          <w:trHeight w:val="675"/>
        </w:trPr>
        <w:tc>
          <w:tcPr>
            <w:tcW w:w="1478" w:type="dxa"/>
            <w:tcBorders>
              <w:top w:val="single" w:sz="4" w:space="0" w:color="auto"/>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Jahr</w:t>
            </w:r>
          </w:p>
        </w:tc>
        <w:tc>
          <w:tcPr>
            <w:tcW w:w="581"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81"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605"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578" w:type="dxa"/>
            <w:tcBorders>
              <w:top w:val="nil"/>
              <w:left w:val="nil"/>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81"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694"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567" w:type="dxa"/>
            <w:tcBorders>
              <w:top w:val="nil"/>
              <w:left w:val="nil"/>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67"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c>
          <w:tcPr>
            <w:tcW w:w="567"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2018</w:t>
            </w:r>
          </w:p>
        </w:tc>
        <w:tc>
          <w:tcPr>
            <w:tcW w:w="567" w:type="dxa"/>
            <w:tcBorders>
              <w:top w:val="nil"/>
              <w:left w:val="nil"/>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2015</w:t>
            </w:r>
          </w:p>
        </w:tc>
        <w:tc>
          <w:tcPr>
            <w:tcW w:w="567" w:type="dxa"/>
            <w:tcBorders>
              <w:top w:val="nil"/>
              <w:left w:val="single" w:sz="4" w:space="0" w:color="auto"/>
              <w:bottom w:val="single" w:sz="4" w:space="0" w:color="auto"/>
              <w:right w:val="nil"/>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2016</w:t>
            </w:r>
          </w:p>
        </w:tc>
        <w:tc>
          <w:tcPr>
            <w:tcW w:w="567"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2017</w:t>
            </w:r>
          </w:p>
        </w:tc>
      </w:tr>
      <w:tr w:rsidR="00B9782B">
        <w:trPr>
          <w:trHeight w:val="227"/>
        </w:trPr>
        <w:tc>
          <w:tcPr>
            <w:tcW w:w="1478" w:type="dxa"/>
            <w:tcBorders>
              <w:top w:val="single" w:sz="4" w:space="0" w:color="auto"/>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EU28</w:t>
            </w:r>
          </w:p>
        </w:tc>
        <w:tc>
          <w:tcPr>
            <w:tcW w:w="581"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w:t>
            </w:r>
          </w:p>
        </w:tc>
        <w:tc>
          <w:tcPr>
            <w:tcW w:w="581"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34,0</w:t>
            </w:r>
          </w:p>
        </w:tc>
        <w:tc>
          <w:tcPr>
            <w:tcW w:w="605"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w:t>
            </w:r>
          </w:p>
        </w:tc>
        <w:tc>
          <w:tcPr>
            <w:tcW w:w="578"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32,9</w:t>
            </w:r>
          </w:p>
        </w:tc>
        <w:tc>
          <w:tcPr>
            <w:tcW w:w="581"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34,2</w:t>
            </w:r>
          </w:p>
        </w:tc>
        <w:tc>
          <w:tcPr>
            <w:tcW w:w="694"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35,1</w:t>
            </w:r>
          </w:p>
        </w:tc>
        <w:tc>
          <w:tcPr>
            <w:tcW w:w="567"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67"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7"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c>
          <w:tcPr>
            <w:tcW w:w="567"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56,0</w:t>
            </w:r>
          </w:p>
        </w:tc>
        <w:tc>
          <w:tcPr>
            <w:tcW w:w="567"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ER19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32,0</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31,7</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39,2</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EU (nicht gewichtet)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34,5</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34,0</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32,2</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55,6</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57,4</w:t>
            </w:r>
          </w:p>
        </w:tc>
      </w:tr>
      <w:tr w:rsidR="00B9782B">
        <w:trPr>
          <w:trHeight w:val="227"/>
        </w:trPr>
        <w:tc>
          <w:tcPr>
            <w:tcW w:w="1478"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ER (nicht gewichtet)</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34,1</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33,6</w:t>
            </w:r>
          </w:p>
        </w:tc>
        <w:tc>
          <w:tcPr>
            <w:tcW w:w="60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33,3</w:t>
            </w:r>
          </w:p>
        </w:tc>
        <w:tc>
          <w:tcPr>
            <w:tcW w:w="57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32,3</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35,3</w:t>
            </w:r>
          </w:p>
        </w:tc>
        <w:tc>
          <w:tcPr>
            <w:tcW w:w="694"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36,9</w:t>
            </w:r>
          </w:p>
        </w:tc>
        <w:tc>
          <w:tcPr>
            <w:tcW w:w="56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56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7"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56,7</w:t>
            </w:r>
          </w:p>
        </w:tc>
        <w:tc>
          <w:tcPr>
            <w:tcW w:w="56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57,1</w:t>
            </w:r>
          </w:p>
        </w:tc>
        <w:tc>
          <w:tcPr>
            <w:tcW w:w="567"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59,7</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41,1</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39,5</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34,7</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52,9</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7"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17,9 b</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19,9</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25,4</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 b</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42,4</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38,5</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47,3</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71,7</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33,3</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30,3</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29,8</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27,3</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26,8</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27,1</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11,8</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52,6</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51,8 p</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34,4</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37,7 p</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 p</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15,8</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20,5</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40,9</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13,1</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8,8</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23,9</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22,9</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45,8</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45,0</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44,4</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50,5</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24,8</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24,9</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15,9</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17,8</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19,4</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28,6</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25,7</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35,9</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36,4</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28,1</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21,9</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19,1</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23,2</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22,9</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20,3</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20,8</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39,1 b</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35,5</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33,5</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60,8</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 b</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46,4</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48,8</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30,1</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30,6</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31,3</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36,6</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32,1</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42,5 b</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39,7</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39,0</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61,6</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56,8</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42,2</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43,3</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18,2</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 b</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37,5</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40,3</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11,6</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 b</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22,5</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23,8</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49,9</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47,5</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14,2</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16,6</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16,1</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17,4</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15,7</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44,6</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43,2</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39,6</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44,8</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29,1</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31,1</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56,9</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53,7</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32,7</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33,3</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37,2</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76,0</w:t>
            </w:r>
          </w:p>
        </w:tc>
      </w:tr>
      <w:tr w:rsidR="00B9782B">
        <w:trPr>
          <w:trHeight w:val="227"/>
        </w:trPr>
        <w:tc>
          <w:tcPr>
            <w:tcW w:w="1478"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45,8</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46,1</w:t>
            </w:r>
          </w:p>
        </w:tc>
        <w:tc>
          <w:tcPr>
            <w:tcW w:w="60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43,3</w:t>
            </w:r>
          </w:p>
        </w:tc>
        <w:tc>
          <w:tcPr>
            <w:tcW w:w="57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51,0</w:t>
            </w:r>
          </w:p>
        </w:tc>
        <w:tc>
          <w:tcPr>
            <w:tcW w:w="58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52,7</w:t>
            </w:r>
          </w:p>
        </w:tc>
        <w:tc>
          <w:tcPr>
            <w:tcW w:w="69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49,4</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72,0</w:t>
            </w:r>
          </w:p>
        </w:tc>
        <w:tc>
          <w:tcPr>
            <w:tcW w:w="56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69,0</w:t>
            </w:r>
          </w:p>
        </w:tc>
        <w:tc>
          <w:tcPr>
            <w:tcW w:w="567"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77,0</w:t>
            </w:r>
          </w:p>
        </w:tc>
      </w:tr>
      <w:tr w:rsidR="00B9782B">
        <w:trPr>
          <w:trHeight w:val="227"/>
        </w:trPr>
        <w:tc>
          <w:tcPr>
            <w:tcW w:w="1478"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43,4</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41,8 b</w:t>
            </w:r>
          </w:p>
        </w:tc>
        <w:tc>
          <w:tcPr>
            <w:tcW w:w="60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35,9 p</w:t>
            </w:r>
          </w:p>
        </w:tc>
        <w:tc>
          <w:tcPr>
            <w:tcW w:w="57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58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33,2 b</w:t>
            </w:r>
          </w:p>
        </w:tc>
        <w:tc>
          <w:tcPr>
            <w:tcW w:w="694"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38,7 p</w:t>
            </w:r>
          </w:p>
        </w:tc>
        <w:tc>
          <w:tcPr>
            <w:tcW w:w="56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 b</w:t>
            </w:r>
          </w:p>
        </w:tc>
        <w:tc>
          <w:tcPr>
            <w:tcW w:w="567"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 p</w:t>
            </w:r>
          </w:p>
        </w:tc>
        <w:tc>
          <w:tcPr>
            <w:tcW w:w="56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67,0</w:t>
            </w:r>
          </w:p>
        </w:tc>
        <w:tc>
          <w:tcPr>
            <w:tcW w:w="56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69,0</w:t>
            </w:r>
          </w:p>
        </w:tc>
        <w:tc>
          <w:tcPr>
            <w:tcW w:w="567"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71,0</w:t>
            </w:r>
          </w:p>
        </w:tc>
      </w:tr>
    </w:tbl>
    <w:p w:rsidR="00B9782B" w:rsidRDefault="00B9782B">
      <w:pPr>
        <w:jc w:val="both"/>
        <w:rPr>
          <w:rFonts w:ascii="Times New Roman" w:hAnsi="Times New Roman" w:cs="Times New Roman"/>
          <w:noProof/>
          <w:sz w:val="20"/>
          <w:szCs w:val="20"/>
        </w:rPr>
      </w:pP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Anmerkung: EU (nicht gewichtet) und ER (nicht gewichtet) beziehen sich auf die </w:t>
      </w:r>
      <w:r>
        <w:rPr>
          <w:rFonts w:ascii="Times New Roman" w:hAnsi="Times New Roman"/>
          <w:noProof/>
          <w:sz w:val="20"/>
          <w:szCs w:val="20"/>
        </w:rPr>
        <w:t>ungewichteten Durchschnittswerte für die EU bzw. das Euro-Währungsgebiet.</w:t>
      </w:r>
    </w:p>
    <w:p w:rsidR="00B9782B" w:rsidRDefault="0062365E">
      <w:pPr>
        <w:jc w:val="both"/>
        <w:rPr>
          <w:rFonts w:ascii="Times New Roman" w:hAnsi="Times New Roman" w:cs="Times New Roman"/>
          <w:noProof/>
          <w:sz w:val="20"/>
          <w:szCs w:val="20"/>
        </w:rPr>
      </w:pPr>
      <w:r>
        <w:rPr>
          <w:rFonts w:ascii="Times New Roman" w:hAnsi="Times New Roman"/>
          <w:noProof/>
          <w:sz w:val="20"/>
          <w:szCs w:val="20"/>
        </w:rPr>
        <w:t>Kennzeichnungen – b: Zeitreihenbrüche; e: geschätzt; p: vorläufig; u: von geringer Zuverlässigkeit (geringe Anzahl von Beobachtungen).</w:t>
      </w:r>
    </w:p>
    <w:p w:rsidR="00B9782B" w:rsidRDefault="0062365E">
      <w:pPr>
        <w:rPr>
          <w:rFonts w:ascii="Times New Roman" w:hAnsi="Times New Roman" w:cs="Times New Roman"/>
          <w:b/>
          <w:noProof/>
          <w:sz w:val="24"/>
          <w:szCs w:val="24"/>
        </w:rPr>
      </w:pPr>
      <w:r>
        <w:rPr>
          <w:noProof/>
        </w:rPr>
        <w:br w:type="page"/>
      </w:r>
    </w:p>
    <w:p w:rsidR="00B9782B" w:rsidRDefault="0062365E">
      <w:pPr>
        <w:rPr>
          <w:rFonts w:ascii="Times New Roman" w:hAnsi="Times New Roman" w:cs="Times New Roman"/>
          <w:b/>
          <w:noProof/>
          <w:sz w:val="24"/>
          <w:szCs w:val="24"/>
        </w:rPr>
      </w:pPr>
      <w:r>
        <w:rPr>
          <w:rFonts w:ascii="Times New Roman" w:hAnsi="Times New Roman"/>
          <w:b/>
          <w:noProof/>
        </w:rPr>
        <w:t xml:space="preserve">Anhang 2. Leitindikatoren des </w:t>
      </w:r>
      <w:r>
        <w:rPr>
          <w:rFonts w:ascii="Times New Roman" w:hAnsi="Times New Roman"/>
          <w:b/>
          <w:noProof/>
        </w:rPr>
        <w:t>sozialpolitischen Scoreboards, Veränderungen und Abstand zum EU-Durchschnitt</w:t>
      </w:r>
    </w:p>
    <w:tbl>
      <w:tblPr>
        <w:tblW w:w="9356" w:type="dxa"/>
        <w:tblLayout w:type="fixed"/>
        <w:tblCellMar>
          <w:left w:w="0" w:type="dxa"/>
          <w:right w:w="0" w:type="dxa"/>
        </w:tblCellMar>
        <w:tblLook w:val="04A0" w:firstRow="1" w:lastRow="0" w:firstColumn="1" w:lastColumn="0" w:noHBand="0" w:noVBand="1"/>
      </w:tblPr>
      <w:tblGrid>
        <w:gridCol w:w="567"/>
        <w:gridCol w:w="585"/>
        <w:gridCol w:w="691"/>
        <w:gridCol w:w="572"/>
        <w:gridCol w:w="495"/>
        <w:gridCol w:w="586"/>
        <w:gridCol w:w="586"/>
        <w:gridCol w:w="586"/>
        <w:gridCol w:w="586"/>
        <w:gridCol w:w="586"/>
        <w:gridCol w:w="586"/>
        <w:gridCol w:w="586"/>
        <w:gridCol w:w="586"/>
        <w:gridCol w:w="586"/>
        <w:gridCol w:w="586"/>
        <w:gridCol w:w="586"/>
      </w:tblGrid>
      <w:tr w:rsidR="00B9782B">
        <w:trPr>
          <w:trHeight w:val="312"/>
        </w:trPr>
        <w:tc>
          <w:tcPr>
            <w:tcW w:w="567" w:type="dxa"/>
            <w:vMerge w:val="restart"/>
            <w:tcBorders>
              <w:top w:val="single" w:sz="4" w:space="0" w:color="auto"/>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noProof/>
                <w:color w:val="000000"/>
                <w:sz w:val="16"/>
                <w:szCs w:val="16"/>
              </w:rPr>
            </w:pPr>
            <w:r>
              <w:rPr>
                <w:rFonts w:ascii="Arial Narrow" w:hAnsi="Arial Narrow"/>
                <w:noProof/>
                <w:sz w:val="16"/>
                <w:szCs w:val="16"/>
              </w:rPr>
              <w:t> </w:t>
            </w:r>
          </w:p>
        </w:tc>
        <w:tc>
          <w:tcPr>
            <w:tcW w:w="8789"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Chancengleichheit und gleichberechtigter Zugang zum Arbeitsmarkt</w:t>
            </w:r>
          </w:p>
        </w:tc>
      </w:tr>
      <w:tr w:rsidR="00B9782B">
        <w:trPr>
          <w:trHeight w:val="848"/>
        </w:trPr>
        <w:tc>
          <w:tcPr>
            <w:tcW w:w="567" w:type="dxa"/>
            <w:vMerge/>
            <w:tcBorders>
              <w:top w:val="single" w:sz="4" w:space="0" w:color="auto"/>
              <w:left w:val="single" w:sz="4" w:space="0" w:color="auto"/>
              <w:bottom w:val="nil"/>
              <w:right w:val="single" w:sz="4" w:space="0" w:color="auto"/>
            </w:tcBorders>
            <w:vAlign w:val="center"/>
            <w:hideMark/>
          </w:tcPr>
          <w:p w:rsidR="00B9782B" w:rsidRDefault="00B9782B">
            <w:pPr>
              <w:spacing w:after="0" w:line="240" w:lineRule="auto"/>
              <w:rPr>
                <w:rFonts w:ascii="Arial Narrow" w:eastAsia="Times New Roman" w:hAnsi="Arial Narrow" w:cs="Calibri"/>
                <w:noProof/>
                <w:color w:val="000000"/>
                <w:sz w:val="16"/>
                <w:szCs w:val="16"/>
              </w:rPr>
            </w:pPr>
          </w:p>
        </w:tc>
        <w:tc>
          <w:tcPr>
            <w:tcW w:w="1848"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Frühe Schul- und Ausbildungsabgänger </w:t>
            </w:r>
            <w:r>
              <w:rPr>
                <w:rFonts w:ascii="Arial Narrow" w:hAnsi="Arial Narrow"/>
                <w:b/>
                <w:bCs/>
                <w:noProof/>
                <w:sz w:val="16"/>
                <w:szCs w:val="16"/>
              </w:rPr>
              <w:br/>
              <w:t>(% der Bevölkerung im Alter von 18-24 Jahren)</w:t>
            </w:r>
          </w:p>
        </w:tc>
        <w:tc>
          <w:tcPr>
            <w:tcW w:w="1667"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Geschlechtsspezifisches Be</w:t>
            </w:r>
            <w:r>
              <w:rPr>
                <w:rFonts w:ascii="Arial Narrow" w:hAnsi="Arial Narrow"/>
                <w:b/>
                <w:bCs/>
                <w:noProof/>
                <w:sz w:val="16"/>
                <w:szCs w:val="16"/>
              </w:rPr>
              <w:t>schäftigungsgefälle</w:t>
            </w:r>
            <w:r>
              <w:rPr>
                <w:rFonts w:ascii="Arial Narrow" w:hAnsi="Arial Narrow"/>
                <w:b/>
                <w:bCs/>
                <w:noProof/>
                <w:sz w:val="16"/>
                <w:szCs w:val="16"/>
              </w:rPr>
              <w:br/>
              <w:t>(Prozentpunkte)</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Einkommensquintil (S80/S20)</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Von Armut und sozialer Ausgrenzung bedrohte Personen (in %)</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NEET-Quote bei jungen Menschen (% an der Gesamtbevölkerung im Alter von 15–24 Jahren)</w:t>
            </w:r>
          </w:p>
        </w:tc>
      </w:tr>
      <w:tr w:rsidR="00B9782B">
        <w:trPr>
          <w:trHeight w:val="312"/>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Jahr</w:t>
            </w:r>
          </w:p>
        </w:tc>
        <w:tc>
          <w:tcPr>
            <w:tcW w:w="1848"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667"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758"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r>
      <w:tr w:rsidR="00B9782B">
        <w:trPr>
          <w:trHeight w:val="1320"/>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noProof/>
                <w:color w:val="000000"/>
                <w:sz w:val="16"/>
                <w:szCs w:val="16"/>
              </w:rPr>
            </w:pPr>
            <w:r>
              <w:rPr>
                <w:rFonts w:ascii="Arial Narrow" w:hAnsi="Arial Narrow"/>
                <w:noProof/>
                <w:sz w:val="16"/>
                <w:szCs w:val="16"/>
              </w:rPr>
              <w:t> </w:t>
            </w:r>
          </w:p>
        </w:tc>
        <w:tc>
          <w:tcPr>
            <w:tcW w:w="585"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w:t>
            </w:r>
            <w:r>
              <w:rPr>
                <w:rFonts w:ascii="Arial Narrow" w:hAnsi="Arial Narrow"/>
                <w:b/>
                <w:bCs/>
                <w:noProof/>
                <w:sz w:val="16"/>
                <w:szCs w:val="16"/>
              </w:rPr>
              <w:t>im Jahresvergleich</w:t>
            </w:r>
          </w:p>
        </w:tc>
        <w:tc>
          <w:tcPr>
            <w:tcW w:w="691"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72"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c>
          <w:tcPr>
            <w:tcW w:w="49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w:t>
            </w:r>
            <w:r>
              <w:rPr>
                <w:rFonts w:ascii="Arial Narrow" w:hAnsi="Arial Narrow"/>
                <w:b/>
                <w:bCs/>
                <w:noProof/>
                <w:sz w:val="16"/>
                <w:szCs w:val="16"/>
              </w:rPr>
              <w:t xml:space="preserve"> im Jahresvergleich für die EU</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w:t>
            </w:r>
            <w:r>
              <w:rPr>
                <w:rFonts w:ascii="Arial Narrow" w:hAnsi="Arial Narrow"/>
                <w:b/>
                <w:bCs/>
                <w:noProof/>
                <w:sz w:val="16"/>
                <w:szCs w:val="16"/>
              </w:rPr>
              <w:t>chnitt</w:t>
            </w:r>
          </w:p>
        </w:tc>
        <w:tc>
          <w:tcPr>
            <w:tcW w:w="58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EU28</w:t>
            </w:r>
          </w:p>
        </w:tc>
        <w:tc>
          <w:tcPr>
            <w:tcW w:w="58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72"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49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ER19</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EU (nicht gewichtet)</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B9782B">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ER (nicht gewichtet)</w:t>
            </w:r>
          </w:p>
        </w:tc>
        <w:tc>
          <w:tcPr>
            <w:tcW w:w="58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72"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49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 p</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 p</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8,1</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 b</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b</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7,1</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r>
      <w:tr w:rsidR="00B9782B">
        <w:trPr>
          <w:trHeight w:val="227"/>
        </w:trPr>
        <w:tc>
          <w:tcPr>
            <w:tcW w:w="567"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8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691"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72"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49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 p</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 p</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 p</w:t>
            </w:r>
          </w:p>
        </w:tc>
        <w:tc>
          <w:tcPr>
            <w:tcW w:w="58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86"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B9782B">
        <w:trPr>
          <w:trHeight w:val="227"/>
        </w:trPr>
        <w:tc>
          <w:tcPr>
            <w:tcW w:w="567"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8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91"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72"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49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 p</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8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86"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r>
    </w:tbl>
    <w:p w:rsidR="00B9782B" w:rsidRDefault="00B9782B">
      <w:pPr>
        <w:spacing w:after="0" w:line="240" w:lineRule="auto"/>
        <w:rPr>
          <w:rFonts w:ascii="Times New Roman" w:hAnsi="Times New Roman" w:cs="Times New Roman"/>
          <w:noProof/>
          <w:sz w:val="20"/>
          <w:szCs w:val="20"/>
        </w:rPr>
      </w:pP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rsidR="00B9782B" w:rsidRDefault="0062365E">
      <w:pPr>
        <w:spacing w:after="0" w:line="240" w:lineRule="auto"/>
        <w:jc w:val="both"/>
        <w:rPr>
          <w:rFonts w:ascii="Times New Roman" w:hAnsi="Times New Roman" w:cs="Times New Roman"/>
          <w:noProof/>
          <w:sz w:val="20"/>
          <w:szCs w:val="20"/>
        </w:rPr>
      </w:pPr>
      <w:r>
        <w:rPr>
          <w:rFonts w:ascii="Times New Roman" w:hAnsi="Times New Roman"/>
          <w:noProof/>
          <w:sz w:val="20"/>
          <w:szCs w:val="20"/>
        </w:rPr>
        <w:t>* kennzeichnet statistisch signifikante Veränderungen.</w:t>
      </w:r>
    </w:p>
    <w:p w:rsidR="00B9782B" w:rsidRDefault="0062365E">
      <w:pPr>
        <w:spacing w:after="0" w:line="240" w:lineRule="auto"/>
        <w:jc w:val="both"/>
        <w:rPr>
          <w:rFonts w:ascii="Times New Roman" w:hAnsi="Times New Roman" w:cs="Times New Roman"/>
          <w:noProof/>
          <w:sz w:val="20"/>
          <w:szCs w:val="20"/>
        </w:rPr>
      </w:pPr>
      <w:r>
        <w:rPr>
          <w:rFonts w:ascii="Times New Roman" w:hAnsi="Times New Roman"/>
          <w:noProof/>
          <w:sz w:val="20"/>
          <w:szCs w:val="20"/>
        </w:rPr>
        <w:t xml:space="preserve">Anmerkung: EU (nicht gewichtet) und ER (nicht gewichtet) beziehen sich auf die ungewichteten </w:t>
      </w:r>
      <w:r>
        <w:rPr>
          <w:rFonts w:ascii="Times New Roman" w:hAnsi="Times New Roman"/>
          <w:noProof/>
          <w:sz w:val="20"/>
          <w:szCs w:val="20"/>
        </w:rPr>
        <w:t>Durchschnittswerte für die EU bzw. das Euro-Währungsgebiet. Am 2. Dezember 2019 liegen keine Schätzungen der statistischen Signifikanz von Änderungen der AKE-Indikatoren und der SILC-basierten Indikatoren vor.</w:t>
      </w:r>
      <w:r>
        <w:rPr>
          <w:rFonts w:ascii="Times New Roman" w:hAnsi="Times New Roman"/>
          <w:noProof/>
          <w:sz w:val="20"/>
          <w:szCs w:val="20"/>
        </w:rPr>
        <w:tab/>
      </w: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Kennzeichnungen – b: Zeitreihenbrüche; e: ges</w:t>
      </w:r>
      <w:r>
        <w:rPr>
          <w:rFonts w:ascii="Times New Roman" w:hAnsi="Times New Roman"/>
          <w:noProof/>
          <w:sz w:val="20"/>
          <w:szCs w:val="20"/>
        </w:rPr>
        <w:t>chätzt; p: vorläufig; u: von geringer Zuverlässigkeit (geringe Anzahl von Beobachtungen).</w:t>
      </w:r>
    </w:p>
    <w:p w:rsidR="00B9782B" w:rsidRDefault="00B9782B">
      <w:pPr>
        <w:rPr>
          <w:rFonts w:ascii="Times New Roman" w:hAnsi="Times New Roman" w:cs="Times New Roman"/>
          <w:b/>
          <w:noProof/>
          <w:sz w:val="24"/>
          <w:szCs w:val="24"/>
        </w:rPr>
      </w:pPr>
    </w:p>
    <w:p w:rsidR="00B9782B" w:rsidRDefault="0062365E">
      <w:pPr>
        <w:rPr>
          <w:noProof/>
        </w:rPr>
      </w:pPr>
      <w:r>
        <w:rPr>
          <w:noProof/>
        </w:rPr>
        <w:br w:type="page"/>
      </w:r>
    </w:p>
    <w:p w:rsidR="00B9782B" w:rsidRDefault="0062365E">
      <w:pPr>
        <w:rPr>
          <w:rFonts w:ascii="Times New Roman" w:hAnsi="Times New Roman" w:cs="Times New Roman"/>
          <w:b/>
          <w:noProof/>
          <w:sz w:val="24"/>
          <w:szCs w:val="24"/>
        </w:rPr>
      </w:pPr>
      <w:r>
        <w:rPr>
          <w:rFonts w:ascii="Times New Roman" w:hAnsi="Times New Roman"/>
          <w:b/>
          <w:noProof/>
        </w:rPr>
        <w:t>Anhang 2 (Fortsetzung). Leitindikatoren des sozialpolitischen Scoreboards, Veränderungen und Abstand zum EU-Durchschnitt</w:t>
      </w:r>
    </w:p>
    <w:tbl>
      <w:tblPr>
        <w:tblW w:w="9356" w:type="dxa"/>
        <w:tblInd w:w="108" w:type="dxa"/>
        <w:tblLayout w:type="fixed"/>
        <w:tblCellMar>
          <w:left w:w="0" w:type="dxa"/>
          <w:right w:w="0" w:type="dxa"/>
        </w:tblCellMar>
        <w:tblLook w:val="04A0" w:firstRow="1" w:lastRow="0" w:firstColumn="1" w:lastColumn="0" w:noHBand="0" w:noVBand="1"/>
      </w:tblPr>
      <w:tblGrid>
        <w:gridCol w:w="709"/>
        <w:gridCol w:w="564"/>
        <w:gridCol w:w="565"/>
        <w:gridCol w:w="565"/>
        <w:gridCol w:w="564"/>
        <w:gridCol w:w="565"/>
        <w:gridCol w:w="565"/>
        <w:gridCol w:w="565"/>
        <w:gridCol w:w="564"/>
        <w:gridCol w:w="565"/>
        <w:gridCol w:w="565"/>
        <w:gridCol w:w="565"/>
        <w:gridCol w:w="564"/>
        <w:gridCol w:w="565"/>
        <w:gridCol w:w="636"/>
        <w:gridCol w:w="670"/>
      </w:tblGrid>
      <w:tr w:rsidR="00B9782B">
        <w:trPr>
          <w:trHeight w:val="330"/>
        </w:trPr>
        <w:tc>
          <w:tcPr>
            <w:tcW w:w="709" w:type="dxa"/>
            <w:vMerge w:val="restart"/>
            <w:tcBorders>
              <w:top w:val="single" w:sz="4" w:space="0" w:color="auto"/>
              <w:left w:val="single" w:sz="4" w:space="0" w:color="auto"/>
              <w:bottom w:val="nil"/>
              <w:right w:val="single" w:sz="4" w:space="0" w:color="auto"/>
            </w:tcBorders>
            <w:shd w:val="clear" w:color="000000" w:fill="EEECE1"/>
            <w:noWrap/>
            <w:vAlign w:val="bottom"/>
            <w:hideMark/>
          </w:tcPr>
          <w:p w:rsidR="00B9782B" w:rsidRDefault="00B9782B">
            <w:pPr>
              <w:spacing w:after="0" w:line="240" w:lineRule="auto"/>
              <w:jc w:val="center"/>
              <w:rPr>
                <w:rFonts w:ascii="Arial Narrow" w:eastAsia="Times New Roman" w:hAnsi="Arial Narrow" w:cs="Calibri"/>
                <w:noProof/>
                <w:color w:val="000000"/>
                <w:sz w:val="16"/>
                <w:szCs w:val="16"/>
              </w:rPr>
            </w:pPr>
          </w:p>
        </w:tc>
        <w:tc>
          <w:tcPr>
            <w:tcW w:w="8647" w:type="dxa"/>
            <w:gridSpan w:val="15"/>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Dynamische Arbeitsmärkte und faire Arbeit</w:t>
            </w:r>
            <w:r>
              <w:rPr>
                <w:rFonts w:ascii="Arial Narrow" w:hAnsi="Arial Narrow"/>
                <w:b/>
                <w:bCs/>
                <w:noProof/>
                <w:sz w:val="16"/>
                <w:szCs w:val="16"/>
              </w:rPr>
              <w:t>sbedingungen</w:t>
            </w:r>
          </w:p>
        </w:tc>
      </w:tr>
      <w:tr w:rsidR="00B9782B">
        <w:trPr>
          <w:trHeight w:val="976"/>
        </w:trPr>
        <w:tc>
          <w:tcPr>
            <w:tcW w:w="709" w:type="dxa"/>
            <w:vMerge/>
            <w:tcBorders>
              <w:top w:val="single" w:sz="4" w:space="0" w:color="auto"/>
              <w:left w:val="single" w:sz="4" w:space="0" w:color="auto"/>
              <w:bottom w:val="nil"/>
              <w:right w:val="single" w:sz="4" w:space="0" w:color="auto"/>
            </w:tcBorders>
            <w:vAlign w:val="center"/>
            <w:hideMark/>
          </w:tcPr>
          <w:p w:rsidR="00B9782B" w:rsidRDefault="00B9782B">
            <w:pPr>
              <w:spacing w:after="0" w:line="240" w:lineRule="auto"/>
              <w:rPr>
                <w:rFonts w:ascii="Arial Narrow" w:eastAsia="Times New Roman" w:hAnsi="Arial Narrow" w:cs="Calibri"/>
                <w:noProof/>
                <w:color w:val="000000"/>
                <w:sz w:val="16"/>
                <w:szCs w:val="16"/>
              </w:rPr>
            </w:pP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Beschäftigungsquote </w:t>
            </w:r>
            <w:r>
              <w:rPr>
                <w:rFonts w:ascii="Arial Narrow" w:hAnsi="Arial Narrow"/>
                <w:b/>
                <w:bCs/>
                <w:noProof/>
                <w:sz w:val="16"/>
                <w:szCs w:val="16"/>
              </w:rPr>
              <w:br/>
              <w:t>(% der Bevölkerung im Alter von 20–64 Jahren)</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Arbeitslosenquote </w:t>
            </w:r>
            <w:r>
              <w:rPr>
                <w:rFonts w:ascii="Arial Narrow" w:hAnsi="Arial Narrow"/>
                <w:b/>
                <w:bCs/>
                <w:noProof/>
                <w:sz w:val="16"/>
                <w:szCs w:val="16"/>
              </w:rPr>
              <w:br/>
              <w:t xml:space="preserve">(% der Erwerbsbevölkerung im Alter von 15–74 Jahren) </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Langzeitarbeitslosenquote (% der Erwerbsbevölkerung im Alter von 15–74 Jahren)</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Reales verfügbares Bruttoeinkommen der Haushalte pro Kopf </w:t>
            </w:r>
            <w:r>
              <w:rPr>
                <w:rFonts w:ascii="Arial Narrow" w:hAnsi="Arial Narrow"/>
                <w:b/>
                <w:bCs/>
                <w:noProof/>
                <w:sz w:val="16"/>
                <w:szCs w:val="16"/>
              </w:rPr>
              <w:br/>
              <w:t>(2008 = 100)</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Nettoeinkommen </w:t>
            </w:r>
            <w:r>
              <w:rPr>
                <w:rFonts w:ascii="Arial Narrow" w:hAnsi="Arial Narrow"/>
                <w:b/>
                <w:bCs/>
                <w:noProof/>
                <w:sz w:val="16"/>
                <w:szCs w:val="16"/>
              </w:rPr>
              <w:br/>
              <w:t xml:space="preserve">eines alleinstehenden Vollzeitbeschäftigten </w:t>
            </w:r>
            <w:r>
              <w:rPr>
                <w:rFonts w:ascii="Arial Narrow" w:hAnsi="Arial Narrow"/>
                <w:b/>
                <w:bCs/>
                <w:noProof/>
                <w:sz w:val="16"/>
                <w:szCs w:val="16"/>
              </w:rPr>
              <w:br/>
              <w:t>mit durchschnittlichem Einkommen</w:t>
            </w:r>
          </w:p>
        </w:tc>
      </w:tr>
      <w:tr w:rsidR="00B9782B">
        <w:trPr>
          <w:trHeight w:val="312"/>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Jahr</w:t>
            </w:r>
          </w:p>
        </w:tc>
        <w:tc>
          <w:tcPr>
            <w:tcW w:w="169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c>
          <w:tcPr>
            <w:tcW w:w="1694"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c>
          <w:tcPr>
            <w:tcW w:w="1871"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2018</w:t>
            </w:r>
          </w:p>
        </w:tc>
      </w:tr>
      <w:tr w:rsidR="00B9782B">
        <w:trPr>
          <w:trHeight w:val="1320"/>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noProof/>
                <w:color w:val="000000"/>
                <w:sz w:val="16"/>
                <w:szCs w:val="16"/>
              </w:rPr>
            </w:pPr>
            <w:r>
              <w:rPr>
                <w:rFonts w:ascii="Arial Narrow" w:hAnsi="Arial Narrow"/>
                <w:noProof/>
                <w:sz w:val="16"/>
                <w:szCs w:val="16"/>
              </w:rPr>
              <w:t> </w:t>
            </w:r>
          </w:p>
        </w:tc>
        <w:tc>
          <w:tcPr>
            <w:tcW w:w="564"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Abstand zum </w:t>
            </w:r>
            <w:r>
              <w:rPr>
                <w:rFonts w:ascii="Arial Narrow" w:hAnsi="Arial Narrow"/>
                <w:b/>
                <w:bCs/>
                <w:noProof/>
                <w:sz w:val="16"/>
                <w:szCs w:val="16"/>
              </w:rPr>
              <w:t>EU-Durchschnitt</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64"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4"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w:t>
            </w:r>
            <w:r>
              <w:rPr>
                <w:rFonts w:ascii="Arial Narrow" w:hAnsi="Arial Narrow"/>
                <w:b/>
                <w:bCs/>
                <w:noProof/>
                <w:sz w:val="16"/>
                <w:szCs w:val="16"/>
              </w:rPr>
              <w:t xml:space="preserve"> im Jahresvergleich für die EU</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564"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Jahresvergleich für die Mitgliedstaaten gegenüber den </w:t>
            </w:r>
          </w:p>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Veränderungen im Jahresvergleich für die EU</w:t>
            </w:r>
          </w:p>
        </w:tc>
        <w:tc>
          <w:tcPr>
            <w:tcW w:w="56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63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w:t>
            </w:r>
            <w:r>
              <w:rPr>
                <w:rFonts w:ascii="Arial Narrow" w:hAnsi="Arial Narrow"/>
                <w:b/>
                <w:bCs/>
                <w:noProof/>
                <w:sz w:val="16"/>
                <w:szCs w:val="16"/>
              </w:rPr>
              <w:t>chnitt</w:t>
            </w:r>
          </w:p>
        </w:tc>
        <w:tc>
          <w:tcPr>
            <w:tcW w:w="670"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EU28</w:t>
            </w:r>
          </w:p>
        </w:tc>
        <w:tc>
          <w:tcPr>
            <w:tcW w:w="564"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4"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ER19</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EU (nicht gewichtet)</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B9782B">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ER (nicht gewichtet)</w:t>
            </w:r>
          </w:p>
        </w:tc>
        <w:tc>
          <w:tcPr>
            <w:tcW w:w="56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564"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636" w:type="dxa"/>
            <w:tcBorders>
              <w:top w:val="nil"/>
              <w:left w:val="nil"/>
              <w:bottom w:val="nil"/>
              <w:right w:val="nil"/>
            </w:tcBorders>
            <w:shd w:val="clear" w:color="auto" w:fill="auto"/>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1347</w:t>
            </w:r>
          </w:p>
        </w:tc>
        <w:tc>
          <w:tcPr>
            <w:tcW w:w="670"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b</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3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4993</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21,1</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-10211</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-5318</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 b</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6,6</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6455</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7270</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6,2</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-4440</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11461</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-37,4</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-1855</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-11,7</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2540</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4409</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-6803</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-14,8</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1131</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-17,8</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-9331</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3,1</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12,0</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-8072</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12893</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-7676</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 </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1147</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7893</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7685</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21,3</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-5961</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-4615</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24,3</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-9784</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-5208</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-7650</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3994</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B9782B">
        <w:trPr>
          <w:trHeight w:val="227"/>
        </w:trPr>
        <w:tc>
          <w:tcPr>
            <w:tcW w:w="709"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 p</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 p</w:t>
            </w:r>
          </w:p>
        </w:tc>
        <w:tc>
          <w:tcPr>
            <w:tcW w:w="564"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56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9,9</w:t>
            </w:r>
          </w:p>
        </w:tc>
        <w:tc>
          <w:tcPr>
            <w:tcW w:w="564"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63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5589</w:t>
            </w:r>
          </w:p>
        </w:tc>
        <w:tc>
          <w:tcPr>
            <w:tcW w:w="670"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r>
      <w:tr w:rsidR="00B9782B">
        <w:trPr>
          <w:trHeight w:val="227"/>
        </w:trPr>
        <w:tc>
          <w:tcPr>
            <w:tcW w:w="709"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56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c>
          <w:tcPr>
            <w:tcW w:w="56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56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56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564"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56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564"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56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63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9465</w:t>
            </w:r>
          </w:p>
        </w:tc>
        <w:tc>
          <w:tcPr>
            <w:tcW w:w="670"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r>
    </w:tbl>
    <w:p w:rsidR="00B9782B" w:rsidRDefault="00B9782B">
      <w:pPr>
        <w:spacing w:after="0" w:line="240" w:lineRule="auto"/>
        <w:rPr>
          <w:rFonts w:ascii="Times New Roman" w:hAnsi="Times New Roman" w:cs="Times New Roman"/>
          <w:noProof/>
          <w:sz w:val="20"/>
          <w:szCs w:val="20"/>
        </w:rPr>
      </w:pP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 OECD.</w:t>
      </w:r>
    </w:p>
    <w:p w:rsidR="00B9782B" w:rsidRDefault="0062365E">
      <w:pPr>
        <w:pStyle w:val="FootnoteText"/>
        <w:jc w:val="both"/>
        <w:rPr>
          <w:rFonts w:ascii="Times New Roman" w:hAnsi="Times New Roman" w:cs="Times New Roman"/>
          <w:noProof/>
        </w:rPr>
      </w:pPr>
      <w:r>
        <w:rPr>
          <w:rFonts w:ascii="Times New Roman" w:hAnsi="Times New Roman"/>
          <w:noProof/>
        </w:rPr>
        <w:t>Anmerkung: EU (nicht gewichtet) und ER (nicht gewichtet) beziehen sich auf die ungewichteten Durchschnittswe</w:t>
      </w:r>
      <w:r>
        <w:rPr>
          <w:rFonts w:ascii="Times New Roman" w:hAnsi="Times New Roman"/>
          <w:noProof/>
        </w:rPr>
        <w:t>rte für die EU bzw. das Euro-Währungsgebiet. Das verfügbare Bruttoeinkommen der Haushalte pro Kopf bemisst sich nach den „unbereinigten Einkünften“ (d. h. ohne soziale Sachtransfers) ohne Berichtigung nach Kaufkraftstandards. Das Nettoeinkommen eines allei</w:t>
      </w:r>
      <w:r>
        <w:rPr>
          <w:rFonts w:ascii="Times New Roman" w:hAnsi="Times New Roman"/>
          <w:noProof/>
        </w:rPr>
        <w:t>nstehenden Vollzeitbeschäftigten mit Durchschnittslohn sollte in Verbindung mit anderen Indikatoren wie der Quote für Armut trotz Erwerbstätigkeit, dem Verhältnis zwischen dem fünften und dem ersten Zehntel der Lohnverteilung (D5/D1) und anderen einschlägi</w:t>
      </w:r>
      <w:r>
        <w:rPr>
          <w:rFonts w:ascii="Times New Roman" w:hAnsi="Times New Roman"/>
          <w:noProof/>
        </w:rPr>
        <w:t>gen Indikatoren des gemeinsamen Bewertungsrahmens und der Anzeiger für die Leistungen im Beschäftigungsbereich und im Bereich des Sozialschutzes gelesen und ausgelegt werden. Für diesen Indikator wird der Abstand zum EU-Durchschnitt in Kaufkraftstandards (</w:t>
      </w:r>
      <w:r>
        <w:rPr>
          <w:rFonts w:ascii="Times New Roman" w:hAnsi="Times New Roman"/>
          <w:noProof/>
        </w:rPr>
        <w:t>KKS) ausgedrückt, während die Veränderungen als reale Werte in der nationalen Währung angegeben werden. Zum Ausgleich kurzfristiger Schwankungen wird sowohl für die Werte als auch für die Veränderungen jeweils ein Dreijahresdurchschnitt verwendet. Am 2. De</w:t>
      </w:r>
      <w:r>
        <w:rPr>
          <w:rFonts w:ascii="Times New Roman" w:hAnsi="Times New Roman"/>
          <w:noProof/>
        </w:rPr>
        <w:t>zember 2019 liegen keine Schätzungen der statistischen Signifikanz von Änderungen der AKE-Indikatoren und der SILC-basierten Indikatoren vor.</w:t>
      </w:r>
      <w:r>
        <w:rPr>
          <w:rFonts w:ascii="Times New Roman" w:hAnsi="Times New Roman"/>
          <w:noProof/>
        </w:rPr>
        <w:tab/>
      </w:r>
    </w:p>
    <w:p w:rsidR="00B9782B" w:rsidRDefault="0062365E">
      <w:pPr>
        <w:pStyle w:val="FootnoteText"/>
        <w:jc w:val="both"/>
        <w:rPr>
          <w:rFonts w:ascii="Times New Roman" w:hAnsi="Times New Roman" w:cs="Times New Roman"/>
          <w:noProof/>
        </w:rPr>
      </w:pPr>
      <w:r>
        <w:rPr>
          <w:rFonts w:ascii="Times New Roman" w:hAnsi="Times New Roman"/>
          <w:noProof/>
        </w:rPr>
        <w:t>Kennzeichnungen – b: Zeitreihenbrüche; e: geschätzt; p: vorläufig; u: von geringer Zuverlässigkeit (geringe Anzah</w:t>
      </w:r>
      <w:r>
        <w:rPr>
          <w:rFonts w:ascii="Times New Roman" w:hAnsi="Times New Roman"/>
          <w:noProof/>
        </w:rPr>
        <w:t>l von Beobachtungen).</w:t>
      </w:r>
    </w:p>
    <w:p w:rsidR="00B9782B" w:rsidRDefault="0062365E">
      <w:pPr>
        <w:rPr>
          <w:noProof/>
        </w:rPr>
      </w:pPr>
      <w:r>
        <w:rPr>
          <w:noProof/>
        </w:rPr>
        <w:br w:type="page"/>
      </w:r>
    </w:p>
    <w:p w:rsidR="00B9782B" w:rsidRDefault="0062365E">
      <w:pPr>
        <w:rPr>
          <w:rFonts w:ascii="Times New Roman" w:hAnsi="Times New Roman" w:cs="Times New Roman"/>
          <w:b/>
          <w:noProof/>
          <w:sz w:val="24"/>
          <w:szCs w:val="24"/>
        </w:rPr>
      </w:pPr>
      <w:r>
        <w:rPr>
          <w:rFonts w:ascii="Times New Roman" w:hAnsi="Times New Roman"/>
          <w:b/>
          <w:noProof/>
        </w:rPr>
        <w:t>Anhang 2 (Fortsetzung). Leitindikatoren des sozialpolitischen Scoreboards, Veränderungen und Abstand zum EU-Durchschnitt</w:t>
      </w:r>
    </w:p>
    <w:tbl>
      <w:tblPr>
        <w:tblW w:w="9214" w:type="dxa"/>
        <w:tblInd w:w="108" w:type="dxa"/>
        <w:tblLayout w:type="fixed"/>
        <w:tblLook w:val="04A0" w:firstRow="1" w:lastRow="0" w:firstColumn="1" w:lastColumn="0" w:noHBand="0" w:noVBand="1"/>
      </w:tblPr>
      <w:tblGrid>
        <w:gridCol w:w="581"/>
        <w:gridCol w:w="716"/>
        <w:gridCol w:w="717"/>
        <w:gridCol w:w="821"/>
        <w:gridCol w:w="612"/>
        <w:gridCol w:w="716"/>
        <w:gridCol w:w="799"/>
        <w:gridCol w:w="635"/>
        <w:gridCol w:w="716"/>
        <w:gridCol w:w="775"/>
        <w:gridCol w:w="658"/>
        <w:gridCol w:w="717"/>
        <w:gridCol w:w="751"/>
      </w:tblGrid>
      <w:tr w:rsidR="00B9782B">
        <w:trPr>
          <w:trHeight w:val="312"/>
        </w:trPr>
        <w:tc>
          <w:tcPr>
            <w:tcW w:w="581" w:type="dxa"/>
            <w:vMerge w:val="restart"/>
            <w:tcBorders>
              <w:top w:val="single" w:sz="4" w:space="0" w:color="auto"/>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jc w:val="center"/>
              <w:rPr>
                <w:rFonts w:ascii="Arial Narrow" w:eastAsia="Times New Roman" w:hAnsi="Arial Narrow" w:cs="Calibri"/>
                <w:noProof/>
                <w:color w:val="000000"/>
                <w:sz w:val="16"/>
                <w:szCs w:val="16"/>
              </w:rPr>
            </w:pPr>
            <w:r>
              <w:rPr>
                <w:rFonts w:ascii="Arial Narrow" w:hAnsi="Arial Narrow"/>
                <w:noProof/>
                <w:sz w:val="16"/>
                <w:szCs w:val="16"/>
              </w:rPr>
              <w:t> </w:t>
            </w:r>
          </w:p>
        </w:tc>
        <w:tc>
          <w:tcPr>
            <w:tcW w:w="8633" w:type="dxa"/>
            <w:gridSpan w:val="12"/>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Öffentliche Unterstützung / Sozialschutz und Inklusion</w:t>
            </w:r>
          </w:p>
        </w:tc>
      </w:tr>
      <w:tr w:rsidR="00B9782B">
        <w:trPr>
          <w:trHeight w:val="1131"/>
        </w:trPr>
        <w:tc>
          <w:tcPr>
            <w:tcW w:w="581" w:type="dxa"/>
            <w:vMerge/>
            <w:tcBorders>
              <w:top w:val="single" w:sz="4" w:space="0" w:color="auto"/>
              <w:left w:val="single" w:sz="4" w:space="0" w:color="auto"/>
              <w:bottom w:val="nil"/>
              <w:right w:val="single" w:sz="4" w:space="0" w:color="auto"/>
            </w:tcBorders>
            <w:vAlign w:val="center"/>
            <w:hideMark/>
          </w:tcPr>
          <w:p w:rsidR="00B9782B" w:rsidRDefault="00B9782B">
            <w:pPr>
              <w:spacing w:after="0" w:line="240" w:lineRule="auto"/>
              <w:rPr>
                <w:rFonts w:ascii="Arial Narrow" w:eastAsia="Times New Roman" w:hAnsi="Arial Narrow" w:cs="Calibri"/>
                <w:noProof/>
                <w:color w:val="000000"/>
                <w:sz w:val="16"/>
                <w:szCs w:val="16"/>
              </w:rPr>
            </w:pPr>
          </w:p>
        </w:tc>
        <w:tc>
          <w:tcPr>
            <w:tcW w:w="225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 xml:space="preserve">Auswirkungen sozialer Transferleistungen </w:t>
            </w:r>
            <w:r>
              <w:rPr>
                <w:rFonts w:ascii="Arial Narrow" w:hAnsi="Arial Narrow"/>
                <w:b/>
                <w:bCs/>
                <w:noProof/>
                <w:sz w:val="16"/>
                <w:szCs w:val="16"/>
              </w:rPr>
              <w:t>(ausgenommen Rentenzahlungen) bei der Armutsbekämpfung (%)</w:t>
            </w:r>
          </w:p>
        </w:tc>
        <w:tc>
          <w:tcPr>
            <w:tcW w:w="2127"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Kinder unter 3 Jahren in formaler Kinderbetreuung (%)</w:t>
            </w:r>
          </w:p>
        </w:tc>
        <w:tc>
          <w:tcPr>
            <w:tcW w:w="2126"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Nach eigenen Angaben nicht gedeckter Bedarf an ärztlicher Versorgung (%)</w:t>
            </w:r>
          </w:p>
        </w:tc>
        <w:tc>
          <w:tcPr>
            <w:tcW w:w="2126"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color w:val="000000"/>
                <w:sz w:val="16"/>
                <w:szCs w:val="16"/>
              </w:rPr>
            </w:pPr>
            <w:r>
              <w:rPr>
                <w:rFonts w:ascii="Arial Narrow" w:hAnsi="Arial Narrow"/>
                <w:b/>
                <w:bCs/>
                <w:noProof/>
                <w:sz w:val="16"/>
                <w:szCs w:val="16"/>
              </w:rPr>
              <w:t>Personen mit grundlegender oder mehr als grundlegender digitaler Kompe</w:t>
            </w:r>
            <w:r>
              <w:rPr>
                <w:rFonts w:ascii="Arial Narrow" w:hAnsi="Arial Narrow"/>
                <w:b/>
                <w:bCs/>
                <w:noProof/>
                <w:sz w:val="16"/>
                <w:szCs w:val="16"/>
              </w:rPr>
              <w:t>tenz (% der Bevölkerung im Alter von 16-74 Jahren)</w:t>
            </w:r>
          </w:p>
        </w:tc>
      </w:tr>
      <w:tr w:rsidR="00B9782B">
        <w:trPr>
          <w:trHeight w:val="312"/>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Jahr</w:t>
            </w:r>
          </w:p>
        </w:tc>
        <w:tc>
          <w:tcPr>
            <w:tcW w:w="2254" w:type="dxa"/>
            <w:gridSpan w:val="3"/>
            <w:tcBorders>
              <w:top w:val="single" w:sz="4" w:space="0" w:color="auto"/>
              <w:left w:val="single" w:sz="4" w:space="0" w:color="auto"/>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c>
          <w:tcPr>
            <w:tcW w:w="2127"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2016</w:t>
            </w:r>
          </w:p>
        </w:tc>
        <w:tc>
          <w:tcPr>
            <w:tcW w:w="2126"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c>
          <w:tcPr>
            <w:tcW w:w="2126" w:type="dxa"/>
            <w:gridSpan w:val="3"/>
            <w:tcBorders>
              <w:top w:val="single" w:sz="4" w:space="0" w:color="auto"/>
              <w:left w:val="nil"/>
              <w:bottom w:val="single" w:sz="4" w:space="0" w:color="auto"/>
              <w:right w:val="single" w:sz="4" w:space="0" w:color="000000"/>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2017</w:t>
            </w:r>
          </w:p>
        </w:tc>
      </w:tr>
      <w:tr w:rsidR="00B9782B">
        <w:trPr>
          <w:trHeight w:val="1320"/>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noProof/>
                <w:color w:val="000000"/>
                <w:sz w:val="16"/>
                <w:szCs w:val="16"/>
              </w:rPr>
            </w:pPr>
            <w:r>
              <w:rPr>
                <w:rFonts w:ascii="Arial Narrow" w:hAnsi="Arial Narrow"/>
                <w:noProof/>
                <w:sz w:val="16"/>
                <w:szCs w:val="16"/>
              </w:rPr>
              <w:t> </w:t>
            </w:r>
          </w:p>
        </w:tc>
        <w:tc>
          <w:tcPr>
            <w:tcW w:w="716" w:type="dxa"/>
            <w:tcBorders>
              <w:top w:val="nil"/>
              <w:left w:val="single" w:sz="4" w:space="0" w:color="auto"/>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7"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821"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c>
          <w:tcPr>
            <w:tcW w:w="612"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799"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Jahresvergleich für die EU</w:t>
            </w:r>
          </w:p>
        </w:tc>
        <w:tc>
          <w:tcPr>
            <w:tcW w:w="63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6"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775"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 xml:space="preserve">Veränderung im </w:t>
            </w:r>
            <w:r>
              <w:rPr>
                <w:rFonts w:ascii="Arial Narrow" w:hAnsi="Arial Narrow"/>
                <w:b/>
                <w:bCs/>
                <w:noProof/>
                <w:sz w:val="16"/>
                <w:szCs w:val="16"/>
              </w:rPr>
              <w:t>Jahresvergleich für die Mitgliedstaaten gegenüber den Veränderungen im Jahresvergleich für die EU</w:t>
            </w:r>
          </w:p>
        </w:tc>
        <w:tc>
          <w:tcPr>
            <w:tcW w:w="658"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w:t>
            </w:r>
          </w:p>
        </w:tc>
        <w:tc>
          <w:tcPr>
            <w:tcW w:w="717"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Abstand zum EU-Durchschnitt</w:t>
            </w:r>
          </w:p>
        </w:tc>
        <w:tc>
          <w:tcPr>
            <w:tcW w:w="751" w:type="dxa"/>
            <w:tcBorders>
              <w:top w:val="nil"/>
              <w:left w:val="nil"/>
              <w:bottom w:val="single" w:sz="4" w:space="0" w:color="auto"/>
              <w:right w:val="single" w:sz="4" w:space="0" w:color="auto"/>
            </w:tcBorders>
            <w:shd w:val="clear" w:color="000000" w:fill="EEECE1"/>
            <w:vAlign w:val="center"/>
            <w:hideMark/>
          </w:tcPr>
          <w:p w:rsidR="00B9782B" w:rsidRDefault="0062365E">
            <w:pPr>
              <w:spacing w:after="0" w:line="240" w:lineRule="auto"/>
              <w:jc w:val="center"/>
              <w:rPr>
                <w:rFonts w:ascii="Arial Narrow" w:eastAsia="Times New Roman" w:hAnsi="Arial Narrow" w:cs="Calibri"/>
                <w:b/>
                <w:bCs/>
                <w:noProof/>
                <w:sz w:val="16"/>
                <w:szCs w:val="16"/>
              </w:rPr>
            </w:pPr>
            <w:r>
              <w:rPr>
                <w:rFonts w:ascii="Arial Narrow" w:hAnsi="Arial Narrow"/>
                <w:b/>
                <w:bCs/>
                <w:noProof/>
                <w:sz w:val="16"/>
                <w:szCs w:val="16"/>
              </w:rPr>
              <w:t>Veränderung im Jahresvergleich für die Mitgliedstaaten gegenüber den Veränderungen im Jahresverglei</w:t>
            </w:r>
            <w:r>
              <w:rPr>
                <w:rFonts w:ascii="Arial Narrow" w:hAnsi="Arial Narrow"/>
                <w:b/>
                <w:bCs/>
                <w:noProof/>
                <w:sz w:val="16"/>
                <w:szCs w:val="16"/>
              </w:rPr>
              <w:t>ch für die EU</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EU28</w:t>
            </w:r>
          </w:p>
        </w:tc>
        <w:tc>
          <w:tcPr>
            <w:tcW w:w="71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7"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821"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12"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799"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35"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75"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58"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single" w:sz="4" w:space="0" w:color="auto"/>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51" w:type="dxa"/>
            <w:tcBorders>
              <w:top w:val="single" w:sz="4" w:space="0" w:color="auto"/>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ER19</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EU (nicht gewichtet)</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r>
      <w:tr w:rsidR="00B9782B">
        <w:trPr>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ER (nicht gewichtet)</w:t>
            </w:r>
          </w:p>
        </w:tc>
        <w:tc>
          <w:tcPr>
            <w:tcW w:w="71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821"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12"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1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799"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3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7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5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51"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BE</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20,6</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BG</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5,6</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-8,6</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6,8</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-17,2</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CZ</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-3,5</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-24,4</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DK</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-3,7</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13,3</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29,8</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-9,8</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DE</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-3,6</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EE</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-7,3</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-5,1</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IE</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p</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17,8</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 p</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4,3</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 p</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EL</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4,4</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-13,8</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4,9</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20,4</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7,5</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19,1</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ES</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4,7</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17,1</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FR</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10,4</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16,6</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HR</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-15,6</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IT</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-12,4</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r>
              <w:rPr>
                <w:rFonts w:ascii="Arial Narrow" w:hAnsi="Arial Narrow"/>
                <w:noProof/>
                <w:sz w:val="16"/>
                <w:szCs w:val="16"/>
              </w:rPr>
              <w:t>7,7</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CY</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LV</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-14,9</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-6,0</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LT</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-11,1</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-12,6</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LU</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-0,6</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27,1</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HU</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14,8</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-16,9</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MT</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-5,8</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NL</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5,0</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-4,8</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23,4</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w:t>
            </w:r>
            <w:r>
              <w:rPr>
                <w:rFonts w:ascii="Arial Narrow" w:hAnsi="Arial Narrow"/>
                <w:noProof/>
                <w:sz w:val="16"/>
                <w:szCs w:val="16"/>
              </w:rPr>
              <w:t>6,1</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AT</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-13,4</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PL</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6,3</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-22,5</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PT</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-10,2</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16,8</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-7,4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RO</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-17,9</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-20,2</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2,1</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SI</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-1,4</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9,1</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1,5</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12,9</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-0,4</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-3,4</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-0,3</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SK</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-2,9</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0,8</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-32,0</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-0,5</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-0,2</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0,0</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FI</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19,7</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3,9</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3,8</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2,6</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0,9</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18,6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r>
      <w:tr w:rsidR="00B9782B">
        <w:trPr>
          <w:trHeight w:val="227"/>
        </w:trPr>
        <w:tc>
          <w:tcPr>
            <w:tcW w:w="581" w:type="dxa"/>
            <w:tcBorders>
              <w:top w:val="nil"/>
              <w:left w:val="single" w:sz="4" w:space="0" w:color="auto"/>
              <w:bottom w:val="nil"/>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SE</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-2,8</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9,2</w:t>
            </w:r>
          </w:p>
        </w:tc>
        <w:tc>
          <w:tcPr>
            <w:tcW w:w="82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-2,4</w:t>
            </w:r>
          </w:p>
        </w:tc>
        <w:tc>
          <w:tcPr>
            <w:tcW w:w="612"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-3,3</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16,0</w:t>
            </w:r>
          </w:p>
        </w:tc>
        <w:tc>
          <w:tcPr>
            <w:tcW w:w="799"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-4,6</w:t>
            </w:r>
          </w:p>
        </w:tc>
        <w:tc>
          <w:tcPr>
            <w:tcW w:w="635"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716"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w:t>
            </w:r>
          </w:p>
        </w:tc>
        <w:tc>
          <w:tcPr>
            <w:tcW w:w="775"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-0,1</w:t>
            </w:r>
          </w:p>
        </w:tc>
        <w:tc>
          <w:tcPr>
            <w:tcW w:w="658"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8,0</w:t>
            </w:r>
          </w:p>
        </w:tc>
        <w:tc>
          <w:tcPr>
            <w:tcW w:w="717" w:type="dxa"/>
            <w:tcBorders>
              <w:top w:val="nil"/>
              <w:left w:val="nil"/>
              <w:bottom w:val="nil"/>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19,6</w:t>
            </w:r>
          </w:p>
        </w:tc>
        <w:tc>
          <w:tcPr>
            <w:tcW w:w="751" w:type="dxa"/>
            <w:tcBorders>
              <w:top w:val="nil"/>
              <w:left w:val="nil"/>
              <w:bottom w:val="nil"/>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6,7</w:t>
            </w:r>
          </w:p>
        </w:tc>
      </w:tr>
      <w:tr w:rsidR="00B9782B">
        <w:trPr>
          <w:trHeight w:val="227"/>
        </w:trPr>
        <w:tc>
          <w:tcPr>
            <w:tcW w:w="581" w:type="dxa"/>
            <w:tcBorders>
              <w:top w:val="nil"/>
              <w:left w:val="single" w:sz="4" w:space="0" w:color="auto"/>
              <w:bottom w:val="single" w:sz="4" w:space="0" w:color="auto"/>
              <w:right w:val="single" w:sz="4" w:space="0" w:color="auto"/>
            </w:tcBorders>
            <w:shd w:val="clear" w:color="000000" w:fill="EEECE1"/>
            <w:noWrap/>
            <w:vAlign w:val="bottom"/>
            <w:hideMark/>
          </w:tcPr>
          <w:p w:rsidR="00B9782B" w:rsidRDefault="0062365E">
            <w:pPr>
              <w:spacing w:after="0" w:line="240" w:lineRule="auto"/>
              <w:rPr>
                <w:rFonts w:ascii="Arial Narrow" w:eastAsia="Times New Roman" w:hAnsi="Arial Narrow" w:cs="Calibri"/>
                <w:b/>
                <w:bCs/>
                <w:noProof/>
                <w:color w:val="000000"/>
                <w:sz w:val="16"/>
                <w:szCs w:val="16"/>
              </w:rPr>
            </w:pPr>
            <w:r>
              <w:rPr>
                <w:rFonts w:ascii="Arial Narrow" w:hAnsi="Arial Narrow"/>
                <w:b/>
                <w:bCs/>
                <w:noProof/>
                <w:sz w:val="16"/>
                <w:szCs w:val="16"/>
              </w:rPr>
              <w:t>UK</w:t>
            </w:r>
          </w:p>
        </w:tc>
        <w:tc>
          <w:tcPr>
            <w:tcW w:w="71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-5,9 p</w:t>
            </w:r>
          </w:p>
        </w:tc>
        <w:tc>
          <w:tcPr>
            <w:tcW w:w="71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1,9</w:t>
            </w:r>
          </w:p>
        </w:tc>
        <w:tc>
          <w:tcPr>
            <w:tcW w:w="821"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-5,4</w:t>
            </w:r>
          </w:p>
        </w:tc>
        <w:tc>
          <w:tcPr>
            <w:tcW w:w="612"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5,5 p</w:t>
            </w:r>
          </w:p>
        </w:tc>
        <w:tc>
          <w:tcPr>
            <w:tcW w:w="71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5,3</w:t>
            </w:r>
          </w:p>
        </w:tc>
        <w:tc>
          <w:tcPr>
            <w:tcW w:w="799"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4,2</w:t>
            </w:r>
          </w:p>
        </w:tc>
        <w:tc>
          <w:tcPr>
            <w:tcW w:w="635"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1,2 p</w:t>
            </w:r>
          </w:p>
        </w:tc>
        <w:tc>
          <w:tcPr>
            <w:tcW w:w="716"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1,7</w:t>
            </w:r>
          </w:p>
        </w:tc>
        <w:tc>
          <w:tcPr>
            <w:tcW w:w="775"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1,0</w:t>
            </w:r>
          </w:p>
        </w:tc>
        <w:tc>
          <w:tcPr>
            <w:tcW w:w="658"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2,0</w:t>
            </w:r>
          </w:p>
        </w:tc>
        <w:tc>
          <w:tcPr>
            <w:tcW w:w="717" w:type="dxa"/>
            <w:tcBorders>
              <w:top w:val="nil"/>
              <w:left w:val="nil"/>
              <w:bottom w:val="single" w:sz="4" w:space="0" w:color="auto"/>
              <w:right w:val="nil"/>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13,6</w:t>
            </w:r>
          </w:p>
        </w:tc>
        <w:tc>
          <w:tcPr>
            <w:tcW w:w="751" w:type="dxa"/>
            <w:tcBorders>
              <w:top w:val="nil"/>
              <w:left w:val="nil"/>
              <w:bottom w:val="single" w:sz="4" w:space="0" w:color="auto"/>
              <w:right w:val="single" w:sz="4" w:space="0" w:color="auto"/>
            </w:tcBorders>
            <w:shd w:val="clear" w:color="000000" w:fill="FFFFFF"/>
            <w:noWrap/>
            <w:vAlign w:val="bottom"/>
            <w:hideMark/>
          </w:tcPr>
          <w:p w:rsidR="00B9782B" w:rsidRDefault="0062365E">
            <w:pPr>
              <w:spacing w:after="0" w:line="240" w:lineRule="auto"/>
              <w:jc w:val="right"/>
              <w:rPr>
                <w:rFonts w:ascii="Arial Narrow" w:eastAsia="Times New Roman" w:hAnsi="Arial Narrow" w:cs="Calibri"/>
                <w:noProof/>
                <w:color w:val="000000"/>
                <w:sz w:val="16"/>
                <w:szCs w:val="16"/>
              </w:rPr>
            </w:pPr>
            <w:r>
              <w:rPr>
                <w:rFonts w:ascii="Arial Narrow" w:hAnsi="Arial Narrow"/>
                <w:noProof/>
                <w:sz w:val="16"/>
                <w:szCs w:val="16"/>
              </w:rPr>
              <w:t>0,7</w:t>
            </w:r>
          </w:p>
        </w:tc>
      </w:tr>
    </w:tbl>
    <w:p w:rsidR="00B9782B" w:rsidRDefault="00B9782B">
      <w:pPr>
        <w:rPr>
          <w:rFonts w:ascii="Times New Roman" w:hAnsi="Times New Roman" w:cs="Times New Roman"/>
          <w:b/>
          <w:noProof/>
          <w:sz w:val="24"/>
          <w:szCs w:val="24"/>
        </w:rPr>
      </w:pP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Quelle: Eurostat.</w:t>
      </w:r>
    </w:p>
    <w:p w:rsidR="00B9782B" w:rsidRDefault="0062365E">
      <w:pPr>
        <w:spacing w:after="0" w:line="240" w:lineRule="auto"/>
        <w:jc w:val="both"/>
        <w:rPr>
          <w:rFonts w:ascii="Times New Roman" w:hAnsi="Times New Roman" w:cs="Times New Roman"/>
          <w:noProof/>
          <w:sz w:val="20"/>
          <w:szCs w:val="20"/>
        </w:rPr>
      </w:pPr>
      <w:r>
        <w:rPr>
          <w:rFonts w:ascii="Times New Roman" w:hAnsi="Times New Roman"/>
          <w:noProof/>
          <w:sz w:val="20"/>
          <w:szCs w:val="20"/>
        </w:rPr>
        <w:t>* kennzeichnet statistisch signifikante Veränderungen.</w:t>
      </w:r>
    </w:p>
    <w:p w:rsidR="00B9782B" w:rsidRDefault="0062365E">
      <w:pPr>
        <w:spacing w:after="0" w:line="240" w:lineRule="auto"/>
        <w:jc w:val="both"/>
        <w:rPr>
          <w:rFonts w:ascii="Times New Roman" w:hAnsi="Times New Roman" w:cs="Times New Roman"/>
          <w:noProof/>
          <w:sz w:val="20"/>
          <w:szCs w:val="20"/>
        </w:rPr>
      </w:pPr>
      <w:r>
        <w:rPr>
          <w:rFonts w:ascii="Times New Roman" w:hAnsi="Times New Roman"/>
          <w:noProof/>
          <w:sz w:val="20"/>
          <w:szCs w:val="20"/>
        </w:rPr>
        <w:t>Anmerkung: EU (nicht gewichtet) und ER (nicht gewichtet) beziehen sich auf die ungewichteten Durc</w:t>
      </w:r>
      <w:r>
        <w:rPr>
          <w:rFonts w:ascii="Times New Roman" w:hAnsi="Times New Roman"/>
          <w:noProof/>
          <w:sz w:val="20"/>
          <w:szCs w:val="20"/>
        </w:rPr>
        <w:t>hschnittswerte für die EU bzw. das Euro-Währungsgebiet. Am 2. Dezember 2019 liegen keine Schätzungen der statistischen Signifikanz von Änderungen der AKE-Indikatoren und der SILC-basierten Indikatoren vor.</w:t>
      </w:r>
      <w:r>
        <w:rPr>
          <w:rFonts w:ascii="Times New Roman" w:hAnsi="Times New Roman"/>
          <w:noProof/>
          <w:sz w:val="20"/>
          <w:szCs w:val="20"/>
        </w:rPr>
        <w:tab/>
      </w:r>
    </w:p>
    <w:p w:rsidR="00B9782B" w:rsidRDefault="0062365E">
      <w:pPr>
        <w:spacing w:after="0" w:line="240" w:lineRule="auto"/>
        <w:rPr>
          <w:rFonts w:ascii="Times New Roman" w:hAnsi="Times New Roman" w:cs="Times New Roman"/>
          <w:noProof/>
          <w:sz w:val="20"/>
          <w:szCs w:val="20"/>
        </w:rPr>
      </w:pPr>
      <w:r>
        <w:rPr>
          <w:rFonts w:ascii="Times New Roman" w:hAnsi="Times New Roman"/>
          <w:noProof/>
          <w:sz w:val="20"/>
          <w:szCs w:val="20"/>
        </w:rPr>
        <w:t>Kennzeichnungen – b: Zeitreihenbrüche; e: geschät</w:t>
      </w:r>
      <w:r>
        <w:rPr>
          <w:rFonts w:ascii="Times New Roman" w:hAnsi="Times New Roman"/>
          <w:noProof/>
          <w:sz w:val="20"/>
          <w:szCs w:val="20"/>
        </w:rPr>
        <w:t>zt; p: vorläufig; u: von geringer Zuverlässigkeit (geringe Anzahl von Beobachtungen).</w:t>
      </w:r>
    </w:p>
    <w:p w:rsidR="00B9782B" w:rsidRDefault="00B9782B">
      <w:pPr>
        <w:rPr>
          <w:rFonts w:ascii="Times New Roman" w:hAnsi="Times New Roman" w:cs="Times New Roman"/>
          <w:b/>
          <w:noProof/>
          <w:sz w:val="24"/>
          <w:szCs w:val="24"/>
        </w:rPr>
      </w:pPr>
    </w:p>
    <w:p w:rsidR="00B9782B" w:rsidRDefault="0062365E">
      <w:pPr>
        <w:rPr>
          <w:rFonts w:ascii="Times New Roman" w:hAnsi="Times New Roman" w:cs="Times New Roman"/>
          <w:b/>
          <w:noProof/>
          <w:sz w:val="24"/>
          <w:szCs w:val="24"/>
        </w:rPr>
      </w:pPr>
      <w:r>
        <w:rPr>
          <w:noProof/>
        </w:rPr>
        <w:br w:type="page"/>
      </w:r>
    </w:p>
    <w:p w:rsidR="00B9782B" w:rsidRDefault="0062365E">
      <w:pPr>
        <w:spacing w:line="240" w:lineRule="auto"/>
        <w:rPr>
          <w:rFonts w:ascii="Times New Roman" w:hAnsi="Times New Roman" w:cs="Times New Roman"/>
          <w:b/>
          <w:noProof/>
          <w:sz w:val="24"/>
          <w:szCs w:val="24"/>
        </w:rPr>
      </w:pPr>
      <w:r>
        <w:rPr>
          <w:rFonts w:ascii="Times New Roman" w:hAnsi="Times New Roman"/>
          <w:b/>
          <w:noProof/>
        </w:rPr>
        <w:t>Anhang 3. Regionale Aufschlüsselung für bestimmte Leitindikatoren des sozialpolitischen Scoreboards</w:t>
      </w:r>
    </w:p>
    <w:p w:rsidR="00B9782B" w:rsidRDefault="00B9782B">
      <w:pPr>
        <w:spacing w:after="0" w:line="240" w:lineRule="auto"/>
        <w:rPr>
          <w:rFonts w:ascii="Times New Roman" w:hAnsi="Times New Roman" w:cs="Times New Roman"/>
          <w:b/>
          <w:bCs/>
          <w:noProof/>
          <w:sz w:val="24"/>
          <w:szCs w:val="24"/>
        </w:rPr>
      </w:pP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1. Arbeitslosenquote, 2018</w:t>
      </w:r>
    </w:p>
    <w:p w:rsidR="00B9782B" w:rsidRDefault="0062365E">
      <w:pPr>
        <w:spacing w:line="240" w:lineRule="auto"/>
        <w:rPr>
          <w:rFonts w:ascii="Times New Roman" w:hAnsi="Times New Roman" w:cs="Times New Roman"/>
          <w:bCs/>
          <w:noProof/>
          <w:sz w:val="24"/>
          <w:szCs w:val="24"/>
        </w:rPr>
      </w:pPr>
      <w:r>
        <w:rPr>
          <w:rFonts w:ascii="Times New Roman" w:hAnsi="Times New Roman"/>
          <w:bCs/>
          <w:noProof/>
        </w:rPr>
        <w:t xml:space="preserve">(in %, Anteil der 20- bis </w:t>
      </w:r>
      <w:r>
        <w:rPr>
          <w:rFonts w:ascii="Times New Roman" w:hAnsi="Times New Roman"/>
          <w:bCs/>
          <w:noProof/>
        </w:rPr>
        <w:t>64-Jährigen, nach NUTS-2-Regionen)</w:t>
      </w:r>
    </w:p>
    <w:p w:rsidR="00B9782B" w:rsidRDefault="0062365E">
      <w:pPr>
        <w:spacing w:line="240" w:lineRule="auto"/>
        <w:rPr>
          <w:rFonts w:ascii="Times New Roman" w:hAnsi="Times New Roman" w:cs="Times New Roman"/>
          <w:bCs/>
          <w:noProof/>
          <w:sz w:val="24"/>
          <w:szCs w:val="24"/>
        </w:rPr>
      </w:pPr>
      <w:r>
        <w:rPr>
          <w:rFonts w:ascii="Times New Roman" w:hAnsi="Times New Roman"/>
          <w:bCs/>
          <w:noProof/>
          <w:lang w:val="fr-BE" w:eastAsia="fr-BE"/>
        </w:rPr>
        <w:drawing>
          <wp:inline distT="0" distB="0" distL="0" distR="0">
            <wp:extent cx="5760720" cy="4822035"/>
            <wp:effectExtent l="0" t="0" r="0" b="0"/>
            <wp:docPr id="8" name="Picture 8" descr="G:\A1\1.20.3 EES-Policy issues\1.20.3.40 Thematic Issues\Europe 2020\2019-2020\JER\Draft\Master\Maps\employment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1\1.20.3 EES-Policy issues\1.20.3.40 Thematic Issues\Europe 2020\2019-2020\JER\Draft\Master\Maps\employment rat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822035"/>
                    </a:xfrm>
                    <a:prstGeom prst="rect">
                      <a:avLst/>
                    </a:prstGeom>
                    <a:noFill/>
                    <a:ln>
                      <a:noFill/>
                    </a:ln>
                  </pic:spPr>
                </pic:pic>
              </a:graphicData>
            </a:graphic>
          </wp:inline>
        </w:drawing>
      </w:r>
    </w:p>
    <w:p w:rsidR="00B9782B" w:rsidRDefault="0062365E">
      <w:pPr>
        <w:spacing w:line="240" w:lineRule="auto"/>
        <w:rPr>
          <w:rFonts w:ascii="Times New Roman" w:hAnsi="Times New Roman" w:cs="Times New Roman"/>
          <w:bCs/>
          <w:noProof/>
          <w:sz w:val="20"/>
          <w:szCs w:val="20"/>
        </w:rPr>
      </w:pPr>
      <w:r>
        <w:rPr>
          <w:rFonts w:ascii="Times New Roman" w:hAnsi="Times New Roman"/>
          <w:bCs/>
          <w:noProof/>
          <w:sz w:val="20"/>
          <w:szCs w:val="20"/>
        </w:rPr>
        <w:t>Quelle: Eurostat (Online-Datencode: lfst_r_lfe2emprtn)</w:t>
      </w:r>
    </w:p>
    <w:p w:rsidR="00B9782B" w:rsidRDefault="00B9782B">
      <w:pPr>
        <w:spacing w:line="240" w:lineRule="auto"/>
        <w:jc w:val="both"/>
        <w:rPr>
          <w:rFonts w:ascii="Times New Roman" w:hAnsi="Times New Roman" w:cs="Times New Roman"/>
          <w:b/>
          <w:noProof/>
          <w:sz w:val="24"/>
          <w:szCs w:val="24"/>
        </w:rPr>
      </w:pPr>
    </w:p>
    <w:p w:rsidR="00B9782B" w:rsidRDefault="00B9782B">
      <w:pPr>
        <w:spacing w:after="0" w:line="240" w:lineRule="auto"/>
        <w:rPr>
          <w:rFonts w:ascii="Times New Roman" w:hAnsi="Times New Roman" w:cs="Times New Roman"/>
          <w:b/>
          <w:bCs/>
          <w:noProof/>
          <w:sz w:val="24"/>
          <w:szCs w:val="24"/>
        </w:rPr>
      </w:pPr>
    </w:p>
    <w:p w:rsidR="00B9782B" w:rsidRDefault="00B9782B">
      <w:pPr>
        <w:spacing w:after="0" w:line="240" w:lineRule="auto"/>
        <w:rPr>
          <w:rFonts w:ascii="Times New Roman" w:hAnsi="Times New Roman" w:cs="Times New Roman"/>
          <w:b/>
          <w:bCs/>
          <w:noProof/>
          <w:sz w:val="24"/>
          <w:szCs w:val="24"/>
        </w:rPr>
      </w:pPr>
    </w:p>
    <w:p w:rsidR="00B9782B" w:rsidRDefault="0062365E">
      <w:pPr>
        <w:rPr>
          <w:rFonts w:ascii="Times New Roman" w:hAnsi="Times New Roman" w:cs="Times New Roman"/>
          <w:b/>
          <w:bCs/>
          <w:noProof/>
          <w:sz w:val="24"/>
          <w:szCs w:val="24"/>
        </w:rPr>
      </w:pPr>
      <w:r>
        <w:rPr>
          <w:noProof/>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2. Geschlechtsspezifisches Beschäftigungsgefälle, 2018</w:t>
      </w:r>
    </w:p>
    <w:p w:rsidR="00B9782B" w:rsidRDefault="0062365E">
      <w:pPr>
        <w:spacing w:line="240" w:lineRule="auto"/>
        <w:rPr>
          <w:rFonts w:ascii="Times New Roman" w:hAnsi="Times New Roman" w:cs="Times New Roman"/>
          <w:bCs/>
          <w:noProof/>
          <w:sz w:val="24"/>
          <w:szCs w:val="24"/>
        </w:rPr>
      </w:pPr>
      <w:r>
        <w:rPr>
          <w:rFonts w:ascii="Times New Roman" w:hAnsi="Times New Roman"/>
          <w:bCs/>
          <w:noProof/>
        </w:rPr>
        <w:t xml:space="preserve">(Unterschied in Prozentpunkten, Beschäftigungsquote der Männer minus Beschäftigungsquote der </w:t>
      </w:r>
      <w:r>
        <w:rPr>
          <w:rFonts w:ascii="Times New Roman" w:hAnsi="Times New Roman"/>
          <w:bCs/>
          <w:noProof/>
        </w:rPr>
        <w:t>Frauen innerhalb der Altersgruppe der 20- bis 64-Jährigen, nach NUTS-2-Regionen)</w:t>
      </w:r>
    </w:p>
    <w:p w:rsidR="00B9782B" w:rsidRDefault="0062365E">
      <w:pPr>
        <w:spacing w:line="240" w:lineRule="auto"/>
        <w:rPr>
          <w:rFonts w:ascii="Times New Roman" w:hAnsi="Times New Roman" w:cs="Times New Roman"/>
          <w:b/>
          <w:noProof/>
          <w:sz w:val="24"/>
          <w:szCs w:val="24"/>
        </w:rPr>
      </w:pPr>
      <w:r>
        <w:rPr>
          <w:rFonts w:ascii="Times New Roman" w:hAnsi="Times New Roman"/>
          <w:b/>
          <w:noProof/>
          <w:lang w:val="fr-BE" w:eastAsia="fr-BE"/>
        </w:rPr>
        <w:drawing>
          <wp:inline distT="0" distB="0" distL="0" distR="0">
            <wp:extent cx="5760720" cy="4864715"/>
            <wp:effectExtent l="0" t="0" r="0" b="0"/>
            <wp:docPr id="9" name="Picture 9" descr="G:\A1\1.20.3 EES-Policy issues\1.20.3.40 Thematic Issues\Europe 2020\2019-2020\JER\Draft\Master\Maps\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1\1.20.3 EES-Policy issues\1.20.3.40 Thematic Issues\Europe 2020\2019-2020\JER\Draft\Master\Maps\eg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Anmerkung: Das geschlechtsspezifische Beschäftigungsgefälle ist definiert als die Differenz zwischen der Beschäftigungsquote der Männer und der Beschäftigungsquote der Fraue</w:t>
      </w:r>
      <w:r>
        <w:rPr>
          <w:rFonts w:ascii="Times New Roman" w:hAnsi="Times New Roman"/>
          <w:noProof/>
          <w:sz w:val="20"/>
        </w:rPr>
        <w:t>n bei den 64- bis 20-Jährigen; die Beschäftigungsquote der Männer war in allen Regionen durchweg höher als die der Frauen.</w:t>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Quelle: Eurostat (Online-Datencode: lfst_r_lfe2emprtn)</w:t>
      </w:r>
    </w:p>
    <w:p w:rsidR="00B9782B" w:rsidRDefault="0062365E">
      <w:pPr>
        <w:rPr>
          <w:noProof/>
        </w:rPr>
      </w:pPr>
      <w:r>
        <w:rPr>
          <w:noProof/>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3: Arbeitslosenquote, 2018</w:t>
      </w:r>
    </w:p>
    <w:p w:rsidR="00B9782B" w:rsidRDefault="0062365E">
      <w:pPr>
        <w:spacing w:line="240" w:lineRule="auto"/>
        <w:rPr>
          <w:rFonts w:ascii="Times New Roman" w:hAnsi="Times New Roman" w:cs="Times New Roman"/>
          <w:bCs/>
          <w:noProof/>
          <w:sz w:val="24"/>
          <w:szCs w:val="24"/>
        </w:rPr>
      </w:pPr>
      <w:r>
        <w:rPr>
          <w:rFonts w:ascii="Times New Roman" w:hAnsi="Times New Roman"/>
          <w:bCs/>
          <w:noProof/>
        </w:rPr>
        <w:t xml:space="preserve">(in %, Anteil der 15- bis 74-jährigen </w:t>
      </w:r>
      <w:r>
        <w:rPr>
          <w:rFonts w:ascii="Times New Roman" w:hAnsi="Times New Roman"/>
          <w:bCs/>
          <w:noProof/>
        </w:rPr>
        <w:t>Erwerbspersonen, nach NUTS-2-Regionen)</w:t>
      </w:r>
    </w:p>
    <w:p w:rsidR="00B9782B" w:rsidRDefault="0062365E">
      <w:pPr>
        <w:spacing w:line="240" w:lineRule="auto"/>
        <w:rPr>
          <w:rFonts w:ascii="Times New Roman" w:hAnsi="Times New Roman" w:cs="Times New Roman"/>
          <w:bCs/>
          <w:noProof/>
          <w:sz w:val="24"/>
          <w:szCs w:val="24"/>
        </w:rPr>
      </w:pPr>
      <w:r>
        <w:rPr>
          <w:rFonts w:ascii="Times New Roman" w:hAnsi="Times New Roman"/>
          <w:bCs/>
          <w:noProof/>
          <w:lang w:val="fr-BE" w:eastAsia="fr-BE"/>
        </w:rPr>
        <w:drawing>
          <wp:inline distT="0" distB="0" distL="0" distR="0">
            <wp:extent cx="5760720" cy="4864715"/>
            <wp:effectExtent l="0" t="0" r="0" b="0"/>
            <wp:docPr id="10" name="Picture 10" descr="G:\A1\1.20.3 EES-Policy issues\1.20.3.40 Thematic Issues\Europe 2020\2019-2020\JER\Draft\Master\Map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1\1.20.3 EES-Policy issues\1.20.3.40 Thematic Issues\Europe 2020\2019-2020\JER\Draft\Master\Maps\u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B9782B" w:rsidRDefault="0062365E">
      <w:pPr>
        <w:spacing w:line="240" w:lineRule="auto"/>
        <w:jc w:val="both"/>
        <w:rPr>
          <w:rFonts w:ascii="Times New Roman" w:hAnsi="Times New Roman" w:cs="Times New Roman"/>
          <w:noProof/>
          <w:sz w:val="20"/>
          <w:szCs w:val="24"/>
        </w:rPr>
      </w:pPr>
      <w:r>
        <w:rPr>
          <w:rFonts w:ascii="Times New Roman" w:hAnsi="Times New Roman"/>
          <w:noProof/>
          <w:sz w:val="0"/>
          <w:szCs w:val="0"/>
          <w:u w:color="000000"/>
          <w:bdr w:val="none" w:sz="0" w:space="0" w:color="000000"/>
          <w:shd w:val="clear" w:color="000000" w:fill="000000"/>
        </w:rPr>
        <w:t xml:space="preserve"> </w:t>
      </w:r>
      <w:r>
        <w:rPr>
          <w:rFonts w:ascii="Times New Roman" w:hAnsi="Times New Roman"/>
          <w:noProof/>
          <w:sz w:val="20"/>
        </w:rPr>
        <w:t>Anmerkung: Korsika (FRM0), Burgenland (AT11), Woiwodschaft Lebuser Land (PL43), Woiwodschaft Oppeln (PL52), Cumbria (UKD1), Cornwall und Scilly-Inseln (UKK3), Nordostschottland (UKM5) und Highlands and Islands (UKM</w:t>
      </w:r>
      <w:r>
        <w:rPr>
          <w:rFonts w:ascii="Times New Roman" w:hAnsi="Times New Roman"/>
          <w:noProof/>
          <w:sz w:val="20"/>
        </w:rPr>
        <w:t>6), geringe Zuverlässigkeit.</w:t>
      </w:r>
    </w:p>
    <w:p w:rsidR="00B9782B" w:rsidRDefault="0062365E">
      <w:pPr>
        <w:spacing w:line="240" w:lineRule="auto"/>
        <w:rPr>
          <w:rFonts w:ascii="Times New Roman" w:hAnsi="Times New Roman" w:cs="Times New Roman"/>
          <w:noProof/>
          <w:sz w:val="20"/>
          <w:szCs w:val="24"/>
          <w:lang w:val="fr-BE"/>
        </w:rPr>
      </w:pPr>
      <w:r>
        <w:rPr>
          <w:rFonts w:ascii="Times New Roman" w:hAnsi="Times New Roman"/>
          <w:noProof/>
          <w:sz w:val="20"/>
          <w:lang w:val="fr-BE"/>
        </w:rPr>
        <w:t>Quelle: Eurostat (Online-Datencode: lfst_r_lfu3rt)</w:t>
      </w:r>
    </w:p>
    <w:p w:rsidR="00B9782B" w:rsidRDefault="0062365E">
      <w:pPr>
        <w:spacing w:line="240" w:lineRule="auto"/>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BE"/>
        </w:rPr>
      </w:pPr>
      <w:r>
        <w:rPr>
          <w:noProof/>
          <w:lang w:val="fr-BE"/>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4: Langzeitarbeitslosenquote (12 Monate oder länger), 2018</w:t>
      </w:r>
    </w:p>
    <w:p w:rsidR="00B9782B" w:rsidRDefault="0062365E">
      <w:pPr>
        <w:spacing w:line="240" w:lineRule="auto"/>
        <w:rPr>
          <w:rFonts w:ascii="Times New Roman" w:hAnsi="Times New Roman" w:cs="Times New Roman"/>
          <w:bCs/>
          <w:noProof/>
          <w:sz w:val="24"/>
          <w:szCs w:val="24"/>
        </w:rPr>
      </w:pPr>
      <w:r>
        <w:rPr>
          <w:rFonts w:ascii="Times New Roman" w:hAnsi="Times New Roman"/>
          <w:bCs/>
          <w:noProof/>
        </w:rPr>
        <w:t>(in %, Anteil der Erwerbsbevölkerung, nach NUTS-2-Regionen)</w:t>
      </w:r>
    </w:p>
    <w:p w:rsidR="00B9782B" w:rsidRDefault="0062365E">
      <w:pPr>
        <w:spacing w:line="240" w:lineRule="auto"/>
        <w:rPr>
          <w:rFonts w:ascii="Times New Roman" w:hAnsi="Times New Roman" w:cs="Times New Roman"/>
          <w:b/>
          <w:noProof/>
          <w:sz w:val="24"/>
          <w:szCs w:val="24"/>
        </w:rPr>
      </w:pPr>
      <w:r>
        <w:rPr>
          <w:rFonts w:ascii="Times New Roman" w:hAnsi="Times New Roman"/>
          <w:b/>
          <w:noProof/>
          <w:lang w:val="fr-BE" w:eastAsia="fr-BE"/>
        </w:rPr>
        <w:drawing>
          <wp:inline distT="0" distB="0" distL="0" distR="0">
            <wp:extent cx="5760720" cy="4864715"/>
            <wp:effectExtent l="0" t="0" r="0" b="0"/>
            <wp:docPr id="11" name="Picture 11" descr="G:\A1\1.20.3 EES-Policy issues\1.20.3.40 Thematic Issues\Europe 2020\2019-2020\JER\Draft\Master\Maps\l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1\1.20.3 EES-Policy issues\1.20.3.40 Thematic Issues\Europe 2020\2019-2020\JER\Draft\Master\Maps\lt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B9782B" w:rsidRDefault="0062365E">
      <w:pPr>
        <w:spacing w:line="240" w:lineRule="auto"/>
        <w:rPr>
          <w:rFonts w:ascii="Times New Roman" w:hAnsi="Times New Roman" w:cs="Times New Roman"/>
          <w:noProof/>
          <w:sz w:val="20"/>
          <w:szCs w:val="24"/>
          <w:lang w:val="fr-BE"/>
        </w:rPr>
      </w:pPr>
      <w:r>
        <w:rPr>
          <w:rFonts w:ascii="Times New Roman" w:hAnsi="Times New Roman"/>
          <w:noProof/>
          <w:sz w:val="20"/>
          <w:lang w:val="fr-BE"/>
        </w:rPr>
        <w:t xml:space="preserve">Quelle: Eurostat (Online-Datencode: </w:t>
      </w:r>
      <w:r>
        <w:rPr>
          <w:rFonts w:ascii="Times New Roman" w:hAnsi="Times New Roman"/>
          <w:noProof/>
          <w:sz w:val="20"/>
          <w:lang w:val="fr-BE"/>
        </w:rPr>
        <w:t>tgs00053)</w:t>
      </w:r>
    </w:p>
    <w:p w:rsidR="00B9782B" w:rsidRDefault="0062365E">
      <w:pPr>
        <w:rPr>
          <w:noProof/>
          <w:lang w:val="fr-BE"/>
        </w:rPr>
      </w:pPr>
      <w:r>
        <w:rPr>
          <w:noProof/>
          <w:lang w:val="fr-BE"/>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5: Quote der jungen Menschen, die sich weder in Ausbildung noch in Beschäftigung befinden (NEET), 2018</w:t>
      </w:r>
    </w:p>
    <w:p w:rsidR="00B9782B" w:rsidRDefault="0062365E">
      <w:pPr>
        <w:spacing w:line="240" w:lineRule="auto"/>
        <w:rPr>
          <w:noProof/>
        </w:rPr>
      </w:pPr>
      <w:r>
        <w:rPr>
          <w:rFonts w:ascii="Times New Roman" w:hAnsi="Times New Roman"/>
          <w:bCs/>
          <w:noProof/>
        </w:rPr>
        <w:t>(in %, Anteil der 15- bis 24-Jährigen, nach NUTS-2-Regionen)</w:t>
      </w:r>
    </w:p>
    <w:p w:rsidR="00B9782B" w:rsidRDefault="0062365E">
      <w:pPr>
        <w:spacing w:line="240" w:lineRule="auto"/>
        <w:rPr>
          <w:rFonts w:ascii="Times New Roman" w:hAnsi="Times New Roman" w:cs="Times New Roman"/>
          <w:bCs/>
          <w:noProof/>
          <w:sz w:val="24"/>
          <w:szCs w:val="24"/>
        </w:rPr>
      </w:pPr>
      <w:r>
        <w:rPr>
          <w:rFonts w:ascii="Times New Roman" w:hAnsi="Times New Roman"/>
          <w:bCs/>
          <w:noProof/>
          <w:lang w:val="fr-BE" w:eastAsia="fr-BE"/>
        </w:rPr>
        <w:drawing>
          <wp:inline distT="0" distB="0" distL="0" distR="0">
            <wp:extent cx="5760720" cy="4864715"/>
            <wp:effectExtent l="0" t="0" r="0" b="0"/>
            <wp:docPr id="13" name="Picture 13" descr="G:\A1\1.20.3 EES-Policy issues\1.20.3.40 Thematic Issues\Europe 2020\2019-2020\JER\Draft\Master\Maps\n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1\1.20.3 EES-Policy issues\1.20.3.40 Thematic Issues\Europe 2020\2019-2020\JER\Draft\Master\Maps\ne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 xml:space="preserve">Anmerkung: Bei einigen Regionen sind die Daten von geringer </w:t>
      </w:r>
      <w:r>
        <w:rPr>
          <w:rFonts w:ascii="Times New Roman" w:hAnsi="Times New Roman"/>
          <w:noProof/>
          <w:sz w:val="20"/>
        </w:rPr>
        <w:t>Zuverlässigkeit (zu großer Dokumentationsaufwand). Zeitreihenbruch für alle Regionen in Polen.</w:t>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Quelle: Eurostat (Online-Datencode: edat_lfse_22)</w:t>
      </w:r>
    </w:p>
    <w:p w:rsidR="00B9782B" w:rsidRDefault="00B9782B">
      <w:pPr>
        <w:spacing w:line="240" w:lineRule="auto"/>
        <w:rPr>
          <w:rFonts w:ascii="Times New Roman" w:hAnsi="Times New Roman" w:cs="Times New Roman"/>
          <w:b/>
          <w:noProof/>
          <w:sz w:val="24"/>
          <w:szCs w:val="24"/>
        </w:rPr>
      </w:pPr>
    </w:p>
    <w:p w:rsidR="00B9782B" w:rsidRDefault="00B9782B">
      <w:pPr>
        <w:spacing w:line="240" w:lineRule="auto"/>
        <w:jc w:val="both"/>
        <w:rPr>
          <w:rFonts w:ascii="Times New Roman" w:hAnsi="Times New Roman" w:cs="Times New Roman"/>
          <w:b/>
          <w:noProof/>
          <w:sz w:val="24"/>
          <w:szCs w:val="24"/>
        </w:rPr>
      </w:pPr>
    </w:p>
    <w:p w:rsidR="00B9782B" w:rsidRDefault="0062365E">
      <w:pPr>
        <w:rPr>
          <w:rFonts w:ascii="Times New Roman" w:hAnsi="Times New Roman" w:cs="Times New Roman"/>
          <w:b/>
          <w:bCs/>
          <w:noProof/>
          <w:sz w:val="24"/>
          <w:szCs w:val="24"/>
        </w:rPr>
      </w:pPr>
      <w:r>
        <w:rPr>
          <w:noProof/>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6: Frühe Schul- und Ausbildungsabgänger, 2018</w:t>
      </w:r>
    </w:p>
    <w:p w:rsidR="00B9782B" w:rsidRDefault="0062365E">
      <w:pPr>
        <w:spacing w:line="240" w:lineRule="auto"/>
        <w:jc w:val="both"/>
        <w:rPr>
          <w:rFonts w:ascii="Times New Roman" w:hAnsi="Times New Roman" w:cs="Times New Roman"/>
          <w:b/>
          <w:noProof/>
          <w:sz w:val="24"/>
          <w:szCs w:val="24"/>
        </w:rPr>
      </w:pPr>
      <w:r>
        <w:rPr>
          <w:rFonts w:ascii="Times New Roman" w:hAnsi="Times New Roman"/>
          <w:bCs/>
          <w:noProof/>
        </w:rPr>
        <w:t xml:space="preserve">(in %, Anteil der 18- bis 24-Jährigen, nach </w:t>
      </w:r>
      <w:r>
        <w:rPr>
          <w:rFonts w:ascii="Times New Roman" w:hAnsi="Times New Roman"/>
          <w:bCs/>
          <w:noProof/>
        </w:rPr>
        <w:t>NUTS-2-Regionen)</w:t>
      </w:r>
    </w:p>
    <w:p w:rsidR="00B9782B" w:rsidRDefault="0062365E">
      <w:pPr>
        <w:spacing w:line="240" w:lineRule="auto"/>
        <w:rPr>
          <w:rFonts w:ascii="Times New Roman" w:hAnsi="Times New Roman" w:cs="Times New Roman"/>
          <w:b/>
          <w:noProof/>
          <w:sz w:val="24"/>
          <w:szCs w:val="24"/>
        </w:rPr>
      </w:pPr>
      <w:r>
        <w:rPr>
          <w:rFonts w:ascii="Times New Roman" w:hAnsi="Times New Roman"/>
          <w:b/>
          <w:noProof/>
          <w:lang w:val="fr-BE" w:eastAsia="fr-BE"/>
        </w:rPr>
        <w:drawing>
          <wp:inline distT="0" distB="0" distL="0" distR="0">
            <wp:extent cx="5760720" cy="4864715"/>
            <wp:effectExtent l="0" t="0" r="0" b="0"/>
            <wp:docPr id="14" name="Picture 14" descr="G:\A1\1.20.3 EES-Policy issues\1.20.3.40 Thematic Issues\Europe 2020\2019-2020\JER\Draft\Master\Maps\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1\1.20.3 EES-Policy issues\1.20.3.40 Thematic Issues\Europe 2020\2019-2020\JER\Draft\Master\Maps\es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864715"/>
                    </a:xfrm>
                    <a:prstGeom prst="rect">
                      <a:avLst/>
                    </a:prstGeom>
                    <a:noFill/>
                    <a:ln>
                      <a:noFill/>
                    </a:ln>
                  </pic:spPr>
                </pic:pic>
              </a:graphicData>
            </a:graphic>
          </wp:inline>
        </w:drawing>
      </w:r>
    </w:p>
    <w:p w:rsidR="00B9782B" w:rsidRDefault="0062365E">
      <w:pPr>
        <w:spacing w:line="240" w:lineRule="auto"/>
        <w:jc w:val="both"/>
        <w:rPr>
          <w:rFonts w:ascii="Times New Roman" w:hAnsi="Times New Roman" w:cs="Times New Roman"/>
          <w:noProof/>
          <w:sz w:val="20"/>
          <w:szCs w:val="24"/>
        </w:rPr>
      </w:pPr>
      <w:r>
        <w:rPr>
          <w:rFonts w:ascii="Times New Roman" w:hAnsi="Times New Roman"/>
          <w:noProof/>
          <w:sz w:val="20"/>
        </w:rPr>
        <w:t>Anmerkung: Bei einigen Regionen sind die Daten von geringer Zuverlässigkeit (zu großer Dokumentationsaufwand). Österreich, Makroregion Südwest (PL5), Makroregion Zentrum (PL7), Makroregion Ost (PL8), London (UKI), Südwestengland (UKK): N</w:t>
      </w:r>
      <w:r>
        <w:rPr>
          <w:rFonts w:ascii="Times New Roman" w:hAnsi="Times New Roman"/>
          <w:noProof/>
          <w:sz w:val="20"/>
        </w:rPr>
        <w:t>UTS-Ebene 1. Dresden (DED2), Nordägäis (EL41), Südägäis (EL42), Peloponnes (EL65), Woiwodschaft Kleinpolen (PL21), Nord-Yorkshire (UKE2), Nordostschottland (UKM5): 2017. Trier (DEB2), Thessalien (EL61), Autonome Region Madeira (PT30): 2016. Provinz Luxembu</w:t>
      </w:r>
      <w:r>
        <w:rPr>
          <w:rFonts w:ascii="Times New Roman" w:hAnsi="Times New Roman"/>
          <w:noProof/>
          <w:sz w:val="20"/>
        </w:rPr>
        <w:t>rg (BE34), Westmakedonien (EL53), Warschau-Hauptstadt (PL91) und Highlands and Islands (UKM6): 2015.</w:t>
      </w:r>
    </w:p>
    <w:p w:rsidR="00B9782B" w:rsidRDefault="0062365E">
      <w:pPr>
        <w:spacing w:line="240" w:lineRule="auto"/>
        <w:rPr>
          <w:rFonts w:ascii="Times New Roman" w:hAnsi="Times New Roman" w:cs="Times New Roman"/>
          <w:noProof/>
          <w:sz w:val="20"/>
          <w:szCs w:val="24"/>
          <w:lang w:val="fr-BE"/>
        </w:rPr>
      </w:pPr>
      <w:r>
        <w:rPr>
          <w:rFonts w:ascii="Times New Roman" w:hAnsi="Times New Roman"/>
          <w:noProof/>
          <w:sz w:val="20"/>
          <w:lang w:val="fr-BE"/>
        </w:rPr>
        <w:t>Quelle: Eurostat (Online-Datencode: edat_lfse_16)</w:t>
      </w:r>
    </w:p>
    <w:p w:rsidR="00B9782B" w:rsidRDefault="0062365E">
      <w:pPr>
        <w:spacing w:line="240" w:lineRule="auto"/>
        <w:rPr>
          <w:rFonts w:ascii="Times New Roman" w:hAnsi="Times New Roman" w:cs="Times New Roman"/>
          <w:b/>
          <w:noProof/>
          <w:sz w:val="24"/>
          <w:szCs w:val="24"/>
          <w:lang w:val="fr-BE"/>
        </w:rPr>
      </w:pPr>
      <w:r>
        <w:rPr>
          <w:noProof/>
          <w:lang w:val="fr-BE"/>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7: Von Armut oder sozialer Ausgrenzung bedrohte Personen, 2018</w:t>
      </w:r>
    </w:p>
    <w:p w:rsidR="00B9782B" w:rsidRDefault="0062365E">
      <w:pPr>
        <w:spacing w:line="240" w:lineRule="auto"/>
        <w:jc w:val="both"/>
        <w:rPr>
          <w:rFonts w:ascii="Times New Roman" w:hAnsi="Times New Roman" w:cs="Times New Roman"/>
          <w:b/>
          <w:noProof/>
          <w:sz w:val="24"/>
          <w:szCs w:val="24"/>
        </w:rPr>
      </w:pPr>
      <w:r>
        <w:rPr>
          <w:rFonts w:ascii="Times New Roman" w:hAnsi="Times New Roman"/>
          <w:bCs/>
          <w:noProof/>
        </w:rPr>
        <w:t>(in %, nach NUTS-2-Regionen)</w:t>
      </w:r>
    </w:p>
    <w:p w:rsidR="00B9782B" w:rsidRDefault="0062365E">
      <w:pPr>
        <w:spacing w:line="240" w:lineRule="auto"/>
        <w:rPr>
          <w:noProof/>
        </w:rPr>
      </w:pPr>
      <w:r>
        <w:rPr>
          <w:noProof/>
          <w:lang w:val="fr-BE" w:eastAsia="fr-BE"/>
        </w:rPr>
        <w:drawing>
          <wp:inline distT="0" distB="0" distL="0" distR="0">
            <wp:extent cx="5760720" cy="4863274"/>
            <wp:effectExtent l="0" t="0" r="0" b="0"/>
            <wp:docPr id="15" name="Picture 15" descr="G:\A1\1.20.3 EES-Policy issues\1.20.3.40 Thematic Issues\Europe 2020\2019-2020\JER\Draft\Master\Maps\A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1\1.20.3 EES-Policy issues\1.20.3.40 Thematic Issues\Europe 2020\2019-2020\JER\Draft\Master\Maps\AROP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863274"/>
                    </a:xfrm>
                    <a:prstGeom prst="rect">
                      <a:avLst/>
                    </a:prstGeom>
                    <a:noFill/>
                    <a:ln>
                      <a:noFill/>
                    </a:ln>
                  </pic:spPr>
                </pic:pic>
              </a:graphicData>
            </a:graphic>
          </wp:inline>
        </w:drawing>
      </w:r>
    </w:p>
    <w:p w:rsidR="00B9782B" w:rsidRDefault="0062365E">
      <w:pPr>
        <w:spacing w:line="240" w:lineRule="auto"/>
        <w:jc w:val="both"/>
        <w:rPr>
          <w:rFonts w:ascii="Times New Roman" w:hAnsi="Times New Roman" w:cs="Times New Roman"/>
          <w:noProof/>
          <w:sz w:val="20"/>
          <w:szCs w:val="24"/>
        </w:rPr>
      </w:pPr>
      <w:r>
        <w:rPr>
          <w:rFonts w:ascii="Times New Roman" w:hAnsi="Times New Roman"/>
          <w:noProof/>
          <w:sz w:val="20"/>
        </w:rPr>
        <w:t>Anmerkung: Belgien, Frankreich, Litauen, Polen, Portugal, Finnland und Vereinigtes Königreich: nationale Daten. Deutschland, Estland, Irland, Griechenland, Österreich, Slowakei und Vereinigtes Königreich: 2017.</w:t>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Quelle: Eurostat (Online-Datencode: ilc_peps</w:t>
      </w:r>
      <w:r>
        <w:rPr>
          <w:rFonts w:ascii="Times New Roman" w:hAnsi="Times New Roman"/>
          <w:noProof/>
          <w:sz w:val="20"/>
        </w:rPr>
        <w:t>11 and ilc_peps01)</w:t>
      </w:r>
    </w:p>
    <w:p w:rsidR="00B9782B" w:rsidRDefault="0062365E">
      <w:pPr>
        <w:rPr>
          <w:noProof/>
        </w:rPr>
      </w:pPr>
      <w:r>
        <w:rPr>
          <w:noProof/>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Abbildung 8: Veränderung der Auswirkungen sozialer Transferleistungen (ausgenommen Rentenzahlungen) bei der Armutsbekämpfung, 2018</w:t>
      </w:r>
    </w:p>
    <w:p w:rsidR="00B9782B" w:rsidRDefault="0062365E">
      <w:pPr>
        <w:spacing w:line="240" w:lineRule="auto"/>
        <w:jc w:val="both"/>
        <w:rPr>
          <w:rFonts w:ascii="Times New Roman" w:hAnsi="Times New Roman" w:cs="Times New Roman"/>
          <w:b/>
          <w:noProof/>
          <w:sz w:val="24"/>
          <w:szCs w:val="24"/>
        </w:rPr>
      </w:pPr>
      <w:r>
        <w:rPr>
          <w:rFonts w:ascii="Times New Roman" w:hAnsi="Times New Roman"/>
          <w:bCs/>
          <w:noProof/>
        </w:rPr>
        <w:t>(in %, nach NUTS-2-Regionen)</w:t>
      </w:r>
    </w:p>
    <w:p w:rsidR="00B9782B" w:rsidRDefault="0062365E">
      <w:pPr>
        <w:spacing w:line="240" w:lineRule="auto"/>
        <w:jc w:val="center"/>
        <w:rPr>
          <w:rFonts w:ascii="Times New Roman" w:hAnsi="Times New Roman" w:cs="Times New Roman"/>
          <w:noProof/>
          <w:sz w:val="20"/>
          <w:szCs w:val="24"/>
        </w:rPr>
      </w:pPr>
      <w:r>
        <w:rPr>
          <w:rFonts w:ascii="Times New Roman" w:hAnsi="Times New Roman"/>
          <w:noProof/>
          <w:sz w:val="20"/>
          <w:lang w:val="fr-BE" w:eastAsia="fr-BE"/>
        </w:rPr>
        <w:drawing>
          <wp:inline distT="0" distB="0" distL="0" distR="0">
            <wp:extent cx="3982427" cy="47657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jpg"/>
                    <pic:cNvPicPr/>
                  </pic:nvPicPr>
                  <pic:blipFill rotWithShape="1">
                    <a:blip r:embed="rId22">
                      <a:extLst>
                        <a:ext uri="{28A0092B-C50C-407E-A947-70E740481C1C}">
                          <a14:useLocalDpi xmlns:a14="http://schemas.microsoft.com/office/drawing/2010/main" val="0"/>
                        </a:ext>
                      </a:extLst>
                    </a:blip>
                    <a:srcRect r="26956"/>
                    <a:stretch/>
                  </pic:blipFill>
                  <pic:spPr bwMode="auto">
                    <a:xfrm>
                      <a:off x="0" y="0"/>
                      <a:ext cx="3986520" cy="4770676"/>
                    </a:xfrm>
                    <a:prstGeom prst="rect">
                      <a:avLst/>
                    </a:prstGeom>
                    <a:ln>
                      <a:noFill/>
                    </a:ln>
                    <a:extLst>
                      <a:ext uri="{53640926-AAD7-44D8-BBD7-CCE9431645EC}">
                        <a14:shadowObscured xmlns:a14="http://schemas.microsoft.com/office/drawing/2010/main"/>
                      </a:ext>
                    </a:extLst>
                  </pic:spPr>
                </pic:pic>
              </a:graphicData>
            </a:graphic>
          </wp:inline>
        </w:drawing>
      </w:r>
    </w:p>
    <w:p w:rsidR="00B9782B" w:rsidRDefault="0062365E">
      <w:pPr>
        <w:spacing w:line="240" w:lineRule="auto"/>
        <w:jc w:val="both"/>
        <w:rPr>
          <w:rFonts w:ascii="Times New Roman" w:hAnsi="Times New Roman" w:cs="Times New Roman"/>
          <w:noProof/>
          <w:sz w:val="20"/>
          <w:szCs w:val="24"/>
        </w:rPr>
      </w:pPr>
      <w:r>
        <w:rPr>
          <w:rFonts w:ascii="Times New Roman" w:hAnsi="Times New Roman"/>
          <w:noProof/>
          <w:sz w:val="20"/>
        </w:rPr>
        <w:t>Anmerkung: Belgien, Bulgarien, Tschechien, Deutschland, Spanien, Frankrei</w:t>
      </w:r>
      <w:r>
        <w:rPr>
          <w:rFonts w:ascii="Times New Roman" w:hAnsi="Times New Roman"/>
          <w:noProof/>
          <w:sz w:val="20"/>
        </w:rPr>
        <w:t>ch, Litauen, Ungarn, Polen, Portugal und Schweden: nationale Daten. Dänemark, Slowenien und Finnland: 2017. Österreich: 2017, Schätzungen; Burgenland (AT11): geringe Zuverlässigkeit. Irland: vorläufig.</w:t>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Quelle: Eurostat (Online-Datencode: tespm050_r)</w:t>
      </w:r>
    </w:p>
    <w:p w:rsidR="00B9782B" w:rsidRDefault="0062365E">
      <w:pPr>
        <w:spacing w:after="0" w:line="240" w:lineRule="auto"/>
        <w:rPr>
          <w:rFonts w:ascii="Times New Roman" w:hAnsi="Times New Roman" w:cs="Times New Roman"/>
          <w:b/>
          <w:bCs/>
          <w:noProof/>
          <w:sz w:val="24"/>
          <w:szCs w:val="24"/>
        </w:rPr>
      </w:pPr>
      <w:r>
        <w:rPr>
          <w:noProof/>
        </w:rPr>
        <w:br w:type="page"/>
      </w:r>
      <w:r>
        <w:rPr>
          <w:rFonts w:ascii="Times New Roman" w:hAnsi="Times New Roman"/>
          <w:b/>
          <w:bCs/>
          <w:noProof/>
        </w:rPr>
        <w:t>Abbil</w:t>
      </w:r>
      <w:r>
        <w:rPr>
          <w:rFonts w:ascii="Times New Roman" w:hAnsi="Times New Roman"/>
          <w:b/>
          <w:bCs/>
          <w:noProof/>
        </w:rPr>
        <w:t>dung 9: Nach eigenen Angaben nicht gedeckter Bedarf an ärztlicher Versorgung, 2018</w:t>
      </w:r>
    </w:p>
    <w:p w:rsidR="00B9782B" w:rsidRDefault="0062365E">
      <w:pPr>
        <w:spacing w:line="240" w:lineRule="auto"/>
        <w:jc w:val="both"/>
        <w:rPr>
          <w:rFonts w:ascii="Times New Roman" w:hAnsi="Times New Roman" w:cs="Times New Roman"/>
          <w:bCs/>
          <w:noProof/>
          <w:sz w:val="24"/>
          <w:szCs w:val="24"/>
        </w:rPr>
      </w:pPr>
      <w:r>
        <w:rPr>
          <w:rFonts w:ascii="Times New Roman" w:hAnsi="Times New Roman"/>
          <w:bCs/>
          <w:noProof/>
        </w:rPr>
        <w:t>(in %, nach eigenen Angaben nicht gedeckter Bedarf aus folgenden Gründen: „Finanzielle Gründe“, „Warteliste“ oder „Zu weite Anfahrt“; NUTS-2-Regionen)</w:t>
      </w:r>
    </w:p>
    <w:p w:rsidR="00B9782B" w:rsidRDefault="0062365E">
      <w:pPr>
        <w:jc w:val="center"/>
        <w:rPr>
          <w:noProof/>
        </w:rPr>
      </w:pPr>
      <w:r>
        <w:rPr>
          <w:noProof/>
          <w:lang w:val="fr-BE" w:eastAsia="fr-BE"/>
        </w:rPr>
        <w:drawing>
          <wp:inline distT="0" distB="0" distL="0" distR="0">
            <wp:extent cx="4077645" cy="5010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met needs.jpg"/>
                    <pic:cNvPicPr/>
                  </pic:nvPicPr>
                  <pic:blipFill rotWithShape="1">
                    <a:blip r:embed="rId23">
                      <a:extLst>
                        <a:ext uri="{28A0092B-C50C-407E-A947-70E740481C1C}">
                          <a14:useLocalDpi xmlns:a14="http://schemas.microsoft.com/office/drawing/2010/main" val="0"/>
                        </a:ext>
                      </a:extLst>
                    </a:blip>
                    <a:srcRect r="47302"/>
                    <a:stretch/>
                  </pic:blipFill>
                  <pic:spPr bwMode="auto">
                    <a:xfrm>
                      <a:off x="0" y="0"/>
                      <a:ext cx="4097439" cy="5035236"/>
                    </a:xfrm>
                    <a:prstGeom prst="rect">
                      <a:avLst/>
                    </a:prstGeom>
                    <a:ln>
                      <a:noFill/>
                    </a:ln>
                    <a:extLst>
                      <a:ext uri="{53640926-AAD7-44D8-BBD7-CCE9431645EC}">
                        <a14:shadowObscured xmlns:a14="http://schemas.microsoft.com/office/drawing/2010/main"/>
                      </a:ext>
                    </a:extLst>
                  </pic:spPr>
                </pic:pic>
              </a:graphicData>
            </a:graphic>
          </wp:inline>
        </w:drawing>
      </w:r>
    </w:p>
    <w:p w:rsidR="00B9782B" w:rsidRDefault="0062365E">
      <w:pPr>
        <w:spacing w:line="240" w:lineRule="auto"/>
        <w:jc w:val="both"/>
        <w:rPr>
          <w:rFonts w:ascii="Times New Roman" w:hAnsi="Times New Roman" w:cs="Times New Roman"/>
          <w:noProof/>
          <w:sz w:val="20"/>
          <w:szCs w:val="24"/>
        </w:rPr>
      </w:pPr>
      <w:r>
        <w:rPr>
          <w:rFonts w:ascii="Times New Roman" w:hAnsi="Times New Roman"/>
          <w:noProof/>
          <w:sz w:val="20"/>
        </w:rPr>
        <w:t>Anmerkung: Niederlan</w:t>
      </w:r>
      <w:r>
        <w:rPr>
          <w:rFonts w:ascii="Times New Roman" w:hAnsi="Times New Roman"/>
          <w:noProof/>
          <w:sz w:val="20"/>
        </w:rPr>
        <w:t>de und Polen: NUTS-Ebene 1. Belgien, Deutschland, Frankreich, Litauen, Österreich und Portugal: nationale Daten. Vereinigtes Königreich: nationale Daten, vorläufig.</w:t>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Quelle: Eurostat (Online-Datencode: hlth_silc_08_r and tespm110)</w:t>
      </w:r>
    </w:p>
    <w:p w:rsidR="00B9782B" w:rsidRDefault="0062365E">
      <w:pPr>
        <w:rPr>
          <w:rFonts w:ascii="Times New Roman" w:eastAsia="Calibri" w:hAnsi="Times New Roman" w:cs="Times New Roman"/>
          <w:b/>
          <w:noProof/>
          <w:sz w:val="24"/>
          <w:szCs w:val="24"/>
        </w:rPr>
      </w:pPr>
      <w:r>
        <w:rPr>
          <w:noProof/>
        </w:rPr>
        <w:br w:type="page"/>
      </w:r>
    </w:p>
    <w:p w:rsidR="00B9782B" w:rsidRDefault="0062365E">
      <w:pPr>
        <w:spacing w:after="0" w:line="240" w:lineRule="auto"/>
        <w:rPr>
          <w:rFonts w:ascii="Times New Roman" w:hAnsi="Times New Roman" w:cs="Times New Roman"/>
          <w:b/>
          <w:bCs/>
          <w:noProof/>
          <w:sz w:val="24"/>
          <w:szCs w:val="24"/>
        </w:rPr>
      </w:pPr>
      <w:r>
        <w:rPr>
          <w:rFonts w:ascii="Times New Roman" w:hAnsi="Times New Roman"/>
          <w:b/>
          <w:bCs/>
          <w:noProof/>
        </w:rPr>
        <w:t xml:space="preserve">Abbildung 10: </w:t>
      </w:r>
      <w:r>
        <w:rPr>
          <w:rFonts w:ascii="Times New Roman" w:hAnsi="Times New Roman"/>
          <w:b/>
          <w:bCs/>
          <w:noProof/>
        </w:rPr>
        <w:t>Einkommensquintil-Verhältnis, 2017</w:t>
      </w:r>
    </w:p>
    <w:p w:rsidR="00B9782B" w:rsidRDefault="0062365E">
      <w:pPr>
        <w:spacing w:line="240" w:lineRule="auto"/>
        <w:jc w:val="both"/>
        <w:rPr>
          <w:rFonts w:ascii="Times New Roman" w:hAnsi="Times New Roman" w:cs="Times New Roman"/>
          <w:bCs/>
          <w:noProof/>
          <w:sz w:val="24"/>
          <w:szCs w:val="24"/>
        </w:rPr>
      </w:pPr>
      <w:r>
        <w:rPr>
          <w:rFonts w:ascii="Times New Roman" w:hAnsi="Times New Roman"/>
          <w:bCs/>
          <w:noProof/>
        </w:rPr>
        <w:t>(Index, nach NUTS-2-Regionen)</w:t>
      </w:r>
    </w:p>
    <w:p w:rsidR="00B9782B" w:rsidRDefault="0062365E">
      <w:pPr>
        <w:spacing w:line="240" w:lineRule="auto"/>
        <w:jc w:val="center"/>
        <w:rPr>
          <w:rFonts w:ascii="Times New Roman" w:eastAsia="Calibri" w:hAnsi="Times New Roman" w:cs="Times New Roman"/>
          <w:b/>
          <w:noProof/>
          <w:sz w:val="24"/>
          <w:szCs w:val="24"/>
        </w:rPr>
      </w:pPr>
      <w:r>
        <w:rPr>
          <w:rFonts w:ascii="Times New Roman" w:hAnsi="Times New Roman"/>
          <w:b/>
          <w:noProof/>
          <w:lang w:val="fr-BE" w:eastAsia="fr-BE"/>
        </w:rPr>
        <w:drawing>
          <wp:inline distT="0" distB="0" distL="0" distR="0">
            <wp:extent cx="3994099" cy="4945445"/>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80S20.jpg"/>
                    <pic:cNvPicPr/>
                  </pic:nvPicPr>
                  <pic:blipFill rotWithShape="1">
                    <a:blip r:embed="rId24">
                      <a:extLst>
                        <a:ext uri="{28A0092B-C50C-407E-A947-70E740481C1C}">
                          <a14:useLocalDpi xmlns:a14="http://schemas.microsoft.com/office/drawing/2010/main" val="0"/>
                        </a:ext>
                      </a:extLst>
                    </a:blip>
                    <a:srcRect r="47556"/>
                    <a:stretch/>
                  </pic:blipFill>
                  <pic:spPr bwMode="auto">
                    <a:xfrm>
                      <a:off x="0" y="0"/>
                      <a:ext cx="4005625" cy="4959716"/>
                    </a:xfrm>
                    <a:prstGeom prst="rect">
                      <a:avLst/>
                    </a:prstGeom>
                    <a:ln>
                      <a:noFill/>
                    </a:ln>
                    <a:extLst>
                      <a:ext uri="{53640926-AAD7-44D8-BBD7-CCE9431645EC}">
                        <a14:shadowObscured xmlns:a14="http://schemas.microsoft.com/office/drawing/2010/main"/>
                      </a:ext>
                    </a:extLst>
                  </pic:spPr>
                </pic:pic>
              </a:graphicData>
            </a:graphic>
          </wp:inline>
        </w:drawing>
      </w:r>
    </w:p>
    <w:p w:rsidR="00B9782B" w:rsidRDefault="0062365E">
      <w:pPr>
        <w:spacing w:line="240" w:lineRule="auto"/>
        <w:jc w:val="both"/>
        <w:rPr>
          <w:rFonts w:ascii="Times New Roman" w:hAnsi="Times New Roman" w:cs="Times New Roman"/>
          <w:noProof/>
          <w:sz w:val="20"/>
          <w:szCs w:val="24"/>
        </w:rPr>
      </w:pPr>
      <w:r>
        <w:rPr>
          <w:rFonts w:ascii="Times New Roman" w:hAnsi="Times New Roman"/>
          <w:noProof/>
          <w:sz w:val="20"/>
        </w:rPr>
        <w:t>Anmerkung: Griechenland: NUTS-Ebene 1. Belgien, Bulgarien, Tschechien, Deutschland, Spanien, Frankreich, Litauen, Ungarn, Österreich, Polen, Portugal, Slowenien, Schweden und Vereinigtes Kö</w:t>
      </w:r>
      <w:r>
        <w:rPr>
          <w:rFonts w:ascii="Times New Roman" w:hAnsi="Times New Roman"/>
          <w:noProof/>
          <w:sz w:val="20"/>
        </w:rPr>
        <w:t>nigreich: nationale Daten. Irland: 2018, vorläufig. Niederlande: 2018.</w:t>
      </w:r>
    </w:p>
    <w:p w:rsidR="00B9782B" w:rsidRDefault="0062365E">
      <w:pPr>
        <w:spacing w:line="240" w:lineRule="auto"/>
        <w:rPr>
          <w:rFonts w:ascii="Times New Roman" w:hAnsi="Times New Roman" w:cs="Times New Roman"/>
          <w:noProof/>
          <w:sz w:val="20"/>
          <w:szCs w:val="24"/>
        </w:rPr>
      </w:pPr>
      <w:r>
        <w:rPr>
          <w:rFonts w:ascii="Times New Roman" w:hAnsi="Times New Roman"/>
          <w:noProof/>
          <w:sz w:val="20"/>
        </w:rPr>
        <w:t>Quelle: Eurostat (Online-Datencode: ilc_di11_r and ilc_di11)</w:t>
      </w:r>
    </w:p>
    <w:p w:rsidR="00B9782B" w:rsidRDefault="00B9782B">
      <w:pPr>
        <w:jc w:val="both"/>
        <w:rPr>
          <w:rFonts w:ascii="Times New Roman" w:eastAsia="Calibri" w:hAnsi="Times New Roman" w:cs="Times New Roman"/>
          <w:b/>
          <w:noProof/>
          <w:sz w:val="24"/>
          <w:szCs w:val="24"/>
        </w:rPr>
      </w:pPr>
    </w:p>
    <w:p w:rsidR="00B9782B" w:rsidRDefault="0062365E">
      <w:pPr>
        <w:rPr>
          <w:rFonts w:ascii="Times New Roman" w:eastAsia="Calibri" w:hAnsi="Times New Roman" w:cs="Times New Roman"/>
          <w:b/>
          <w:noProof/>
          <w:sz w:val="24"/>
          <w:szCs w:val="24"/>
        </w:rPr>
      </w:pPr>
      <w:r>
        <w:rPr>
          <w:noProof/>
        </w:rPr>
        <w:br w:type="page"/>
      </w:r>
    </w:p>
    <w:p w:rsidR="00B9782B" w:rsidRDefault="0062365E">
      <w:pPr>
        <w:jc w:val="both"/>
        <w:rPr>
          <w:rFonts w:ascii="Times New Roman" w:eastAsia="Calibri" w:hAnsi="Times New Roman" w:cs="Times New Roman"/>
          <w:b/>
          <w:noProof/>
          <w:sz w:val="24"/>
          <w:szCs w:val="24"/>
        </w:rPr>
      </w:pPr>
      <w:r>
        <w:rPr>
          <w:rFonts w:ascii="Times New Roman" w:hAnsi="Times New Roman"/>
          <w:b/>
          <w:noProof/>
        </w:rPr>
        <w:t xml:space="preserve">Anhang 4. Hinweise zur Methodik der Ermittlung von Trends und Werten im Scoreboard </w:t>
      </w:r>
    </w:p>
    <w:p w:rsidR="00B9782B" w:rsidRDefault="0062365E">
      <w:pPr>
        <w:jc w:val="both"/>
        <w:rPr>
          <w:rFonts w:cs="Times New Roman"/>
          <w:noProof/>
          <w:sz w:val="20"/>
          <w:szCs w:val="20"/>
        </w:rPr>
      </w:pPr>
      <w:r>
        <w:rPr>
          <w:rFonts w:ascii="Times New Roman" w:hAnsi="Times New Roman"/>
          <w:noProof/>
          <w:sz w:val="20"/>
          <w:szCs w:val="20"/>
        </w:rPr>
        <w:t>Mitte 2015 vereinbarten die Europäisc</w:t>
      </w:r>
      <w:r>
        <w:rPr>
          <w:rFonts w:ascii="Times New Roman" w:hAnsi="Times New Roman"/>
          <w:noProof/>
          <w:sz w:val="20"/>
          <w:szCs w:val="20"/>
        </w:rPr>
        <w:t xml:space="preserve">he Kommission, der Ausschuss für Beschäftigung und der Ausschuss für Sozialschutz eine Methodik zur Bewertung der Leistung der Mitgliedstaaten anhand des Scoreboards beschäftigungs- und sozialpolitischer Schlüsselindikatoren. Der Vereinbarung zufolge soll </w:t>
      </w:r>
      <w:r>
        <w:rPr>
          <w:rFonts w:ascii="Times New Roman" w:hAnsi="Times New Roman"/>
          <w:noProof/>
          <w:sz w:val="20"/>
          <w:szCs w:val="20"/>
        </w:rPr>
        <w:t>die Methodik für jeden Indikator eine Messgröße für das relative Abschneiden jedes Mitgliedstaats innerhalb der Verteilung der Indikatorwerte (Ergebnisse) der EU liefern. Die Methode wird sowohl auf die Jahreswerte (Werte) als auch auf die Veränderungen im</w:t>
      </w:r>
      <w:r>
        <w:rPr>
          <w:rFonts w:ascii="Times New Roman" w:hAnsi="Times New Roman"/>
          <w:noProof/>
          <w:sz w:val="20"/>
          <w:szCs w:val="20"/>
        </w:rPr>
        <w:t xml:space="preserve"> Jahresvergleich (Veränderungen) angewandt, sodass die Leistung der Mitgliedstaaten ganzheitlich bewertet werden kann.</w:t>
      </w:r>
      <w:r>
        <w:rPr>
          <w:rStyle w:val="FootnoteReference"/>
          <w:rFonts w:cs="Times New Roman"/>
          <w:noProof/>
          <w:sz w:val="20"/>
          <w:szCs w:val="20"/>
        </w:rPr>
        <w:footnoteReference w:id="1"/>
      </w:r>
      <w:r>
        <w:rPr>
          <w:rFonts w:ascii="Times New Roman" w:hAnsi="Times New Roman"/>
          <w:noProof/>
          <w:sz w:val="20"/>
          <w:szCs w:val="20"/>
        </w:rPr>
        <w:t xml:space="preserve"> </w:t>
      </w:r>
    </w:p>
    <w:p w:rsidR="00B9782B" w:rsidRDefault="0062365E">
      <w:pPr>
        <w:jc w:val="both"/>
        <w:rPr>
          <w:rFonts w:cs="Times New Roman"/>
          <w:noProof/>
          <w:sz w:val="20"/>
          <w:szCs w:val="20"/>
        </w:rPr>
      </w:pPr>
      <w:r>
        <w:rPr>
          <w:rFonts w:ascii="Times New Roman" w:hAnsi="Times New Roman"/>
          <w:noProof/>
          <w:sz w:val="20"/>
          <w:szCs w:val="20"/>
        </w:rPr>
        <w:t>2017 hatte die Kommission in Abstimmung mit dem Ausschuss für Beschäftigung und dem Ausschuss für Sozialschutz beschlossen, die Methodi</w:t>
      </w:r>
      <w:r>
        <w:rPr>
          <w:rFonts w:ascii="Times New Roman" w:hAnsi="Times New Roman"/>
          <w:noProof/>
          <w:sz w:val="20"/>
          <w:szCs w:val="20"/>
        </w:rPr>
        <w:t>k auf das die europäische Säule sozialer Rechte begleitende sozialpolitische Scoreboard anzuwenden.</w:t>
      </w:r>
    </w:p>
    <w:p w:rsidR="00B9782B" w:rsidRDefault="0062365E">
      <w:pPr>
        <w:jc w:val="both"/>
        <w:rPr>
          <w:rFonts w:ascii="Times New Roman" w:hAnsi="Times New Roman" w:cs="Times New Roman"/>
          <w:noProof/>
          <w:sz w:val="20"/>
        </w:rPr>
      </w:pPr>
      <w:r>
        <w:rPr>
          <w:rFonts w:ascii="Times New Roman" w:hAnsi="Times New Roman"/>
          <w:noProof/>
          <w:sz w:val="20"/>
          <w:szCs w:val="20"/>
        </w:rPr>
        <w:t>Zu jedem Indikator werden Werte und Veränderungen in standardisierte Ergebnisse (auch „Z-Scores“ genannt) umgewandelt, um auf alle Indikatoren die gleiche M</w:t>
      </w:r>
      <w:r>
        <w:rPr>
          <w:rFonts w:ascii="Times New Roman" w:hAnsi="Times New Roman"/>
          <w:noProof/>
          <w:sz w:val="20"/>
          <w:szCs w:val="20"/>
        </w:rPr>
        <w:t xml:space="preserve">etrik anzuwenden. </w:t>
      </w:r>
      <w:r>
        <w:rPr>
          <w:rFonts w:ascii="Times New Roman" w:hAnsi="Times New Roman"/>
          <w:noProof/>
          <w:sz w:val="20"/>
        </w:rPr>
        <w:t>Hierzu werden die Rohdaten der Werte wie auch der Veränderungen nach der folgenden Formel standardisiert:</w:t>
      </w:r>
    </w:p>
    <w:p w:rsidR="00B9782B" w:rsidRDefault="0062365E">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m:t>
              </m:r>
              <m:r>
                <w:rPr>
                  <w:rFonts w:ascii="Cambria Math" w:hAnsi="Cambria Math" w:cs="Times New Roman"/>
                  <w:noProof/>
                  <w:sz w:val="20"/>
                </w:rPr>
                <m:t>-</m:t>
              </m:r>
              <m:r>
                <w:rPr>
                  <w:rFonts w:ascii="Cambria Math" w:hAnsi="Cambria Math" w:cs="Times New Roman"/>
                  <w:noProof/>
                  <w:sz w:val="20"/>
                </w:rPr>
                <m:t>score</m:t>
              </m:r>
              <m:r>
                <w:rPr>
                  <w:rFonts w:ascii="Cambria Math" w:hAnsi="Cambria Math" w:cs="Times New Roman"/>
                  <w:noProof/>
                  <w:sz w:val="20"/>
                </w:rPr>
                <m:t xml:space="preserve"> </m:t>
              </m:r>
              <m:r>
                <w:rPr>
                  <w:rFonts w:ascii="Cambria Math" w:hAnsi="Cambria Math" w:cs="Times New Roman"/>
                  <w:noProof/>
                  <w:sz w:val="20"/>
                </w:rPr>
                <m:t>for</m:t>
              </m:r>
              <m:r>
                <w:rPr>
                  <w:rFonts w:ascii="Cambria Math" w:hAnsi="Cambria Math" w:cs="Times New Roman"/>
                  <w:noProof/>
                  <w:sz w:val="20"/>
                </w:rPr>
                <m:t xml:space="preserve"> </m:t>
              </m:r>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 xml:space="preserve"> -</m:t>
                  </m:r>
                  <m:r>
                    <w:rPr>
                      <w:rFonts w:ascii="Cambria Math" w:hAnsi="Cambria Math" w:cs="Times New Roman"/>
                      <w:noProof/>
                      <w:sz w:val="20"/>
                    </w:rPr>
                    <m:t>average</m:t>
                  </m:r>
                  <m:r>
                    <w:rPr>
                      <w:rFonts w:ascii="Cambria Math" w:hAnsi="Cambria Math" w:cs="Times New Roman"/>
                      <w:noProof/>
                      <w:sz w:val="20"/>
                    </w:rPr>
                    <m:t xml:space="preserve"> </m:t>
                  </m:r>
                  <m:d>
                    <m:dPr>
                      <m:ctrlPr>
                        <w:rPr>
                          <w:rFonts w:ascii="Cambria Math" w:hAnsi="Cambria Math" w:cs="Times New Roman"/>
                          <w:i/>
                          <w:noProof/>
                          <w:sz w:val="20"/>
                        </w:rPr>
                      </m:ctrlPr>
                    </m:dPr>
                    <m:e>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e>
                  </m:d>
                </m:e>
              </m:d>
            </m:num>
            <m:den>
              <m:r>
                <w:rPr>
                  <w:rFonts w:ascii="Cambria Math" w:hAnsi="Cambria Math" w:cs="Times New Roman"/>
                  <w:noProof/>
                  <w:sz w:val="20"/>
                </w:rPr>
                <m:t>standard</m:t>
              </m:r>
              <m:r>
                <w:rPr>
                  <w:rFonts w:ascii="Cambria Math" w:hAnsi="Cambria Math" w:cs="Times New Roman"/>
                  <w:noProof/>
                  <w:sz w:val="20"/>
                </w:rPr>
                <m:t xml:space="preserve"> </m:t>
              </m:r>
              <m:r>
                <w:rPr>
                  <w:rFonts w:ascii="Cambria Math" w:hAnsi="Cambria Math" w:cs="Times New Roman"/>
                  <w:noProof/>
                  <w:sz w:val="20"/>
                </w:rPr>
                <m:t>deviation</m:t>
              </m:r>
              <m:r>
                <w:rPr>
                  <w:rFonts w:ascii="Cambria Math" w:hAnsi="Cambria Math" w:cs="Times New Roman"/>
                  <w:noProof/>
                  <w:sz w:val="20"/>
                </w:rPr>
                <m:t xml:space="preserve"> (</m:t>
              </m:r>
              <m:r>
                <w:rPr>
                  <w:rFonts w:ascii="Cambria Math" w:hAnsi="Cambria Math" w:cs="Times New Roman"/>
                  <w:noProof/>
                  <w:sz w:val="20"/>
                </w:rPr>
                <m:t>MS</m:t>
              </m:r>
              <m:r>
                <w:rPr>
                  <w:rFonts w:ascii="Cambria Math" w:hAnsi="Cambria Math" w:cs="Times New Roman"/>
                  <w:noProof/>
                  <w:sz w:val="20"/>
                </w:rPr>
                <m:t xml:space="preserve"> </m:t>
              </m:r>
              <m:r>
                <w:rPr>
                  <w:rFonts w:ascii="Cambria Math" w:hAnsi="Cambria Math" w:cs="Times New Roman"/>
                  <w:noProof/>
                  <w:sz w:val="20"/>
                </w:rPr>
                <m:t>indicator</m:t>
              </m:r>
              <m:r>
                <w:rPr>
                  <w:rFonts w:ascii="Cambria Math" w:hAnsi="Cambria Math" w:cs="Times New Roman"/>
                  <w:noProof/>
                  <w:sz w:val="20"/>
                </w:rPr>
                <m:t>)</m:t>
              </m:r>
            </m:den>
          </m:f>
        </m:oMath>
      </m:oMathPara>
    </w:p>
    <w:p w:rsidR="00B9782B" w:rsidRDefault="0062365E">
      <w:pPr>
        <w:spacing w:after="120"/>
        <w:jc w:val="both"/>
        <w:rPr>
          <w:rFonts w:ascii="Times New Roman" w:hAnsi="Times New Roman" w:cs="Times New Roman"/>
          <w:noProof/>
          <w:sz w:val="20"/>
        </w:rPr>
      </w:pPr>
      <w:r>
        <w:rPr>
          <w:rFonts w:ascii="Times New Roman" w:hAnsi="Times New Roman"/>
          <w:noProof/>
          <w:sz w:val="20"/>
        </w:rPr>
        <w:t>Anschließend wird die Verteilung der Ergebnisse (getrennt für Werte und Veränderungen) analysiert. Dadurch kann zu jedem Mitgliedstaat der zugehörige Rohindikatorwert als Vielfaches der Standard</w:t>
      </w:r>
      <w:r>
        <w:rPr>
          <w:rFonts w:ascii="Times New Roman" w:hAnsi="Times New Roman"/>
          <w:noProof/>
          <w:sz w:val="20"/>
        </w:rPr>
        <w:t xml:space="preserve">abweichung vom (ungewichteten) Mittelwert angegeben werden. Die Leistung jedes Mitgliedstaates wird anhand der sich ergebenden Z-Scores im Vergleich zu festgelegten Schwellenwerten, die als Vielfaches der Standardabweichung festgelegt werden, bewertet und </w:t>
      </w:r>
      <w:r>
        <w:rPr>
          <w:rFonts w:ascii="Times New Roman" w:hAnsi="Times New Roman"/>
          <w:noProof/>
          <w:sz w:val="20"/>
        </w:rPr>
        <w:t xml:space="preserve">eingestuft. </w:t>
      </w:r>
    </w:p>
    <w:p w:rsidR="00B9782B" w:rsidRDefault="0062365E">
      <w:pPr>
        <w:spacing w:after="120"/>
        <w:jc w:val="both"/>
        <w:rPr>
          <w:rFonts w:ascii="Times New Roman" w:hAnsi="Times New Roman" w:cs="Times New Roman"/>
          <w:noProof/>
          <w:sz w:val="20"/>
        </w:rPr>
      </w:pPr>
      <w:r>
        <w:rPr>
          <w:rFonts w:ascii="Times New Roman" w:hAnsi="Times New Roman"/>
          <w:noProof/>
          <w:sz w:val="20"/>
        </w:rPr>
        <w:t>Das Hauptproblem bei diesem Ansatz ist die Festlegung von Abschneidepunkten. Da zur Verteilung der beobachteten Rohwerte</w:t>
      </w:r>
      <w:r>
        <w:rPr>
          <w:rStyle w:val="FootnoteReference"/>
          <w:rFonts w:cs="Times New Roman"/>
          <w:noProof/>
          <w:sz w:val="20"/>
        </w:rPr>
        <w:footnoteReference w:id="2"/>
      </w:r>
      <w:r>
        <w:rPr>
          <w:rFonts w:ascii="Times New Roman" w:hAnsi="Times New Roman"/>
          <w:noProof/>
          <w:sz w:val="20"/>
        </w:rPr>
        <w:t xml:space="preserve"> keine parametrische Annahme formuliert werden kann, wird bei der Wahl der Schwellenwerte üblicherweise auf Näherungswerte</w:t>
      </w:r>
      <w:r>
        <w:rPr>
          <w:rFonts w:ascii="Times New Roman" w:hAnsi="Times New Roman"/>
          <w:noProof/>
          <w:sz w:val="20"/>
        </w:rPr>
        <w:t xml:space="preserve"> gesetzt. Gemäß der Analyse der im Scoreboard verwendeten Schlüsselindikatoren wurde das folgende Vorgehen vereinbart:  </w:t>
      </w:r>
    </w:p>
    <w:p w:rsidR="00B9782B" w:rsidRDefault="0062365E">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 xml:space="preserve">Werte unter -1 gelten als sehr gute Leistung. </w:t>
      </w:r>
    </w:p>
    <w:p w:rsidR="00B9782B" w:rsidRDefault="0062365E">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Werte zwischen -1 und -0,5 gelten als gute Leistung.</w:t>
      </w:r>
    </w:p>
    <w:p w:rsidR="00B9782B" w:rsidRDefault="0062365E">
      <w:pPr>
        <w:pStyle w:val="ListParagraph"/>
        <w:numPr>
          <w:ilvl w:val="0"/>
          <w:numId w:val="1"/>
        </w:numPr>
        <w:spacing w:after="120"/>
        <w:rPr>
          <w:rFonts w:ascii="Times New Roman" w:hAnsi="Times New Roman" w:cs="Times New Roman"/>
          <w:noProof/>
          <w:sz w:val="20"/>
          <w:szCs w:val="20"/>
        </w:rPr>
      </w:pPr>
      <w:r>
        <w:rPr>
          <w:rFonts w:ascii="Times New Roman" w:hAnsi="Times New Roman"/>
          <w:noProof/>
          <w:sz w:val="20"/>
          <w:szCs w:val="20"/>
        </w:rPr>
        <w:t xml:space="preserve">Werte zwischen -0,5 und 0,5 gelten </w:t>
      </w:r>
      <w:r>
        <w:rPr>
          <w:rFonts w:ascii="Times New Roman" w:hAnsi="Times New Roman"/>
          <w:noProof/>
          <w:sz w:val="20"/>
          <w:szCs w:val="20"/>
        </w:rPr>
        <w:t>als neutrale Leistung.</w:t>
      </w:r>
    </w:p>
    <w:p w:rsidR="00B9782B" w:rsidRDefault="0062365E">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Werte zwischen 0,5 und 1 gelten als schlechte Leistung.</w:t>
      </w:r>
    </w:p>
    <w:p w:rsidR="00B9782B" w:rsidRDefault="0062365E">
      <w:pPr>
        <w:pStyle w:val="ListParagraph"/>
        <w:numPr>
          <w:ilvl w:val="0"/>
          <w:numId w:val="1"/>
        </w:numPr>
        <w:spacing w:after="120"/>
        <w:jc w:val="both"/>
        <w:rPr>
          <w:rFonts w:ascii="Times New Roman" w:hAnsi="Times New Roman" w:cs="Times New Roman"/>
          <w:noProof/>
          <w:sz w:val="20"/>
          <w:szCs w:val="20"/>
        </w:rPr>
      </w:pPr>
      <w:r>
        <w:rPr>
          <w:rFonts w:ascii="Times New Roman" w:hAnsi="Times New Roman"/>
          <w:noProof/>
          <w:sz w:val="20"/>
          <w:szCs w:val="20"/>
        </w:rPr>
        <w:t>Werte über 1 gelten als sehr schlechte Leistung</w:t>
      </w:r>
      <w:r>
        <w:rPr>
          <w:noProof/>
          <w:sz w:val="20"/>
          <w:szCs w:val="20"/>
        </w:rPr>
        <w:t>.</w:t>
      </w:r>
      <w:r>
        <w:rPr>
          <w:rStyle w:val="FootnoteReference"/>
          <w:rFonts w:cs="Times New Roman"/>
          <w:noProof/>
          <w:sz w:val="20"/>
          <w:szCs w:val="20"/>
        </w:rPr>
        <w:footnoteReference w:id="3"/>
      </w:r>
    </w:p>
    <w:p w:rsidR="00B9782B" w:rsidRDefault="0062365E">
      <w:pPr>
        <w:pStyle w:val="caption4"/>
        <w:keepNext/>
        <w:keepLines/>
        <w:spacing w:before="240" w:after="0"/>
        <w:rPr>
          <w:rFonts w:ascii="Times New Roman" w:hAnsi="Times New Roman"/>
          <w:noProof/>
          <w:sz w:val="20"/>
          <w:szCs w:val="20"/>
        </w:rPr>
      </w:pPr>
      <w:r>
        <w:rPr>
          <w:rFonts w:ascii="Times New Roman" w:hAnsi="Times New Roman"/>
          <w:noProof/>
          <w:sz w:val="20"/>
          <w:szCs w:val="20"/>
        </w:rPr>
        <w:t>Tabelle </w:t>
      </w:r>
      <w:r>
        <w:rPr>
          <w:rFonts w:ascii="Times New Roman" w:hAnsi="Times New Roman"/>
          <w:noProof/>
          <w:sz w:val="20"/>
          <w:szCs w:val="20"/>
        </w:rPr>
        <w:fldChar w:fldCharType="begin"/>
      </w:r>
      <w:r>
        <w:rPr>
          <w:rFonts w:ascii="Times New Roman" w:hAnsi="Times New Roman"/>
          <w:noProof/>
          <w:sz w:val="20"/>
          <w:szCs w:val="20"/>
        </w:rPr>
        <w:instrText xml:space="preserve"> SEQ Table \* ARABIC </w:instrText>
      </w:r>
      <w:r>
        <w:rPr>
          <w:rFonts w:ascii="Times New Roman" w:hAnsi="Times New Roman"/>
          <w:noProof/>
          <w:sz w:val="20"/>
          <w:szCs w:val="20"/>
        </w:rPr>
        <w:fldChar w:fldCharType="separate"/>
      </w:r>
      <w:r>
        <w:rPr>
          <w:rFonts w:ascii="Times New Roman" w:hAnsi="Times New Roman"/>
          <w:noProof/>
          <w:sz w:val="20"/>
          <w:szCs w:val="20"/>
        </w:rPr>
        <w:t>1</w:t>
      </w:r>
      <w:r>
        <w:rPr>
          <w:rFonts w:ascii="Times New Roman" w:hAnsi="Times New Roman"/>
          <w:noProof/>
          <w:sz w:val="20"/>
          <w:szCs w:val="20"/>
        </w:rPr>
        <w:fldChar w:fldCharType="end"/>
      </w:r>
      <w:r>
        <w:rPr>
          <w:rFonts w:ascii="Times New Roman" w:hAnsi="Times New Roman"/>
          <w:noProof/>
          <w:sz w:val="20"/>
          <w:szCs w:val="20"/>
        </w:rPr>
        <w:t>: Z-Score-Schwellenwerte</w:t>
      </w:r>
    </w:p>
    <w:tbl>
      <w:tblPr>
        <w:tblStyle w:val="LightShading-Accent1"/>
        <w:tblW w:w="8997" w:type="dxa"/>
        <w:tblLook w:val="04A0" w:firstRow="1" w:lastRow="0" w:firstColumn="1" w:lastColumn="0" w:noHBand="0" w:noVBand="1"/>
      </w:tblPr>
      <w:tblGrid>
        <w:gridCol w:w="1410"/>
        <w:gridCol w:w="1562"/>
        <w:gridCol w:w="1562"/>
        <w:gridCol w:w="1720"/>
        <w:gridCol w:w="1517"/>
        <w:gridCol w:w="1517"/>
      </w:tblGrid>
      <w:tr w:rsidR="00B9782B" w:rsidTr="00B9782B">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725" w:type="dxa"/>
            <w:vMerge w:val="restart"/>
            <w:noWrap/>
            <w:hideMark/>
          </w:tcPr>
          <w:p w:rsidR="00B9782B" w:rsidRDefault="0062365E">
            <w:pPr>
              <w:keepNext/>
              <w:keepLines/>
              <w:jc w:val="center"/>
              <w:rPr>
                <w:rFonts w:ascii="Times New Roman" w:hAnsi="Times New Roman" w:cs="Times New Roman"/>
                <w:noProof/>
                <w:color w:val="000000"/>
                <w:sz w:val="20"/>
              </w:rPr>
            </w:pPr>
            <w:r>
              <w:rPr>
                <w:rFonts w:ascii="Times New Roman" w:hAnsi="Times New Roman"/>
                <w:noProof/>
                <w:sz w:val="20"/>
              </w:rPr>
              <w:t> </w:t>
            </w:r>
          </w:p>
        </w:tc>
        <w:tc>
          <w:tcPr>
            <w:tcW w:w="7271" w:type="dxa"/>
            <w:gridSpan w:val="5"/>
            <w:hideMark/>
          </w:tcPr>
          <w:p w:rsidR="00B9782B" w:rsidRDefault="0062365E">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sz w:val="20"/>
              </w:rPr>
              <w:t>Z-Score-Schwellenwerte</w:t>
            </w:r>
          </w:p>
        </w:tc>
      </w:tr>
      <w:tr w:rsidR="00B9782B" w:rsidTr="00B9782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25" w:type="dxa"/>
            <w:vMerge/>
            <w:hideMark/>
          </w:tcPr>
          <w:p w:rsidR="00B9782B" w:rsidRDefault="00B9782B">
            <w:pPr>
              <w:keepNext/>
              <w:keepLines/>
              <w:rPr>
                <w:rFonts w:ascii="Times New Roman" w:hAnsi="Times New Roman" w:cs="Times New Roman"/>
                <w:noProof/>
                <w:color w:val="000000"/>
                <w:sz w:val="20"/>
              </w:rPr>
            </w:pPr>
          </w:p>
        </w:tc>
        <w:tc>
          <w:tcPr>
            <w:tcW w:w="1428" w:type="dxa"/>
            <w:noWrap/>
            <w:hideMark/>
          </w:tcPr>
          <w:p w:rsidR="00B9782B" w:rsidRDefault="0062365E">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558" w:type="dxa"/>
            <w:noWrap/>
            <w:hideMark/>
          </w:tcPr>
          <w:p w:rsidR="00B9782B" w:rsidRDefault="0062365E">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28" w:type="dxa"/>
            <w:noWrap/>
            <w:hideMark/>
          </w:tcPr>
          <w:p w:rsidR="00B9782B" w:rsidRDefault="0062365E">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28" w:type="dxa"/>
            <w:noWrap/>
            <w:hideMark/>
          </w:tcPr>
          <w:p w:rsidR="00B9782B" w:rsidRDefault="0062365E">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30" w:type="dxa"/>
            <w:noWrap/>
            <w:hideMark/>
          </w:tcPr>
          <w:p w:rsidR="00B9782B" w:rsidRDefault="0062365E">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rsidR="00B9782B" w:rsidTr="00B9782B">
        <w:trPr>
          <w:trHeight w:val="254"/>
        </w:trPr>
        <w:tc>
          <w:tcPr>
            <w:cnfStyle w:val="001000000000" w:firstRow="0" w:lastRow="0" w:firstColumn="1" w:lastColumn="0" w:oddVBand="0" w:evenVBand="0" w:oddHBand="0" w:evenHBand="0" w:firstRowFirstColumn="0" w:firstRowLastColumn="0" w:lastRowFirstColumn="0" w:lastRowLastColumn="0"/>
            <w:tcW w:w="1725" w:type="dxa"/>
            <w:vMerge/>
            <w:hideMark/>
          </w:tcPr>
          <w:p w:rsidR="00B9782B" w:rsidRDefault="00B9782B">
            <w:pPr>
              <w:keepNext/>
              <w:keepLines/>
              <w:rPr>
                <w:rFonts w:ascii="Times New Roman" w:hAnsi="Times New Roman" w:cs="Times New Roman"/>
                <w:noProof/>
                <w:color w:val="000000"/>
                <w:sz w:val="20"/>
              </w:rPr>
            </w:pPr>
          </w:p>
        </w:tc>
        <w:tc>
          <w:tcPr>
            <w:tcW w:w="1428" w:type="dxa"/>
            <w:noWrap/>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(niedriger als)</w:t>
            </w:r>
          </w:p>
        </w:tc>
        <w:tc>
          <w:tcPr>
            <w:tcW w:w="1558" w:type="dxa"/>
            <w:noWrap/>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(niedriger als)</w:t>
            </w:r>
          </w:p>
        </w:tc>
        <w:tc>
          <w:tcPr>
            <w:tcW w:w="1428" w:type="dxa"/>
            <w:noWrap/>
            <w:hideMark/>
          </w:tcPr>
          <w:p w:rsidR="00B9782B" w:rsidRDefault="0062365E">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color w:val="365F91"/>
                <w:sz w:val="20"/>
              </w:rPr>
            </w:pPr>
            <w:r>
              <w:rPr>
                <w:rFonts w:ascii="Times New Roman" w:hAnsi="Times New Roman"/>
                <w:i/>
                <w:noProof/>
                <w:sz w:val="20"/>
              </w:rPr>
              <w:t>(zwischen)</w:t>
            </w:r>
          </w:p>
        </w:tc>
        <w:tc>
          <w:tcPr>
            <w:tcW w:w="1428" w:type="dxa"/>
            <w:noWrap/>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(höher als)</w:t>
            </w:r>
          </w:p>
        </w:tc>
        <w:tc>
          <w:tcPr>
            <w:tcW w:w="1430" w:type="dxa"/>
            <w:noWrap/>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iCs/>
                <w:noProof/>
                <w:sz w:val="20"/>
              </w:rPr>
              <w:t>(höher als)</w:t>
            </w:r>
          </w:p>
        </w:tc>
      </w:tr>
      <w:tr w:rsidR="00B9782B" w:rsidTr="00B9782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725" w:type="dxa"/>
            <w:vMerge/>
            <w:hideMark/>
          </w:tcPr>
          <w:p w:rsidR="00B9782B" w:rsidRDefault="00B9782B">
            <w:pPr>
              <w:keepNext/>
              <w:keepLines/>
              <w:rPr>
                <w:rFonts w:ascii="Times New Roman" w:hAnsi="Times New Roman" w:cs="Times New Roman"/>
                <w:noProof/>
                <w:color w:val="000000"/>
                <w:sz w:val="20"/>
              </w:rPr>
            </w:pPr>
          </w:p>
        </w:tc>
        <w:tc>
          <w:tcPr>
            <w:tcW w:w="7271" w:type="dxa"/>
            <w:gridSpan w:val="5"/>
            <w:hideMark/>
          </w:tcPr>
          <w:p w:rsidR="00B9782B" w:rsidRDefault="0062365E">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bCs/>
                <w:noProof/>
                <w:sz w:val="20"/>
              </w:rPr>
              <w:t>Bewertung</w:t>
            </w:r>
          </w:p>
        </w:tc>
      </w:tr>
      <w:tr w:rsidR="00B9782B" w:rsidTr="00B9782B">
        <w:trPr>
          <w:trHeight w:val="339"/>
        </w:trPr>
        <w:tc>
          <w:tcPr>
            <w:cnfStyle w:val="001000000000" w:firstRow="0" w:lastRow="0" w:firstColumn="1" w:lastColumn="0" w:oddVBand="0" w:evenVBand="0" w:oddHBand="0" w:evenHBand="0" w:firstRowFirstColumn="0" w:firstRowLastColumn="0" w:lastRowFirstColumn="0" w:lastRowLastColumn="0"/>
            <w:tcW w:w="1725" w:type="dxa"/>
            <w:hideMark/>
          </w:tcPr>
          <w:p w:rsidR="00B9782B" w:rsidRDefault="0062365E">
            <w:pPr>
              <w:keepNext/>
              <w:keepLines/>
              <w:jc w:val="center"/>
              <w:rPr>
                <w:rFonts w:ascii="Times New Roman" w:hAnsi="Times New Roman" w:cs="Times New Roman"/>
                <w:noProof/>
                <w:color w:val="000000"/>
                <w:sz w:val="20"/>
              </w:rPr>
            </w:pPr>
            <w:r>
              <w:rPr>
                <w:rFonts w:ascii="Times New Roman" w:hAnsi="Times New Roman"/>
                <w:noProof/>
                <w:sz w:val="20"/>
              </w:rPr>
              <w:t>Werte</w:t>
            </w:r>
          </w:p>
        </w:tc>
        <w:tc>
          <w:tcPr>
            <w:tcW w:w="142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sehr niedrig</w:t>
            </w:r>
          </w:p>
        </w:tc>
        <w:tc>
          <w:tcPr>
            <w:tcW w:w="155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niedrig</w:t>
            </w:r>
          </w:p>
        </w:tc>
        <w:tc>
          <w:tcPr>
            <w:tcW w:w="142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durchschnittlich/neutral</w:t>
            </w:r>
          </w:p>
        </w:tc>
        <w:tc>
          <w:tcPr>
            <w:tcW w:w="142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hoch</w:t>
            </w:r>
          </w:p>
        </w:tc>
        <w:tc>
          <w:tcPr>
            <w:tcW w:w="1430"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sehr hoch</w:t>
            </w:r>
          </w:p>
        </w:tc>
      </w:tr>
      <w:tr w:rsidR="00B9782B" w:rsidTr="00B9782B">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25" w:type="dxa"/>
            <w:noWrap/>
            <w:hideMark/>
          </w:tcPr>
          <w:p w:rsidR="00B9782B" w:rsidRDefault="0062365E">
            <w:pPr>
              <w:keepNext/>
              <w:keepLines/>
              <w:rPr>
                <w:rFonts w:ascii="Times New Roman" w:hAnsi="Times New Roman" w:cs="Times New Roman"/>
                <w:noProof/>
                <w:color w:val="000000"/>
                <w:sz w:val="20"/>
              </w:rPr>
            </w:pPr>
            <w:r>
              <w:rPr>
                <w:rFonts w:ascii="Times New Roman" w:hAnsi="Times New Roman"/>
                <w:noProof/>
                <w:sz w:val="20"/>
              </w:rPr>
              <w:t> </w:t>
            </w:r>
          </w:p>
        </w:tc>
        <w:tc>
          <w:tcPr>
            <w:tcW w:w="1428" w:type="dxa"/>
            <w:noWrap/>
            <w:hideMark/>
          </w:tcPr>
          <w:p w:rsidR="00B9782B" w:rsidRDefault="00B9782B">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558" w:type="dxa"/>
            <w:noWrap/>
            <w:hideMark/>
          </w:tcPr>
          <w:p w:rsidR="00B9782B" w:rsidRDefault="00B9782B">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rsidR="00B9782B" w:rsidRDefault="00B9782B">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28" w:type="dxa"/>
            <w:noWrap/>
            <w:hideMark/>
          </w:tcPr>
          <w:p w:rsidR="00B9782B" w:rsidRDefault="00B9782B">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30" w:type="dxa"/>
            <w:noWrap/>
            <w:hideMark/>
          </w:tcPr>
          <w:p w:rsidR="00B9782B" w:rsidRDefault="0062365E">
            <w:pPr>
              <w:keepNext/>
              <w:keepLine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sz w:val="20"/>
              </w:rPr>
              <w:t> </w:t>
            </w:r>
          </w:p>
        </w:tc>
      </w:tr>
      <w:tr w:rsidR="00B9782B" w:rsidTr="00B9782B">
        <w:trPr>
          <w:trHeight w:val="565"/>
        </w:trPr>
        <w:tc>
          <w:tcPr>
            <w:cnfStyle w:val="001000000000" w:firstRow="0" w:lastRow="0" w:firstColumn="1" w:lastColumn="0" w:oddVBand="0" w:evenVBand="0" w:oddHBand="0" w:evenHBand="0" w:firstRowFirstColumn="0" w:firstRowLastColumn="0" w:lastRowFirstColumn="0" w:lastRowLastColumn="0"/>
            <w:tcW w:w="1725" w:type="dxa"/>
            <w:hideMark/>
          </w:tcPr>
          <w:p w:rsidR="00B9782B" w:rsidRDefault="0062365E">
            <w:pPr>
              <w:keepNext/>
              <w:keepLines/>
              <w:jc w:val="center"/>
              <w:rPr>
                <w:rFonts w:ascii="Times New Roman" w:hAnsi="Times New Roman" w:cs="Times New Roman"/>
                <w:noProof/>
                <w:color w:val="000000"/>
                <w:sz w:val="20"/>
              </w:rPr>
            </w:pPr>
            <w:r>
              <w:rPr>
                <w:rFonts w:ascii="Times New Roman" w:hAnsi="Times New Roman"/>
                <w:noProof/>
                <w:sz w:val="20"/>
              </w:rPr>
              <w:t>Veränderungen</w:t>
            </w:r>
          </w:p>
        </w:tc>
        <w:tc>
          <w:tcPr>
            <w:tcW w:w="142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weit unterdurchschnittlich</w:t>
            </w:r>
          </w:p>
        </w:tc>
        <w:tc>
          <w:tcPr>
            <w:tcW w:w="155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unterdurchschnittlich</w:t>
            </w:r>
          </w:p>
        </w:tc>
        <w:tc>
          <w:tcPr>
            <w:tcW w:w="142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durchschnittlich/neutral</w:t>
            </w:r>
          </w:p>
        </w:tc>
        <w:tc>
          <w:tcPr>
            <w:tcW w:w="1428"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überdurchschnittlich</w:t>
            </w:r>
          </w:p>
        </w:tc>
        <w:tc>
          <w:tcPr>
            <w:tcW w:w="1430" w:type="dxa"/>
            <w:hideMark/>
          </w:tcPr>
          <w:p w:rsidR="00B9782B" w:rsidRDefault="0062365E">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 xml:space="preserve">weit </w:t>
            </w:r>
            <w:r>
              <w:rPr>
                <w:rFonts w:ascii="Times New Roman" w:hAnsi="Times New Roman"/>
                <w:noProof/>
                <w:color w:val="002060"/>
                <w:sz w:val="20"/>
              </w:rPr>
              <w:t>überdurchschnittlich</w:t>
            </w:r>
          </w:p>
        </w:tc>
      </w:tr>
    </w:tbl>
    <w:p w:rsidR="00B9782B" w:rsidRDefault="0062365E">
      <w:pPr>
        <w:jc w:val="both"/>
        <w:rPr>
          <w:rFonts w:ascii="Times New Roman" w:hAnsi="Times New Roman" w:cs="Times New Roman"/>
          <w:noProof/>
          <w:sz w:val="20"/>
        </w:rPr>
      </w:pPr>
      <w:r>
        <w:rPr>
          <w:rFonts w:ascii="Times New Roman" w:hAnsi="Times New Roman"/>
          <w:bCs/>
          <w:noProof/>
          <w:sz w:val="20"/>
        </w:rPr>
        <w:br w:type="page"/>
      </w:r>
      <w:r>
        <w:rPr>
          <w:rFonts w:ascii="Times New Roman" w:hAnsi="Times New Roman"/>
          <w:noProof/>
          <w:sz w:val="20"/>
        </w:rPr>
        <w:t>Durch Verknüpfen der Bewertung der Werte und der Veränderungen kann sodann anhand der folgenden sieben Kategorien die Gesamtleistung eines Landes in Bezug auf den jeweiligen Indikator eingestuft werden. Die Farbcodierung spiegelt sic</w:t>
      </w:r>
      <w:r>
        <w:rPr>
          <w:rFonts w:ascii="Times New Roman" w:hAnsi="Times New Roman"/>
          <w:noProof/>
          <w:sz w:val="20"/>
        </w:rPr>
        <w:t xml:space="preserve">h in den betreffenden Zahlen im Hauptteil des Berichts wider. </w:t>
      </w:r>
    </w:p>
    <w:p w:rsidR="00B9782B" w:rsidRDefault="0062365E">
      <w:pPr>
        <w:jc w:val="both"/>
        <w:rPr>
          <w:rFonts w:ascii="Times New Roman" w:hAnsi="Times New Roman" w:cs="Times New Roman"/>
          <w:noProof/>
          <w:sz w:val="20"/>
        </w:rPr>
      </w:pPr>
      <w:r>
        <w:rPr>
          <w:rFonts w:ascii="Times New Roman" w:hAnsi="Times New Roman"/>
          <w:noProof/>
          <w:sz w:val="20"/>
        </w:rPr>
        <w:t xml:space="preserve">Die nachfolgenden Tabellen liefern die Einstufung auf Grundlage von Z-Scores zu jenen Indikatoren, bei denen ein </w:t>
      </w:r>
      <w:r>
        <w:rPr>
          <w:rFonts w:ascii="Times New Roman" w:hAnsi="Times New Roman"/>
          <w:noProof/>
          <w:sz w:val="20"/>
          <w:u w:val="single"/>
        </w:rPr>
        <w:t>niedriger Wert</w:t>
      </w:r>
      <w:r>
        <w:rPr>
          <w:rFonts w:ascii="Times New Roman" w:hAnsi="Times New Roman"/>
          <w:noProof/>
          <w:sz w:val="20"/>
        </w:rPr>
        <w:t xml:space="preserve"> als </w:t>
      </w:r>
      <w:r>
        <w:rPr>
          <w:rFonts w:ascii="Times New Roman" w:hAnsi="Times New Roman"/>
          <w:noProof/>
          <w:sz w:val="20"/>
          <w:u w:val="single"/>
        </w:rPr>
        <w:t>gute Leistung</w:t>
      </w:r>
      <w:r>
        <w:rPr>
          <w:rFonts w:ascii="Times New Roman" w:hAnsi="Times New Roman"/>
          <w:noProof/>
          <w:sz w:val="20"/>
        </w:rPr>
        <w:t xml:space="preserve"> eingestuft wird (z. B. Arbeitslosenquote, Quote</w:t>
      </w:r>
      <w:r>
        <w:rPr>
          <w:rFonts w:ascii="Times New Roman" w:hAnsi="Times New Roman"/>
          <w:noProof/>
          <w:sz w:val="20"/>
        </w:rPr>
        <w:t xml:space="preserve"> der von Armut und sozialer Ausgrenzung bedrohten Personen usw.). </w:t>
      </w:r>
    </w:p>
    <w:tbl>
      <w:tblPr>
        <w:tblStyle w:val="TableGrid"/>
        <w:tblW w:w="0" w:type="auto"/>
        <w:tblLook w:val="04A0" w:firstRow="1" w:lastRow="0" w:firstColumn="1" w:lastColumn="0" w:noHBand="0" w:noVBand="1"/>
      </w:tblPr>
      <w:tblGrid>
        <w:gridCol w:w="2410"/>
        <w:gridCol w:w="3360"/>
        <w:gridCol w:w="3518"/>
      </w:tblGrid>
      <w:tr w:rsidR="00B9782B">
        <w:tc>
          <w:tcPr>
            <w:tcW w:w="2508" w:type="dxa"/>
            <w:shd w:val="clear" w:color="auto" w:fill="00B050"/>
          </w:tcPr>
          <w:p w:rsidR="00B9782B" w:rsidRDefault="0062365E">
            <w:pPr>
              <w:rPr>
                <w:rFonts w:ascii="Times New Roman" w:hAnsi="Times New Roman" w:cs="Times New Roman"/>
                <w:noProof/>
                <w:sz w:val="20"/>
                <w:szCs w:val="20"/>
              </w:rPr>
            </w:pPr>
            <w:r>
              <w:rPr>
                <w:rFonts w:ascii="Times New Roman" w:hAnsi="Times New Roman"/>
                <w:b/>
                <w:noProof/>
                <w:sz w:val="20"/>
                <w:szCs w:val="20"/>
              </w:rPr>
              <w:t>Beste Leistung</w:t>
            </w:r>
            <w:r>
              <w:rPr>
                <w:rFonts w:ascii="Times New Roman" w:hAnsi="Times New Roman"/>
                <w:noProof/>
                <w:sz w:val="20"/>
                <w:szCs w:val="20"/>
              </w:rPr>
              <w:t xml:space="preserve">  </w:t>
            </w:r>
          </w:p>
        </w:tc>
        <w:tc>
          <w:tcPr>
            <w:tcW w:w="5640" w:type="dxa"/>
            <w:shd w:val="clear" w:color="auto" w:fill="00B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Werte unter -1,0 und Veränderungen von weniger als 1,0</w:t>
            </w:r>
          </w:p>
        </w:tc>
        <w:tc>
          <w:tcPr>
            <w:tcW w:w="5640" w:type="dxa"/>
            <w:shd w:val="clear" w:color="auto" w:fill="00B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Mitgliedstaaten, in denen die Werte weit über dem EU-Durchschnitt liegen und in denen sich die Lage viel schneller </w:t>
            </w:r>
            <w:r>
              <w:rPr>
                <w:rFonts w:ascii="Times New Roman" w:hAnsi="Times New Roman"/>
                <w:noProof/>
                <w:sz w:val="20"/>
                <w:szCs w:val="20"/>
              </w:rPr>
              <w:t>verbessert bzw. nicht viel schneller verschlechtert als im EU-Durchschnitt</w:t>
            </w:r>
          </w:p>
        </w:tc>
      </w:tr>
      <w:tr w:rsidR="00B9782B">
        <w:tc>
          <w:tcPr>
            <w:tcW w:w="2508" w:type="dxa"/>
            <w:shd w:val="clear" w:color="auto" w:fill="92D050"/>
          </w:tcPr>
          <w:p w:rsidR="00B9782B" w:rsidRDefault="0062365E">
            <w:pPr>
              <w:rPr>
                <w:rFonts w:ascii="Times New Roman" w:hAnsi="Times New Roman" w:cs="Times New Roman"/>
                <w:noProof/>
                <w:sz w:val="20"/>
                <w:szCs w:val="20"/>
              </w:rPr>
            </w:pPr>
            <w:r>
              <w:rPr>
                <w:rFonts w:ascii="Times New Roman" w:hAnsi="Times New Roman"/>
                <w:b/>
                <w:noProof/>
                <w:sz w:val="20"/>
                <w:szCs w:val="20"/>
              </w:rPr>
              <w:t>Überdurchschnittlich</w:t>
            </w:r>
          </w:p>
        </w:tc>
        <w:tc>
          <w:tcPr>
            <w:tcW w:w="5640" w:type="dxa"/>
            <w:shd w:val="clear" w:color="auto" w:fill="92D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Werte zwischen -1,0 und -0,5 und Veränderungen von weniger als 1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weniger als -1,0</w:t>
            </w:r>
          </w:p>
        </w:tc>
        <w:tc>
          <w:tcPr>
            <w:tcW w:w="5640" w:type="dxa"/>
            <w:shd w:val="clear" w:color="auto" w:fill="92D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Mitgliedstaaten, in </w:t>
            </w:r>
            <w:r>
              <w:rPr>
                <w:rFonts w:ascii="Times New Roman" w:hAnsi="Times New Roman"/>
                <w:noProof/>
                <w:sz w:val="20"/>
                <w:szCs w:val="20"/>
              </w:rPr>
              <w:t>denen die Werte über dem EU-Durchschnitt liegen und in denen sich die Lage viel schneller verbessert bzw. nicht viel schneller verschlechtert als im EU-Durchschnitt</w:t>
            </w:r>
          </w:p>
        </w:tc>
      </w:tr>
      <w:tr w:rsidR="00B9782B">
        <w:tc>
          <w:tcPr>
            <w:tcW w:w="2508" w:type="dxa"/>
            <w:shd w:val="clear" w:color="auto" w:fill="4F81BD" w:themeFill="accent1"/>
          </w:tcPr>
          <w:p w:rsidR="00B9782B" w:rsidRDefault="0062365E">
            <w:pPr>
              <w:rPr>
                <w:rFonts w:ascii="Times New Roman" w:hAnsi="Times New Roman" w:cs="Times New Roman"/>
                <w:noProof/>
                <w:sz w:val="20"/>
                <w:szCs w:val="20"/>
              </w:rPr>
            </w:pPr>
            <w:r>
              <w:rPr>
                <w:rFonts w:ascii="Times New Roman" w:hAnsi="Times New Roman"/>
                <w:b/>
                <w:noProof/>
                <w:sz w:val="20"/>
                <w:szCs w:val="20"/>
              </w:rPr>
              <w:t>Gut, aber zu beobachten</w:t>
            </w:r>
          </w:p>
        </w:tc>
        <w:tc>
          <w:tcPr>
            <w:tcW w:w="5640" w:type="dxa"/>
            <w:shd w:val="clear" w:color="auto" w:fill="4F81BD" w:themeFill="accent1"/>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Werte unter -0,5 und Veränderungen von mehr als 1,0 </w:t>
            </w:r>
            <w:r>
              <w:rPr>
                <w:rFonts w:ascii="Times New Roman" w:hAnsi="Times New Roman"/>
                <w:i/>
                <w:noProof/>
                <w:sz w:val="20"/>
                <w:szCs w:val="20"/>
              </w:rPr>
              <w:t>und</w:t>
            </w:r>
            <w:r>
              <w:rPr>
                <w:rFonts w:ascii="Times New Roman" w:hAnsi="Times New Roman"/>
                <w:noProof/>
                <w:sz w:val="20"/>
                <w:szCs w:val="20"/>
              </w:rPr>
              <w:t xml:space="preserve"> Veränderun</w:t>
            </w:r>
            <w:r>
              <w:rPr>
                <w:rFonts w:ascii="Times New Roman" w:hAnsi="Times New Roman"/>
                <w:noProof/>
                <w:sz w:val="20"/>
                <w:szCs w:val="20"/>
              </w:rPr>
              <w:t>g von mehr als 0</w:t>
            </w:r>
            <w:r>
              <w:rPr>
                <w:rStyle w:val="FootnoteReference"/>
                <w:rFonts w:cs="Times New Roman"/>
                <w:noProof/>
                <w:sz w:val="20"/>
                <w:szCs w:val="20"/>
              </w:rPr>
              <w:footnoteReference w:id="4"/>
            </w:r>
          </w:p>
        </w:tc>
        <w:tc>
          <w:tcPr>
            <w:tcW w:w="5640" w:type="dxa"/>
            <w:shd w:val="clear" w:color="auto" w:fill="4F81BD" w:themeFill="accent1"/>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Mitgliedstaaten, in denen die Werte über bzw. weit über dem EU-Durchschnitt liegen, in denen sich die Lage aber sehr viel schneller verschlechtert als im EU-Durchschnitt</w:t>
            </w:r>
          </w:p>
        </w:tc>
      </w:tr>
      <w:tr w:rsidR="00B9782B">
        <w:tc>
          <w:tcPr>
            <w:tcW w:w="2508" w:type="dxa"/>
          </w:tcPr>
          <w:p w:rsidR="00B9782B" w:rsidRDefault="0062365E">
            <w:pPr>
              <w:rPr>
                <w:rFonts w:ascii="Times New Roman" w:hAnsi="Times New Roman" w:cs="Times New Roman"/>
                <w:noProof/>
                <w:sz w:val="20"/>
                <w:szCs w:val="20"/>
              </w:rPr>
            </w:pPr>
            <w:r>
              <w:rPr>
                <w:rFonts w:ascii="Times New Roman" w:hAnsi="Times New Roman"/>
                <w:b/>
                <w:noProof/>
                <w:sz w:val="20"/>
                <w:szCs w:val="20"/>
              </w:rPr>
              <w:t>Durchschnittlich/neutral</w:t>
            </w:r>
          </w:p>
        </w:tc>
        <w:tc>
          <w:tcPr>
            <w:tcW w:w="5640" w:type="dxa"/>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Werte zwischen -0,5 und 0,5 und </w:t>
            </w:r>
            <w:r>
              <w:rPr>
                <w:rFonts w:ascii="Times New Roman" w:hAnsi="Times New Roman"/>
                <w:noProof/>
                <w:sz w:val="20"/>
                <w:szCs w:val="20"/>
              </w:rPr>
              <w:t>Veränderungen zwischen -1,0 und 1,0</w:t>
            </w:r>
          </w:p>
        </w:tc>
        <w:tc>
          <w:tcPr>
            <w:tcW w:w="5640" w:type="dxa"/>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Mitgliedstaaten mit durchschnittlichen Werten, in denen sich die Lage weder viel schneller als im EU-Durchschnitt verbessert noch viel schneller verschlechtert</w:t>
            </w:r>
          </w:p>
        </w:tc>
      </w:tr>
      <w:tr w:rsidR="00B9782B">
        <w:tc>
          <w:tcPr>
            <w:tcW w:w="2508" w:type="dxa"/>
            <w:shd w:val="clear" w:color="auto" w:fill="FFFF00"/>
          </w:tcPr>
          <w:p w:rsidR="00B9782B" w:rsidRDefault="0062365E">
            <w:pPr>
              <w:rPr>
                <w:rFonts w:ascii="Times New Roman" w:hAnsi="Times New Roman" w:cs="Times New Roman"/>
                <w:noProof/>
                <w:sz w:val="20"/>
                <w:szCs w:val="20"/>
              </w:rPr>
            </w:pPr>
            <w:r>
              <w:rPr>
                <w:rFonts w:ascii="Times New Roman" w:hAnsi="Times New Roman"/>
                <w:b/>
                <w:noProof/>
                <w:sz w:val="20"/>
                <w:szCs w:val="20"/>
              </w:rPr>
              <w:t>Schwach, aber mit Aufwärtstrend</w:t>
            </w:r>
          </w:p>
        </w:tc>
        <w:tc>
          <w:tcPr>
            <w:tcW w:w="5640" w:type="dxa"/>
            <w:shd w:val="clear" w:color="auto" w:fill="FFFF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Werte über 0,5 und Veränder</w:t>
            </w:r>
            <w:r>
              <w:rPr>
                <w:rFonts w:ascii="Times New Roman" w:hAnsi="Times New Roman"/>
                <w:noProof/>
                <w:sz w:val="20"/>
                <w:szCs w:val="20"/>
              </w:rPr>
              <w:t>ungen von weniger als -1,0</w:t>
            </w:r>
          </w:p>
        </w:tc>
        <w:tc>
          <w:tcPr>
            <w:tcW w:w="5640" w:type="dxa"/>
            <w:shd w:val="clear" w:color="auto" w:fill="FFFF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Mitgliedstaaten, in denen die Werte unter bzw. weit unter dem EU-Durchschnitt liegen, aber sich die Lage viel schneller verbessert als im EU-Durchschnitt</w:t>
            </w:r>
          </w:p>
        </w:tc>
      </w:tr>
      <w:tr w:rsidR="00B9782B">
        <w:tc>
          <w:tcPr>
            <w:tcW w:w="2508" w:type="dxa"/>
            <w:shd w:val="clear" w:color="auto" w:fill="FFC000"/>
          </w:tcPr>
          <w:p w:rsidR="00B9782B" w:rsidRDefault="0062365E">
            <w:pPr>
              <w:rPr>
                <w:rFonts w:ascii="Times New Roman" w:hAnsi="Times New Roman" w:cs="Times New Roman"/>
                <w:noProof/>
                <w:sz w:val="20"/>
                <w:szCs w:val="20"/>
              </w:rPr>
            </w:pPr>
            <w:r>
              <w:rPr>
                <w:rFonts w:ascii="Times New Roman" w:hAnsi="Times New Roman"/>
                <w:b/>
                <w:noProof/>
                <w:sz w:val="20"/>
                <w:szCs w:val="20"/>
              </w:rPr>
              <w:t>Zu beobachten</w:t>
            </w:r>
          </w:p>
        </w:tc>
        <w:tc>
          <w:tcPr>
            <w:tcW w:w="5640" w:type="dxa"/>
            <w:shd w:val="clear" w:color="auto" w:fill="FFC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Werte zwischen 0,5 und 1,0 und Veränderungen von mehr als -1,0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mehr als 1,0 (</w:t>
            </w:r>
            <w:r>
              <w:rPr>
                <w:rFonts w:ascii="Times New Roman" w:hAnsi="Times New Roman"/>
                <w:i/>
                <w:noProof/>
                <w:sz w:val="20"/>
                <w:szCs w:val="20"/>
              </w:rPr>
              <w:t>und</w:t>
            </w:r>
            <w:r>
              <w:rPr>
                <w:rFonts w:ascii="Times New Roman" w:hAnsi="Times New Roman"/>
                <w:noProof/>
                <w:sz w:val="20"/>
                <w:szCs w:val="20"/>
              </w:rPr>
              <w:t xml:space="preserve"> Veränderung von mehr als 0</w:t>
            </w:r>
            <w:r>
              <w:rPr>
                <w:rStyle w:val="FootnoteReference"/>
                <w:rFonts w:cs="Times New Roman"/>
                <w:noProof/>
                <w:sz w:val="20"/>
                <w:szCs w:val="20"/>
              </w:rPr>
              <w:footnoteReference w:id="5"/>
            </w:r>
            <w:r>
              <w:rPr>
                <w:rFonts w:ascii="Times New Roman" w:hAnsi="Times New Roman"/>
                <w:noProof/>
                <w:sz w:val="20"/>
                <w:szCs w:val="20"/>
              </w:rPr>
              <w:t>)</w:t>
            </w:r>
          </w:p>
        </w:tc>
        <w:tc>
          <w:tcPr>
            <w:tcW w:w="5640" w:type="dxa"/>
            <w:shd w:val="clear" w:color="auto" w:fill="FFC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In dieser Kategorie sind zwei Fälle zu unterscheiden: i) Mitgliedstaaten, in denen die Wert</w:t>
            </w:r>
            <w:r>
              <w:rPr>
                <w:rFonts w:ascii="Times New Roman" w:hAnsi="Times New Roman"/>
                <w:noProof/>
                <w:sz w:val="20"/>
                <w:szCs w:val="20"/>
              </w:rPr>
              <w:t>e unter dem EU-Durchschnitt liegen und sich die Lage verschlechtert oder nicht schnell genug verbessert; ii) Mitgliedstaaten, in denen die Werte dem EU-Durchschnitt entsprechen, aber sich die Lage sehr viel schneller verschlechtert als im EU-Durchschnitt.</w:t>
            </w:r>
          </w:p>
        </w:tc>
      </w:tr>
      <w:tr w:rsidR="00B9782B">
        <w:tc>
          <w:tcPr>
            <w:tcW w:w="2508" w:type="dxa"/>
            <w:shd w:val="clear" w:color="auto" w:fill="FF0000"/>
          </w:tcPr>
          <w:p w:rsidR="00B9782B" w:rsidRDefault="0062365E">
            <w:pPr>
              <w:rPr>
                <w:rFonts w:ascii="Times New Roman" w:hAnsi="Times New Roman" w:cs="Times New Roman"/>
                <w:noProof/>
                <w:sz w:val="20"/>
                <w:szCs w:val="20"/>
              </w:rPr>
            </w:pPr>
            <w:r>
              <w:rPr>
                <w:rFonts w:ascii="Times New Roman" w:hAnsi="Times New Roman"/>
                <w:b/>
                <w:noProof/>
                <w:sz w:val="20"/>
                <w:szCs w:val="20"/>
              </w:rPr>
              <w:t>Kritische Lage</w:t>
            </w:r>
          </w:p>
        </w:tc>
        <w:tc>
          <w:tcPr>
            <w:tcW w:w="5640" w:type="dxa"/>
            <w:shd w:val="clear" w:color="auto" w:fill="FF0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Werte über 1,0 und Veränderungen von mehr als -1,0</w:t>
            </w:r>
          </w:p>
        </w:tc>
        <w:tc>
          <w:tcPr>
            <w:tcW w:w="5640" w:type="dxa"/>
            <w:shd w:val="clear" w:color="auto" w:fill="FF0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Mitgliedstaaten, in denen die Werte weit unter dem EU-Durchschnitt liegen und sich die Lage verschlechtert bzw. nicht schnell genug verbessert</w:t>
            </w:r>
          </w:p>
        </w:tc>
      </w:tr>
    </w:tbl>
    <w:p w:rsidR="00B9782B" w:rsidRDefault="00B9782B">
      <w:pPr>
        <w:jc w:val="both"/>
        <w:rPr>
          <w:rFonts w:ascii="Times New Roman" w:hAnsi="Times New Roman" w:cs="Times New Roman"/>
          <w:noProof/>
          <w:sz w:val="20"/>
          <w:szCs w:val="20"/>
        </w:rPr>
      </w:pPr>
    </w:p>
    <w:p w:rsidR="00B9782B" w:rsidRDefault="00B9782B">
      <w:pPr>
        <w:rPr>
          <w:rFonts w:ascii="Times New Roman" w:hAnsi="Times New Roman" w:cs="Times New Roman"/>
          <w:noProof/>
          <w:sz w:val="24"/>
          <w:szCs w:val="24"/>
        </w:rPr>
      </w:pPr>
    </w:p>
    <w:p w:rsidR="00B9782B" w:rsidRDefault="00B9782B">
      <w:pPr>
        <w:rPr>
          <w:rFonts w:ascii="Times New Roman" w:hAnsi="Times New Roman" w:cs="Times New Roman"/>
          <w:b/>
          <w:i/>
          <w:noProof/>
          <w:sz w:val="24"/>
          <w:szCs w:val="24"/>
        </w:rPr>
      </w:pPr>
    </w:p>
    <w:p w:rsidR="00B9782B" w:rsidRDefault="0062365E">
      <w:pPr>
        <w:rPr>
          <w:rFonts w:ascii="Times New Roman" w:hAnsi="Times New Roman" w:cs="Times New Roman"/>
          <w:b/>
          <w:i/>
          <w:noProof/>
          <w:sz w:val="24"/>
          <w:szCs w:val="24"/>
        </w:rPr>
      </w:pPr>
      <w:r>
        <w:rPr>
          <w:noProof/>
          <w:lang w:val="fr-BE" w:eastAsia="fr-BE"/>
        </w:rPr>
        <w:drawing>
          <wp:inline distT="0" distB="0" distL="0" distR="0">
            <wp:extent cx="5760720" cy="14237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423767"/>
                    </a:xfrm>
                    <a:prstGeom prst="rect">
                      <a:avLst/>
                    </a:prstGeom>
                    <a:noFill/>
                    <a:ln>
                      <a:noFill/>
                    </a:ln>
                  </pic:spPr>
                </pic:pic>
              </a:graphicData>
            </a:graphic>
          </wp:inline>
        </w:drawing>
      </w:r>
    </w:p>
    <w:p w:rsidR="00B9782B" w:rsidRDefault="0062365E">
      <w:pPr>
        <w:jc w:val="both"/>
        <w:rPr>
          <w:rFonts w:ascii="Times New Roman" w:hAnsi="Times New Roman" w:cs="Times New Roman"/>
          <w:noProof/>
          <w:sz w:val="20"/>
        </w:rPr>
      </w:pPr>
      <w:r>
        <w:rPr>
          <w:rFonts w:ascii="Times New Roman" w:hAnsi="Times New Roman"/>
          <w:noProof/>
          <w:sz w:val="20"/>
        </w:rPr>
        <w:t xml:space="preserve">Die nachfolgenden Tabellen liefern die Einstufung auf Grundlage von Z-Scores zu jenen Indikatoren, bei denen ein </w:t>
      </w:r>
      <w:r>
        <w:rPr>
          <w:rFonts w:ascii="Times New Roman" w:hAnsi="Times New Roman"/>
          <w:noProof/>
          <w:sz w:val="20"/>
          <w:u w:val="single"/>
        </w:rPr>
        <w:t>hoher Wert</w:t>
      </w:r>
      <w:r>
        <w:rPr>
          <w:rFonts w:ascii="Times New Roman" w:hAnsi="Times New Roman"/>
          <w:noProof/>
          <w:sz w:val="20"/>
        </w:rPr>
        <w:t xml:space="preserve"> als </w:t>
      </w:r>
      <w:r>
        <w:rPr>
          <w:rFonts w:ascii="Times New Roman" w:hAnsi="Times New Roman"/>
          <w:noProof/>
          <w:sz w:val="20"/>
          <w:u w:val="single"/>
        </w:rPr>
        <w:t>gute Leistung</w:t>
      </w:r>
      <w:r>
        <w:rPr>
          <w:rFonts w:ascii="Times New Roman" w:hAnsi="Times New Roman"/>
          <w:noProof/>
          <w:sz w:val="20"/>
        </w:rPr>
        <w:t xml:space="preserve"> eingestuft wird (z. B. Beschäftigungsquote, Inanspruchnahme von Angeboten der Kinderbetreuung usw.). </w:t>
      </w:r>
    </w:p>
    <w:tbl>
      <w:tblPr>
        <w:tblStyle w:val="TableGrid"/>
        <w:tblW w:w="0" w:type="auto"/>
        <w:tblLook w:val="04A0" w:firstRow="1" w:lastRow="0" w:firstColumn="1" w:lastColumn="0" w:noHBand="0" w:noVBand="1"/>
      </w:tblPr>
      <w:tblGrid>
        <w:gridCol w:w="2410"/>
        <w:gridCol w:w="3360"/>
        <w:gridCol w:w="3518"/>
      </w:tblGrid>
      <w:tr w:rsidR="00B9782B">
        <w:tc>
          <w:tcPr>
            <w:tcW w:w="2508" w:type="dxa"/>
            <w:shd w:val="clear" w:color="auto" w:fill="00B050"/>
          </w:tcPr>
          <w:p w:rsidR="00B9782B" w:rsidRDefault="0062365E">
            <w:pPr>
              <w:rPr>
                <w:rFonts w:ascii="Times New Roman" w:hAnsi="Times New Roman" w:cs="Times New Roman"/>
                <w:noProof/>
                <w:sz w:val="20"/>
                <w:szCs w:val="20"/>
              </w:rPr>
            </w:pPr>
            <w:r>
              <w:rPr>
                <w:rFonts w:ascii="Times New Roman" w:hAnsi="Times New Roman"/>
                <w:b/>
                <w:noProof/>
                <w:sz w:val="20"/>
                <w:szCs w:val="20"/>
              </w:rPr>
              <w:t>Beste Leistu</w:t>
            </w:r>
            <w:r>
              <w:rPr>
                <w:rFonts w:ascii="Times New Roman" w:hAnsi="Times New Roman"/>
                <w:b/>
                <w:noProof/>
                <w:sz w:val="20"/>
                <w:szCs w:val="20"/>
              </w:rPr>
              <w:t>ng</w:t>
            </w:r>
            <w:r>
              <w:rPr>
                <w:rFonts w:ascii="Times New Roman" w:hAnsi="Times New Roman"/>
                <w:noProof/>
                <w:sz w:val="20"/>
                <w:szCs w:val="20"/>
              </w:rPr>
              <w:t xml:space="preserve">  </w:t>
            </w:r>
          </w:p>
        </w:tc>
        <w:tc>
          <w:tcPr>
            <w:tcW w:w="5640" w:type="dxa"/>
            <w:shd w:val="clear" w:color="auto" w:fill="00B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Werte über 1,0 und Veränderungen von mehr als -1,0</w:t>
            </w:r>
          </w:p>
        </w:tc>
        <w:tc>
          <w:tcPr>
            <w:tcW w:w="5640" w:type="dxa"/>
            <w:shd w:val="clear" w:color="auto" w:fill="00B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Mitgliedstaaten, in denen die Werte weit über dem EU-Durchschnitt liegen und in denen sich die Lage viel schneller verbessert bzw. nicht viel schneller verschlechtert als im EU-Durchschnitt</w:t>
            </w:r>
          </w:p>
        </w:tc>
      </w:tr>
      <w:tr w:rsidR="00B9782B">
        <w:tc>
          <w:tcPr>
            <w:tcW w:w="2508" w:type="dxa"/>
            <w:shd w:val="clear" w:color="auto" w:fill="92D050"/>
          </w:tcPr>
          <w:p w:rsidR="00B9782B" w:rsidRDefault="0062365E">
            <w:pPr>
              <w:rPr>
                <w:rFonts w:ascii="Times New Roman" w:hAnsi="Times New Roman" w:cs="Times New Roman"/>
                <w:noProof/>
                <w:sz w:val="20"/>
                <w:szCs w:val="20"/>
              </w:rPr>
            </w:pPr>
            <w:r>
              <w:rPr>
                <w:rFonts w:ascii="Times New Roman" w:hAnsi="Times New Roman"/>
                <w:b/>
                <w:noProof/>
                <w:sz w:val="20"/>
                <w:szCs w:val="20"/>
              </w:rPr>
              <w:t>Überdurch</w:t>
            </w:r>
            <w:r>
              <w:rPr>
                <w:rFonts w:ascii="Times New Roman" w:hAnsi="Times New Roman"/>
                <w:b/>
                <w:noProof/>
                <w:sz w:val="20"/>
                <w:szCs w:val="20"/>
              </w:rPr>
              <w:t>schnittlich</w:t>
            </w:r>
          </w:p>
        </w:tc>
        <w:tc>
          <w:tcPr>
            <w:tcW w:w="5640" w:type="dxa"/>
            <w:shd w:val="clear" w:color="auto" w:fill="92D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Werte zwischen 1,0 und 0,5 und Veränderungen von mehr als -1,0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mehr als 1,0</w:t>
            </w:r>
          </w:p>
        </w:tc>
        <w:tc>
          <w:tcPr>
            <w:tcW w:w="5640" w:type="dxa"/>
            <w:shd w:val="clear" w:color="auto" w:fill="92D05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Mitgliedstaaten, in denen die Werte über dem EU-Durchschnitt liegen und in denen sich die Lage viel schneller </w:t>
            </w:r>
            <w:r>
              <w:rPr>
                <w:rFonts w:ascii="Times New Roman" w:hAnsi="Times New Roman"/>
                <w:noProof/>
                <w:sz w:val="20"/>
                <w:szCs w:val="20"/>
              </w:rPr>
              <w:t>verbessert bzw. nicht viel schneller verschlechtert als im EU-Durchschnitt</w:t>
            </w:r>
          </w:p>
        </w:tc>
      </w:tr>
      <w:tr w:rsidR="00B9782B">
        <w:tc>
          <w:tcPr>
            <w:tcW w:w="2508" w:type="dxa"/>
            <w:shd w:val="clear" w:color="auto" w:fill="4F81BD" w:themeFill="accent1"/>
          </w:tcPr>
          <w:p w:rsidR="00B9782B" w:rsidRDefault="0062365E">
            <w:pPr>
              <w:rPr>
                <w:rFonts w:ascii="Times New Roman" w:hAnsi="Times New Roman" w:cs="Times New Roman"/>
                <w:noProof/>
                <w:sz w:val="20"/>
                <w:szCs w:val="20"/>
              </w:rPr>
            </w:pPr>
            <w:r>
              <w:rPr>
                <w:rFonts w:ascii="Times New Roman" w:hAnsi="Times New Roman"/>
                <w:b/>
                <w:noProof/>
                <w:sz w:val="20"/>
                <w:szCs w:val="20"/>
              </w:rPr>
              <w:t>Gut, aber zu beobachten</w:t>
            </w:r>
          </w:p>
        </w:tc>
        <w:tc>
          <w:tcPr>
            <w:tcW w:w="5640" w:type="dxa"/>
            <w:shd w:val="clear" w:color="auto" w:fill="4F81BD" w:themeFill="accent1"/>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Werte von mehr als 0,5 und Veränderungen von weniger als -1,0 </w:t>
            </w:r>
            <w:r>
              <w:rPr>
                <w:rFonts w:ascii="Times New Roman" w:hAnsi="Times New Roman"/>
                <w:i/>
                <w:noProof/>
                <w:sz w:val="20"/>
                <w:szCs w:val="20"/>
              </w:rPr>
              <w:t>und</w:t>
            </w:r>
            <w:r>
              <w:rPr>
                <w:rFonts w:ascii="Times New Roman" w:hAnsi="Times New Roman"/>
                <w:noProof/>
                <w:sz w:val="20"/>
                <w:szCs w:val="20"/>
              </w:rPr>
              <w:t xml:space="preserve"> Veränderung von weniger als 0</w:t>
            </w:r>
            <w:r>
              <w:rPr>
                <w:rStyle w:val="FootnoteReference"/>
                <w:rFonts w:cs="Times New Roman"/>
                <w:noProof/>
                <w:sz w:val="20"/>
                <w:szCs w:val="20"/>
              </w:rPr>
              <w:footnoteReference w:id="6"/>
            </w:r>
          </w:p>
        </w:tc>
        <w:tc>
          <w:tcPr>
            <w:tcW w:w="5640" w:type="dxa"/>
            <w:shd w:val="clear" w:color="auto" w:fill="4F81BD" w:themeFill="accent1"/>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Mitgliedstaaten, in denen die Werte über bzw. weit über dem</w:t>
            </w:r>
            <w:r>
              <w:rPr>
                <w:rFonts w:ascii="Times New Roman" w:hAnsi="Times New Roman"/>
                <w:noProof/>
                <w:sz w:val="20"/>
                <w:szCs w:val="20"/>
              </w:rPr>
              <w:t xml:space="preserve"> EU-Durchschnitt liegen, in denen sich die Lage aber sehr viel schneller verschlechtert als im EU-Durchschnitt</w:t>
            </w:r>
          </w:p>
        </w:tc>
      </w:tr>
      <w:tr w:rsidR="00B9782B">
        <w:tc>
          <w:tcPr>
            <w:tcW w:w="2508" w:type="dxa"/>
          </w:tcPr>
          <w:p w:rsidR="00B9782B" w:rsidRDefault="0062365E">
            <w:pPr>
              <w:rPr>
                <w:rFonts w:ascii="Times New Roman" w:hAnsi="Times New Roman" w:cs="Times New Roman"/>
                <w:noProof/>
                <w:sz w:val="20"/>
                <w:szCs w:val="20"/>
              </w:rPr>
            </w:pPr>
            <w:r>
              <w:rPr>
                <w:rFonts w:ascii="Times New Roman" w:hAnsi="Times New Roman"/>
                <w:b/>
                <w:noProof/>
                <w:sz w:val="20"/>
                <w:szCs w:val="20"/>
              </w:rPr>
              <w:t>Durchschnittlich/neutral</w:t>
            </w:r>
          </w:p>
        </w:tc>
        <w:tc>
          <w:tcPr>
            <w:tcW w:w="5640" w:type="dxa"/>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Werte zwischen -0,5 und 0,5 und Veränderungen zwischen -1,0 und 1,0</w:t>
            </w:r>
          </w:p>
        </w:tc>
        <w:tc>
          <w:tcPr>
            <w:tcW w:w="5640" w:type="dxa"/>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Mitgliedstaaten mit durchschnittlichen Werten, in d</w:t>
            </w:r>
            <w:r>
              <w:rPr>
                <w:rFonts w:ascii="Times New Roman" w:hAnsi="Times New Roman"/>
                <w:noProof/>
                <w:sz w:val="20"/>
                <w:szCs w:val="20"/>
              </w:rPr>
              <w:t>enen sich die Lage weder viel schneller als im EU-Durchschnitt verbessert noch viel schneller verschlechtert</w:t>
            </w:r>
          </w:p>
        </w:tc>
      </w:tr>
      <w:tr w:rsidR="00B9782B">
        <w:tc>
          <w:tcPr>
            <w:tcW w:w="2508" w:type="dxa"/>
            <w:shd w:val="clear" w:color="auto" w:fill="FFFF00"/>
          </w:tcPr>
          <w:p w:rsidR="00B9782B" w:rsidRDefault="0062365E">
            <w:pPr>
              <w:rPr>
                <w:rFonts w:ascii="Times New Roman" w:hAnsi="Times New Roman" w:cs="Times New Roman"/>
                <w:noProof/>
                <w:sz w:val="20"/>
                <w:szCs w:val="20"/>
              </w:rPr>
            </w:pPr>
            <w:r>
              <w:rPr>
                <w:rFonts w:ascii="Times New Roman" w:hAnsi="Times New Roman"/>
                <w:b/>
                <w:noProof/>
                <w:sz w:val="20"/>
                <w:szCs w:val="20"/>
              </w:rPr>
              <w:t>Schwach, aber mit Aufwärtstrend</w:t>
            </w:r>
          </w:p>
        </w:tc>
        <w:tc>
          <w:tcPr>
            <w:tcW w:w="5640" w:type="dxa"/>
            <w:shd w:val="clear" w:color="auto" w:fill="FFFF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Werte von unter -0,5 und Veränderungen von mehr als 1,0</w:t>
            </w:r>
          </w:p>
        </w:tc>
        <w:tc>
          <w:tcPr>
            <w:tcW w:w="5640" w:type="dxa"/>
            <w:shd w:val="clear" w:color="auto" w:fill="FFFF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Mitgliedstaaten, in denen die Werte unter bzw. weit unter </w:t>
            </w:r>
            <w:r>
              <w:rPr>
                <w:rFonts w:ascii="Times New Roman" w:hAnsi="Times New Roman"/>
                <w:noProof/>
                <w:sz w:val="20"/>
                <w:szCs w:val="20"/>
              </w:rPr>
              <w:t>dem EU-Durchschnitt liegen, aber sich die Lage viel schneller verbessert als im EU-Durchschnitt</w:t>
            </w:r>
          </w:p>
        </w:tc>
      </w:tr>
      <w:tr w:rsidR="00B9782B">
        <w:tc>
          <w:tcPr>
            <w:tcW w:w="2508" w:type="dxa"/>
            <w:shd w:val="clear" w:color="auto" w:fill="FFC000"/>
          </w:tcPr>
          <w:p w:rsidR="00B9782B" w:rsidRDefault="0062365E">
            <w:pPr>
              <w:rPr>
                <w:rFonts w:ascii="Times New Roman" w:hAnsi="Times New Roman" w:cs="Times New Roman"/>
                <w:noProof/>
                <w:sz w:val="20"/>
                <w:szCs w:val="20"/>
              </w:rPr>
            </w:pPr>
            <w:r>
              <w:rPr>
                <w:rFonts w:ascii="Times New Roman" w:hAnsi="Times New Roman"/>
                <w:b/>
                <w:noProof/>
                <w:sz w:val="20"/>
                <w:szCs w:val="20"/>
              </w:rPr>
              <w:t>Zu beobachten</w:t>
            </w:r>
          </w:p>
        </w:tc>
        <w:tc>
          <w:tcPr>
            <w:tcW w:w="5640" w:type="dxa"/>
            <w:shd w:val="clear" w:color="auto" w:fill="FFC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Werte zwischen -0,5 und -1,0 und Veränderungen von weniger als 1,0 </w:t>
            </w:r>
            <w:r>
              <w:rPr>
                <w:rFonts w:ascii="Times New Roman" w:hAnsi="Times New Roman"/>
                <w:noProof/>
                <w:sz w:val="20"/>
                <w:szCs w:val="20"/>
                <w:u w:val="single"/>
              </w:rPr>
              <w:t>oder</w:t>
            </w:r>
            <w:r>
              <w:rPr>
                <w:rFonts w:ascii="Times New Roman" w:hAnsi="Times New Roman"/>
                <w:noProof/>
                <w:sz w:val="20"/>
                <w:szCs w:val="20"/>
              </w:rPr>
              <w:t xml:space="preserve"> Werte zwischen -0,5 und 0,5 und Veränderungen von weniger als -1,0 (</w:t>
            </w:r>
            <w:r>
              <w:rPr>
                <w:rFonts w:ascii="Times New Roman" w:hAnsi="Times New Roman"/>
                <w:i/>
                <w:noProof/>
                <w:sz w:val="20"/>
                <w:szCs w:val="20"/>
              </w:rPr>
              <w:t>und</w:t>
            </w:r>
            <w:r>
              <w:rPr>
                <w:rFonts w:ascii="Times New Roman" w:hAnsi="Times New Roman"/>
                <w:noProof/>
                <w:sz w:val="20"/>
                <w:szCs w:val="20"/>
              </w:rPr>
              <w:t xml:space="preserve"> V</w:t>
            </w:r>
            <w:r>
              <w:rPr>
                <w:rFonts w:ascii="Times New Roman" w:hAnsi="Times New Roman"/>
                <w:noProof/>
                <w:sz w:val="20"/>
                <w:szCs w:val="20"/>
              </w:rPr>
              <w:t>eränderung von weniger als 0</w:t>
            </w:r>
            <w:r>
              <w:rPr>
                <w:rStyle w:val="FootnoteReference"/>
                <w:rFonts w:cs="Times New Roman"/>
                <w:noProof/>
                <w:sz w:val="20"/>
                <w:szCs w:val="20"/>
              </w:rPr>
              <w:footnoteReference w:id="7"/>
            </w:r>
            <w:r>
              <w:rPr>
                <w:rFonts w:ascii="Times New Roman" w:hAnsi="Times New Roman"/>
                <w:noProof/>
                <w:sz w:val="20"/>
                <w:szCs w:val="20"/>
              </w:rPr>
              <w:t>)</w:t>
            </w:r>
          </w:p>
        </w:tc>
        <w:tc>
          <w:tcPr>
            <w:tcW w:w="5640" w:type="dxa"/>
            <w:shd w:val="clear" w:color="auto" w:fill="FFC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In dieser Kategorie sind zwei Fälle zu unterscheiden: i) Mitgliedstaaten, in denen die Werte unter dem EU-Durchschnitt liegen und sich die Lage verschlechtert oder nicht schnell genug verbessert; ii) Mitgliedstaaten, in denen</w:t>
            </w:r>
            <w:r>
              <w:rPr>
                <w:rFonts w:ascii="Times New Roman" w:hAnsi="Times New Roman"/>
                <w:noProof/>
                <w:sz w:val="20"/>
                <w:szCs w:val="20"/>
              </w:rPr>
              <w:t xml:space="preserve"> die Werte dem EU-Durchschnitt entsprechen, aber sich die Lage sehr viel schneller verschlechtert als im EU-Durchschnitt.</w:t>
            </w:r>
          </w:p>
        </w:tc>
      </w:tr>
      <w:tr w:rsidR="00B9782B">
        <w:tc>
          <w:tcPr>
            <w:tcW w:w="2508" w:type="dxa"/>
            <w:shd w:val="clear" w:color="auto" w:fill="FF0000"/>
          </w:tcPr>
          <w:p w:rsidR="00B9782B" w:rsidRDefault="0062365E">
            <w:pPr>
              <w:rPr>
                <w:rFonts w:ascii="Times New Roman" w:hAnsi="Times New Roman" w:cs="Times New Roman"/>
                <w:noProof/>
                <w:sz w:val="20"/>
                <w:szCs w:val="20"/>
              </w:rPr>
            </w:pPr>
            <w:r>
              <w:rPr>
                <w:rFonts w:ascii="Times New Roman" w:hAnsi="Times New Roman"/>
                <w:b/>
                <w:noProof/>
                <w:sz w:val="20"/>
                <w:szCs w:val="20"/>
              </w:rPr>
              <w:t>Kritische Lage</w:t>
            </w:r>
          </w:p>
        </w:tc>
        <w:tc>
          <w:tcPr>
            <w:tcW w:w="5640" w:type="dxa"/>
            <w:shd w:val="clear" w:color="auto" w:fill="FF0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Werte von unter 1,0 und Veränderungen von weniger als 1,0</w:t>
            </w:r>
          </w:p>
        </w:tc>
        <w:tc>
          <w:tcPr>
            <w:tcW w:w="5640" w:type="dxa"/>
            <w:shd w:val="clear" w:color="auto" w:fill="FF0000"/>
          </w:tcPr>
          <w:p w:rsidR="00B9782B" w:rsidRDefault="0062365E">
            <w:pPr>
              <w:jc w:val="both"/>
              <w:rPr>
                <w:rFonts w:ascii="Times New Roman" w:hAnsi="Times New Roman" w:cs="Times New Roman"/>
                <w:noProof/>
                <w:sz w:val="20"/>
                <w:szCs w:val="20"/>
              </w:rPr>
            </w:pPr>
            <w:r>
              <w:rPr>
                <w:rFonts w:ascii="Times New Roman" w:hAnsi="Times New Roman"/>
                <w:noProof/>
                <w:sz w:val="20"/>
                <w:szCs w:val="20"/>
              </w:rPr>
              <w:t xml:space="preserve">Mitgliedstaaten, in denen die Werte weit unter dem </w:t>
            </w:r>
            <w:r>
              <w:rPr>
                <w:rFonts w:ascii="Times New Roman" w:hAnsi="Times New Roman"/>
                <w:noProof/>
                <w:sz w:val="20"/>
                <w:szCs w:val="20"/>
              </w:rPr>
              <w:t>EU-Durchschnitt liegen und sich die Lage verschlechtert bzw. nicht schnell genug verbessert</w:t>
            </w:r>
          </w:p>
        </w:tc>
      </w:tr>
    </w:tbl>
    <w:p w:rsidR="00B9782B" w:rsidRDefault="00B9782B">
      <w:pPr>
        <w:rPr>
          <w:rFonts w:ascii="Times New Roman" w:hAnsi="Times New Roman" w:cs="Times New Roman"/>
          <w:b/>
          <w:i/>
          <w:noProof/>
          <w:sz w:val="24"/>
          <w:szCs w:val="24"/>
        </w:rPr>
      </w:pPr>
    </w:p>
    <w:p w:rsidR="00B9782B" w:rsidRDefault="0062365E">
      <w:pPr>
        <w:rPr>
          <w:rFonts w:ascii="Times New Roman" w:hAnsi="Times New Roman" w:cs="Times New Roman"/>
          <w:b/>
          <w:i/>
          <w:noProof/>
          <w:sz w:val="24"/>
          <w:szCs w:val="24"/>
        </w:rPr>
      </w:pPr>
      <w:r>
        <w:rPr>
          <w:noProof/>
          <w:lang w:val="fr-BE" w:eastAsia="fr-BE"/>
        </w:rPr>
        <w:drawing>
          <wp:inline distT="0" distB="0" distL="0" distR="0">
            <wp:extent cx="5760720" cy="14500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450028"/>
                    </a:xfrm>
                    <a:prstGeom prst="rect">
                      <a:avLst/>
                    </a:prstGeom>
                    <a:noFill/>
                    <a:ln>
                      <a:noFill/>
                    </a:ln>
                  </pic:spPr>
                </pic:pic>
              </a:graphicData>
            </a:graphic>
          </wp:inline>
        </w:drawing>
      </w:r>
    </w:p>
    <w:p w:rsidR="00B9782B" w:rsidRDefault="00B9782B">
      <w:pPr>
        <w:rPr>
          <w:rFonts w:ascii="Times New Roman" w:hAnsi="Times New Roman" w:cs="Times New Roman"/>
          <w:b/>
          <w:i/>
          <w:noProof/>
          <w:sz w:val="24"/>
          <w:szCs w:val="24"/>
        </w:rPr>
      </w:pPr>
    </w:p>
    <w:p w:rsidR="00B9782B" w:rsidRDefault="00B9782B">
      <w:pPr>
        <w:rPr>
          <w:rFonts w:ascii="Times New Roman" w:hAnsi="Times New Roman" w:cs="Times New Roman"/>
          <w:b/>
          <w:i/>
          <w:noProof/>
          <w:sz w:val="24"/>
          <w:szCs w:val="24"/>
        </w:rPr>
        <w:sectPr w:rsidR="00B9782B">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20"/>
          <w:docGrid w:linePitch="360"/>
        </w:sectPr>
      </w:pPr>
    </w:p>
    <w:p w:rsidR="00B9782B" w:rsidRDefault="0062365E">
      <w:pPr>
        <w:spacing w:after="0"/>
        <w:ind w:left="-567"/>
        <w:rPr>
          <w:rFonts w:ascii="Times New Roman" w:hAnsi="Times New Roman" w:cs="Times New Roman"/>
          <w:b/>
          <w:i/>
          <w:noProof/>
          <w:sz w:val="24"/>
          <w:szCs w:val="24"/>
        </w:rPr>
      </w:pPr>
      <w:r>
        <w:rPr>
          <w:rFonts w:ascii="Times New Roman" w:hAnsi="Times New Roman"/>
          <w:b/>
          <w:i/>
          <w:noProof/>
        </w:rPr>
        <w:t>Übersicht über die Abschneidepunkte</w:t>
      </w:r>
    </w:p>
    <w:tbl>
      <w:tblPr>
        <w:tblW w:w="15168" w:type="dxa"/>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10"/>
        <w:gridCol w:w="1444"/>
        <w:gridCol w:w="1701"/>
        <w:gridCol w:w="1559"/>
        <w:gridCol w:w="2410"/>
        <w:gridCol w:w="1701"/>
        <w:gridCol w:w="1843"/>
      </w:tblGrid>
      <w:tr w:rsidR="00B9782B">
        <w:trPr>
          <w:trHeight w:val="409"/>
        </w:trPr>
        <w:tc>
          <w:tcPr>
            <w:tcW w:w="4510" w:type="dxa"/>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20"/>
                <w:szCs w:val="20"/>
              </w:rPr>
            </w:pPr>
          </w:p>
        </w:tc>
        <w:tc>
          <w:tcPr>
            <w:tcW w:w="1444" w:type="dxa"/>
            <w:shd w:val="clear" w:color="auto" w:fill="auto"/>
            <w:noWrap/>
            <w:vAlign w:val="center"/>
            <w:hideMark/>
          </w:tcPr>
          <w:p w:rsidR="00B9782B" w:rsidRDefault="00B9782B">
            <w:pPr>
              <w:spacing w:after="0" w:line="240" w:lineRule="auto"/>
              <w:jc w:val="center"/>
              <w:rPr>
                <w:rFonts w:ascii="Times New Roman" w:eastAsia="Times New Roman" w:hAnsi="Times New Roman" w:cs="Times New Roman"/>
                <w:b/>
                <w:noProof/>
                <w:color w:val="000000"/>
                <w:sz w:val="20"/>
                <w:szCs w:val="20"/>
              </w:rPr>
            </w:pP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sehr niedrig</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niedrig</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durchschnittlich/neutral</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hoch</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b/>
                <w:noProof/>
                <w:color w:val="000000"/>
                <w:sz w:val="16"/>
                <w:szCs w:val="16"/>
              </w:rPr>
            </w:pPr>
            <w:r>
              <w:rPr>
                <w:rFonts w:ascii="Times New Roman" w:hAnsi="Times New Roman"/>
                <w:b/>
                <w:noProof/>
                <w:sz w:val="16"/>
                <w:szCs w:val="16"/>
              </w:rPr>
              <w:t>sehr hoch</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 xml:space="preserve">Frühe Schul- und Ausbildungsabgänger </w:t>
            </w:r>
          </w:p>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 der Bevölkerung im Alter von 18-24 Jahren)</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5,3 %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7,3 %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7,3 % und 11,2 %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11,2 %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13,2 %</w:t>
            </w:r>
          </w:p>
        </w:tc>
      </w:tr>
      <w:tr w:rsidR="00B9782B">
        <w:trPr>
          <w:trHeight w:hRule="exact" w:val="464"/>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-0,9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-0,5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zwischen </w:t>
            </w:r>
            <w:r>
              <w:rPr>
                <w:rFonts w:ascii="Times New Roman" w:hAnsi="Times New Roman"/>
                <w:noProof/>
                <w:sz w:val="16"/>
                <w:szCs w:val="16"/>
              </w:rPr>
              <w:t>-0,5 Prozentpunkten und 0,2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0,2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0,8 Prozentpunkte</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Geschlechtsspezifisches Beschäftigungsgefälle (Prozentpunkte)</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5,4 %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8,0 %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8,0 % und 13,2 %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13,2 %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15,8 %</w:t>
            </w:r>
          </w:p>
        </w:tc>
      </w:tr>
      <w:tr w:rsidR="00B9782B">
        <w:trPr>
          <w:trHeight w:hRule="exact" w:val="445"/>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-0,7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-0,3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-0,3 Prozentpunkten und 0,5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0,5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0,8 Prozentpunkte</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Einkommensquintil (S80/S20)</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3,7</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4,3</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4,3 und 5,5</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5,5</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6,2</w:t>
            </w:r>
          </w:p>
        </w:tc>
      </w:tr>
      <w:tr w:rsidR="00B9782B">
        <w:trPr>
          <w:trHeight w:hRule="exact" w:val="258"/>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-0,4</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-0,2</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-0,2 und 0,1</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0,1</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0,3</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Von Armut und sozialer Ausgrenzung bedrohte Personen (%)</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16,4 %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19,1 %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19,1 % und 24,6 %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24,6 %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27,4 %</w:t>
            </w:r>
          </w:p>
        </w:tc>
      </w:tr>
      <w:tr w:rsidR="00B9782B">
        <w:trPr>
          <w:trHeight w:hRule="exact" w:val="363"/>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weniger als </w:t>
            </w:r>
            <w:r>
              <w:rPr>
                <w:rFonts w:ascii="Times New Roman" w:hAnsi="Times New Roman"/>
                <w:noProof/>
                <w:sz w:val="16"/>
                <w:szCs w:val="16"/>
              </w:rPr>
              <w:t>-2,8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-1,9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-1,9 Prozentpunkten und 0,0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0,0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0,9 Prozentpunkte</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NEET-Quote bei jungen Menschen (% an der Gesamtbevölkerung im Alter von 15–24 Jahren)</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unter </w:t>
            </w:r>
            <w:r>
              <w:rPr>
                <w:rFonts w:ascii="Times New Roman" w:hAnsi="Times New Roman"/>
                <w:noProof/>
                <w:sz w:val="16"/>
                <w:szCs w:val="16"/>
              </w:rPr>
              <w:t>6,1 %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7,9 %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7,9 % und 11,4 %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11,4 %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13,2 %</w:t>
            </w:r>
          </w:p>
        </w:tc>
      </w:tr>
      <w:tr w:rsidR="00B9782B">
        <w:trPr>
          <w:trHeight w:hRule="exact" w:val="443"/>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-1,5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-1,1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-1,1 Prozentpunkten und -0,3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-0,3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0,1 Prozentpunkte</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 xml:space="preserve">Beschäftigungsquote (in % der Bevölkerung im Alter von 20–64 Jahren) </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68,5 %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71,2 %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71,2 % und 76,6 %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76,6 %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79,3 %</w:t>
            </w:r>
          </w:p>
        </w:tc>
      </w:tr>
      <w:tr w:rsidR="00B9782B">
        <w:trPr>
          <w:trHeight w:hRule="exact" w:val="451"/>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0,7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1,0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1,0 Prozentpunkten</w:t>
            </w:r>
            <w:r>
              <w:rPr>
                <w:rFonts w:ascii="Times New Roman" w:hAnsi="Times New Roman"/>
                <w:noProof/>
                <w:sz w:val="16"/>
                <w:szCs w:val="16"/>
              </w:rPr>
              <w:t xml:space="preserve"> und 1,7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1,7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2,0 Prozentpunkte</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 xml:space="preserve">Arbeitslosenquote (% der Erwerbsbevölkerung von 15–74 Jahren) </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2,9 %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4,8 %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4,8 % und 8,4 %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8,4 %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10,2 %</w:t>
            </w:r>
          </w:p>
        </w:tc>
      </w:tr>
      <w:tr w:rsidR="00B9782B">
        <w:trPr>
          <w:trHeight w:hRule="exact" w:val="463"/>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weniger als -1,7 </w:t>
            </w:r>
            <w:r>
              <w:rPr>
                <w:rFonts w:ascii="Times New Roman" w:hAnsi="Times New Roman"/>
                <w:noProof/>
                <w:sz w:val="16"/>
                <w:szCs w:val="16"/>
              </w:rPr>
              <w:t>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-1,4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-1,4 Prozentpunkten und -0,7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-0,7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 Prozentpunkte</w:t>
            </w:r>
          </w:p>
        </w:tc>
      </w:tr>
      <w:tr w:rsidR="00B9782B">
        <w:trPr>
          <w:trHeight w:hRule="exact" w:val="258"/>
        </w:trPr>
        <w:tc>
          <w:tcPr>
            <w:tcW w:w="4510" w:type="dxa"/>
            <w:vMerge w:val="restart"/>
            <w:shd w:val="clear" w:color="auto" w:fill="auto"/>
            <w:vAlign w:val="center"/>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Langzeitarbeitslosenquote (% der Erwerbsbevölkerung von 15–74 Jahren)</w:t>
            </w:r>
          </w:p>
        </w:tc>
        <w:tc>
          <w:tcPr>
            <w:tcW w:w="1444"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0,2 %</w:t>
            </w:r>
          </w:p>
        </w:tc>
        <w:tc>
          <w:tcPr>
            <w:tcW w:w="1559"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1,4 %</w:t>
            </w:r>
          </w:p>
        </w:tc>
        <w:tc>
          <w:tcPr>
            <w:tcW w:w="2410"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1,4 % und 4,0 %</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4,0 %</w:t>
            </w:r>
          </w:p>
        </w:tc>
        <w:tc>
          <w:tcPr>
            <w:tcW w:w="1843"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5,3 %</w:t>
            </w:r>
          </w:p>
        </w:tc>
      </w:tr>
      <w:tr w:rsidR="00B9782B">
        <w:trPr>
          <w:trHeight w:hRule="exact" w:val="357"/>
        </w:trPr>
        <w:tc>
          <w:tcPr>
            <w:tcW w:w="4510" w:type="dxa"/>
            <w:vMerge/>
            <w:shd w:val="clear" w:color="auto" w:fill="auto"/>
            <w:vAlign w:val="center"/>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-1,2 Prozentpunkte</w:t>
            </w:r>
          </w:p>
        </w:tc>
        <w:tc>
          <w:tcPr>
            <w:tcW w:w="1559"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-0,9 Prozentpunkte</w:t>
            </w:r>
          </w:p>
        </w:tc>
        <w:tc>
          <w:tcPr>
            <w:tcW w:w="2410"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-0,9 Prozentpunkten und -0,4 Prozentpunkten</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-0,4 Prozentpunkte</w:t>
            </w:r>
          </w:p>
        </w:tc>
        <w:tc>
          <w:tcPr>
            <w:tcW w:w="1843"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-0,1 Prozentpunkte</w:t>
            </w:r>
          </w:p>
        </w:tc>
      </w:tr>
      <w:tr w:rsidR="00B9782B">
        <w:trPr>
          <w:trHeight w:hRule="exact" w:val="258"/>
        </w:trPr>
        <w:tc>
          <w:tcPr>
            <w:tcW w:w="4510" w:type="dxa"/>
            <w:vMerge w:val="restart"/>
            <w:shd w:val="clear" w:color="auto" w:fill="auto"/>
            <w:vAlign w:val="center"/>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 xml:space="preserve">Reales verfügbares </w:t>
            </w:r>
            <w:r>
              <w:rPr>
                <w:rFonts w:ascii="Times New Roman" w:hAnsi="Times New Roman"/>
                <w:b/>
                <w:noProof/>
                <w:sz w:val="16"/>
                <w:szCs w:val="16"/>
              </w:rPr>
              <w:t>Bruttoeinkommen der Haushalte pro Kopf (Index 2008 = 100)</w:t>
            </w:r>
          </w:p>
        </w:tc>
        <w:tc>
          <w:tcPr>
            <w:tcW w:w="1444"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93,6</w:t>
            </w:r>
          </w:p>
        </w:tc>
        <w:tc>
          <w:tcPr>
            <w:tcW w:w="1559"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100,1</w:t>
            </w:r>
          </w:p>
        </w:tc>
        <w:tc>
          <w:tcPr>
            <w:tcW w:w="2410"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100,1 und 113,2</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113,2</w:t>
            </w:r>
          </w:p>
        </w:tc>
        <w:tc>
          <w:tcPr>
            <w:tcW w:w="1843"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119,8</w:t>
            </w:r>
          </w:p>
        </w:tc>
      </w:tr>
      <w:tr w:rsidR="00B9782B">
        <w:trPr>
          <w:trHeight w:hRule="exact" w:val="451"/>
        </w:trPr>
        <w:tc>
          <w:tcPr>
            <w:tcW w:w="4510" w:type="dxa"/>
            <w:vMerge/>
            <w:shd w:val="clear" w:color="auto" w:fill="auto"/>
            <w:vAlign w:val="center"/>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0,0 Prozentpunkte</w:t>
            </w:r>
          </w:p>
        </w:tc>
        <w:tc>
          <w:tcPr>
            <w:tcW w:w="1559"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1,2 Prozentpunkte</w:t>
            </w:r>
          </w:p>
        </w:tc>
        <w:tc>
          <w:tcPr>
            <w:tcW w:w="2410"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zwischen 1,2 Prozentpunkten und </w:t>
            </w:r>
            <w:r>
              <w:rPr>
                <w:rFonts w:ascii="Times New Roman" w:hAnsi="Times New Roman"/>
                <w:noProof/>
                <w:sz w:val="16"/>
                <w:szCs w:val="16"/>
              </w:rPr>
              <w:t>3,7 Prozentpunkten</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3,7 Prozentpunkte</w:t>
            </w:r>
          </w:p>
        </w:tc>
        <w:tc>
          <w:tcPr>
            <w:tcW w:w="1843"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4,9 Prozentpunkte</w:t>
            </w:r>
          </w:p>
        </w:tc>
      </w:tr>
      <w:tr w:rsidR="00B9782B">
        <w:trPr>
          <w:trHeight w:val="341"/>
        </w:trPr>
        <w:tc>
          <w:tcPr>
            <w:tcW w:w="4510" w:type="dxa"/>
            <w:vMerge w:val="restart"/>
            <w:shd w:val="clear" w:color="auto" w:fill="auto"/>
            <w:vAlign w:val="center"/>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Nettoeinkommen eines alleinstehenden Vollzeitbeschäftigten mit durchschnittlichem Einkommen (Werte in KKS, Veränderungen in Landeswährung in realen Werten)</w:t>
            </w:r>
          </w:p>
        </w:tc>
        <w:tc>
          <w:tcPr>
            <w:tcW w:w="1444"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13 381</w:t>
            </w:r>
          </w:p>
        </w:tc>
        <w:tc>
          <w:tcPr>
            <w:tcW w:w="1559"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unter </w:t>
            </w:r>
            <w:r>
              <w:rPr>
                <w:rFonts w:ascii="Times New Roman" w:hAnsi="Times New Roman"/>
                <w:noProof/>
                <w:sz w:val="16"/>
                <w:szCs w:val="16"/>
              </w:rPr>
              <w:t>16 990</w:t>
            </w:r>
          </w:p>
        </w:tc>
        <w:tc>
          <w:tcPr>
            <w:tcW w:w="2410"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16 990 und 24 209</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24 209</w:t>
            </w:r>
          </w:p>
        </w:tc>
        <w:tc>
          <w:tcPr>
            <w:tcW w:w="1843"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27 819</w:t>
            </w:r>
          </w:p>
        </w:tc>
      </w:tr>
      <w:tr w:rsidR="00B9782B">
        <w:trPr>
          <w:trHeight w:val="341"/>
        </w:trPr>
        <w:tc>
          <w:tcPr>
            <w:tcW w:w="4510" w:type="dxa"/>
            <w:vMerge/>
            <w:shd w:val="clear" w:color="auto" w:fill="auto"/>
            <w:vAlign w:val="center"/>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-0,1 %</w:t>
            </w:r>
          </w:p>
        </w:tc>
        <w:tc>
          <w:tcPr>
            <w:tcW w:w="1559"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1,2 %</w:t>
            </w:r>
          </w:p>
        </w:tc>
        <w:tc>
          <w:tcPr>
            <w:tcW w:w="2410"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1,2 % und 3,8 %</w:t>
            </w:r>
          </w:p>
        </w:tc>
        <w:tc>
          <w:tcPr>
            <w:tcW w:w="1701"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3,8 %</w:t>
            </w:r>
          </w:p>
        </w:tc>
        <w:tc>
          <w:tcPr>
            <w:tcW w:w="1843" w:type="dxa"/>
            <w:shd w:val="clear" w:color="auto" w:fill="auto"/>
            <w:noWrap/>
            <w:vAlign w:val="center"/>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5,1 %</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Auswirkungen sozialer Transferleistungen (ausgenommen Rentenzahlungen) bei der Armutsbekämpfung (%)</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23,4 %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28,7 %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28,7 % und 39,3 %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39,3 %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44,6 %</w:t>
            </w:r>
          </w:p>
        </w:tc>
      </w:tr>
      <w:tr w:rsidR="00B9782B">
        <w:trPr>
          <w:trHeight w:hRule="exact" w:val="389"/>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-3,1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-1,8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-1,8 Prozentpunkten und 0,9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0,9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mehr als </w:t>
            </w:r>
            <w:r>
              <w:rPr>
                <w:rFonts w:ascii="Times New Roman" w:hAnsi="Times New Roman"/>
                <w:noProof/>
                <w:sz w:val="16"/>
                <w:szCs w:val="16"/>
              </w:rPr>
              <w:t>2,2 Prozentpunkte</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Kinder unter 3 Jahren in formeller Kinderbetreuung (%)</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16,4 %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24,9 %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24,9 % und 41,9 %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41,9 %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50,4 %</w:t>
            </w:r>
          </w:p>
        </w:tc>
      </w:tr>
      <w:tr w:rsidR="00B9782B">
        <w:trPr>
          <w:trHeight w:hRule="exact" w:val="455"/>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-3,8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-1,3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zwischen </w:t>
            </w:r>
            <w:r>
              <w:rPr>
                <w:rFonts w:ascii="Times New Roman" w:hAnsi="Times New Roman"/>
                <w:noProof/>
                <w:sz w:val="16"/>
                <w:szCs w:val="16"/>
              </w:rPr>
              <w:t>-1,3 Prozentpunkten und 3,8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3,8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6,3 Prozentpunkte</w:t>
            </w:r>
          </w:p>
        </w:tc>
      </w:tr>
      <w:tr w:rsidR="00B9782B">
        <w:trPr>
          <w:trHeight w:hRule="exact" w:val="436"/>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Nach eigenen Angaben nicht gedeckter Bedarf an ärztlicher Versorgung (%)</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-0,6 %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1,1 %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1,1 % und 4,4 %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4,4 %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6,1 %</w:t>
            </w:r>
          </w:p>
        </w:tc>
      </w:tr>
      <w:tr w:rsidR="00B9782B">
        <w:trPr>
          <w:trHeight w:hRule="exact" w:val="436"/>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-0,8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-0,3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-0,3 Prozentpunkten und 0,7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0,7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1,2 Prozentpunkte</w:t>
            </w:r>
          </w:p>
        </w:tc>
      </w:tr>
      <w:tr w:rsidR="00B9782B">
        <w:trPr>
          <w:trHeight w:hRule="exact" w:val="258"/>
        </w:trPr>
        <w:tc>
          <w:tcPr>
            <w:tcW w:w="4510" w:type="dxa"/>
            <w:vMerge w:val="restart"/>
            <w:shd w:val="clear" w:color="auto" w:fill="auto"/>
            <w:vAlign w:val="center"/>
            <w:hideMark/>
          </w:tcPr>
          <w:p w:rsidR="00B9782B" w:rsidRDefault="0062365E">
            <w:pPr>
              <w:spacing w:after="0" w:line="240" w:lineRule="auto"/>
              <w:rPr>
                <w:rFonts w:ascii="Times New Roman" w:eastAsia="Times New Roman" w:hAnsi="Times New Roman" w:cs="Times New Roman"/>
                <w:b/>
                <w:noProof/>
                <w:color w:val="000000"/>
                <w:sz w:val="16"/>
                <w:szCs w:val="16"/>
              </w:rPr>
            </w:pPr>
            <w:r>
              <w:rPr>
                <w:rFonts w:ascii="Times New Roman" w:hAnsi="Times New Roman"/>
                <w:b/>
                <w:noProof/>
                <w:sz w:val="16"/>
                <w:szCs w:val="16"/>
              </w:rPr>
              <w:t xml:space="preserve">Personen mit grundlegender oder mehr als grundlegender digitaler </w:t>
            </w:r>
            <w:r>
              <w:rPr>
                <w:rFonts w:ascii="Times New Roman" w:hAnsi="Times New Roman"/>
                <w:b/>
                <w:noProof/>
                <w:sz w:val="16"/>
                <w:szCs w:val="16"/>
              </w:rPr>
              <w:t>Kompetenz (% der Bevölkerung im Alter von 16-74 Jahren)</w:t>
            </w: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Werte</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43,4 %</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unter 50,4 %</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zwischen 50,4 % und 64,3 %</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64,3 %</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über 71,3 %</w:t>
            </w:r>
          </w:p>
        </w:tc>
      </w:tr>
      <w:tr w:rsidR="00B9782B">
        <w:trPr>
          <w:trHeight w:hRule="exact" w:val="500"/>
        </w:trPr>
        <w:tc>
          <w:tcPr>
            <w:tcW w:w="4510" w:type="dxa"/>
            <w:vMerge/>
            <w:shd w:val="clear" w:color="auto" w:fill="auto"/>
            <w:vAlign w:val="center"/>
            <w:hideMark/>
          </w:tcPr>
          <w:p w:rsidR="00B9782B" w:rsidRDefault="00B9782B">
            <w:pPr>
              <w:spacing w:after="0" w:line="240" w:lineRule="auto"/>
              <w:rPr>
                <w:rFonts w:ascii="Times New Roman" w:eastAsia="Times New Roman" w:hAnsi="Times New Roman" w:cs="Times New Roman"/>
                <w:b/>
                <w:noProof/>
                <w:color w:val="000000"/>
                <w:sz w:val="16"/>
                <w:szCs w:val="16"/>
              </w:rPr>
            </w:pPr>
          </w:p>
        </w:tc>
        <w:tc>
          <w:tcPr>
            <w:tcW w:w="1444"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Veränderungen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-3,0 Prozentpunkte</w:t>
            </w:r>
          </w:p>
        </w:tc>
        <w:tc>
          <w:tcPr>
            <w:tcW w:w="1559"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weniger als -0,9 Prozentpunkte</w:t>
            </w:r>
          </w:p>
        </w:tc>
        <w:tc>
          <w:tcPr>
            <w:tcW w:w="2410"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 xml:space="preserve">zwischen -0,9 Prozentpunkten und </w:t>
            </w:r>
            <w:r>
              <w:rPr>
                <w:rFonts w:ascii="Times New Roman" w:hAnsi="Times New Roman"/>
                <w:noProof/>
                <w:sz w:val="16"/>
                <w:szCs w:val="16"/>
              </w:rPr>
              <w:t>3,5 Prozentpunkten</w:t>
            </w:r>
          </w:p>
        </w:tc>
        <w:tc>
          <w:tcPr>
            <w:tcW w:w="1701"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3,5 Prozentpunkte</w:t>
            </w:r>
          </w:p>
        </w:tc>
        <w:tc>
          <w:tcPr>
            <w:tcW w:w="1843" w:type="dxa"/>
            <w:shd w:val="clear" w:color="auto" w:fill="auto"/>
            <w:noWrap/>
            <w:vAlign w:val="center"/>
            <w:hideMark/>
          </w:tcPr>
          <w:p w:rsidR="00B9782B" w:rsidRDefault="0062365E">
            <w:pPr>
              <w:spacing w:after="0" w:line="240" w:lineRule="auto"/>
              <w:jc w:val="center"/>
              <w:rPr>
                <w:rFonts w:ascii="Times New Roman" w:eastAsia="Times New Roman" w:hAnsi="Times New Roman" w:cs="Times New Roman"/>
                <w:noProof/>
                <w:color w:val="000000"/>
                <w:sz w:val="16"/>
                <w:szCs w:val="16"/>
              </w:rPr>
            </w:pPr>
            <w:r>
              <w:rPr>
                <w:rFonts w:ascii="Times New Roman" w:hAnsi="Times New Roman"/>
                <w:noProof/>
                <w:sz w:val="16"/>
                <w:szCs w:val="16"/>
              </w:rPr>
              <w:t>mehr als 5,6 Prozentpunkte</w:t>
            </w:r>
          </w:p>
        </w:tc>
      </w:tr>
    </w:tbl>
    <w:p w:rsidR="00B9782B" w:rsidRDefault="00B9782B">
      <w:pPr>
        <w:spacing w:line="240" w:lineRule="auto"/>
        <w:rPr>
          <w:noProof/>
        </w:rPr>
        <w:sectPr w:rsidR="00B9782B">
          <w:headerReference w:type="even" r:id="rId33"/>
          <w:headerReference w:type="default" r:id="rId34"/>
          <w:footerReference w:type="even" r:id="rId35"/>
          <w:footerReference w:type="default" r:id="rId36"/>
          <w:headerReference w:type="first" r:id="rId37"/>
          <w:footerReference w:type="first" r:id="rId38"/>
          <w:pgSz w:w="16838" w:h="11906" w:orient="landscape"/>
          <w:pgMar w:top="1417" w:right="1417" w:bottom="1417" w:left="1417" w:header="708" w:footer="708" w:gutter="0"/>
          <w:cols w:space="720"/>
          <w:docGrid w:linePitch="360"/>
        </w:sectPr>
      </w:pPr>
    </w:p>
    <w:p w:rsidR="00B9782B" w:rsidRDefault="0062365E">
      <w:pPr>
        <w:jc w:val="both"/>
        <w:rPr>
          <w:rFonts w:ascii="Times New Roman" w:eastAsia="Calibri" w:hAnsi="Times New Roman" w:cs="Times New Roman"/>
          <w:b/>
          <w:noProof/>
          <w:sz w:val="24"/>
          <w:szCs w:val="24"/>
        </w:rPr>
      </w:pPr>
      <w:r>
        <w:rPr>
          <w:rFonts w:ascii="Times New Roman" w:hAnsi="Times New Roman"/>
          <w:b/>
          <w:noProof/>
        </w:rPr>
        <w:t xml:space="preserve">Anhang 5: Gesamtüberblick über die „zu beobachtenden Beschäftigungstrends“ und die Zahl der Mitgliedstaaten, in denen </w:t>
      </w:r>
      <w:r>
        <w:rPr>
          <w:rFonts w:ascii="Times New Roman" w:hAnsi="Times New Roman"/>
          <w:b/>
          <w:noProof/>
        </w:rPr>
        <w:t>Verschlechterungen oder Verbesserungen zu verzeichnen sind, gemäß dem Anzeiger für die Leistungen im Beschäftigungsbereich 2019.</w:t>
      </w:r>
    </w:p>
    <w:p w:rsidR="00B9782B" w:rsidRDefault="0062365E">
      <w:pPr>
        <w:spacing w:line="240" w:lineRule="auto"/>
        <w:rPr>
          <w:noProof/>
        </w:rPr>
      </w:pPr>
      <w:r>
        <w:rPr>
          <w:noProof/>
          <w:lang w:val="fr-BE" w:eastAsia="fr-BE"/>
        </w:rPr>
        <w:drawing>
          <wp:inline distT="0" distB="0" distL="0" distR="0">
            <wp:extent cx="5853600" cy="30481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7331" cy="3065699"/>
                    </a:xfrm>
                    <a:prstGeom prst="rect">
                      <a:avLst/>
                    </a:prstGeom>
                    <a:noFill/>
                  </pic:spPr>
                </pic:pic>
              </a:graphicData>
            </a:graphic>
          </wp:inline>
        </w:drawing>
      </w:r>
    </w:p>
    <w:p w:rsidR="00B9782B" w:rsidRDefault="0062365E">
      <w:pPr>
        <w:jc w:val="both"/>
        <w:rPr>
          <w:rFonts w:ascii="Times New Roman" w:hAnsi="Times New Roman" w:cs="Times New Roman"/>
          <w:noProof/>
          <w:sz w:val="20"/>
        </w:rPr>
      </w:pPr>
      <w:r>
        <w:rPr>
          <w:rFonts w:ascii="Times New Roman" w:hAnsi="Times New Roman"/>
          <w:noProof/>
          <w:sz w:val="20"/>
        </w:rPr>
        <w:t>Anmerkung: Veränderungen von 2017 auf 2018, außer bei der Armutsgefährdungsquote von Arbeitslosen sowie der Arbeitslosigkeits</w:t>
      </w:r>
      <w:r>
        <w:rPr>
          <w:rFonts w:ascii="Times New Roman" w:hAnsi="Times New Roman"/>
          <w:noProof/>
          <w:sz w:val="20"/>
        </w:rPr>
        <w:t>falle und dem Geschlechtergefälle bei der Entlohnung, dort Veränderungen von 2016 auf 2017.</w:t>
      </w:r>
    </w:p>
    <w:p w:rsidR="00B9782B" w:rsidRDefault="00B9782B">
      <w:pPr>
        <w:spacing w:line="240" w:lineRule="auto"/>
        <w:rPr>
          <w:noProof/>
        </w:rPr>
      </w:pPr>
    </w:p>
    <w:p w:rsidR="00B9782B" w:rsidRDefault="0062365E">
      <w:pPr>
        <w:rPr>
          <w:rFonts w:ascii="Times New Roman" w:eastAsia="Calibri" w:hAnsi="Times New Roman" w:cs="Times New Roman"/>
          <w:b/>
          <w:noProof/>
          <w:sz w:val="24"/>
          <w:szCs w:val="24"/>
        </w:rPr>
      </w:pPr>
      <w:r>
        <w:rPr>
          <w:noProof/>
        </w:rPr>
        <w:br w:type="page"/>
      </w:r>
    </w:p>
    <w:p w:rsidR="00B9782B" w:rsidRDefault="0062365E">
      <w:pPr>
        <w:jc w:val="both"/>
        <w:rPr>
          <w:rFonts w:ascii="Times New Roman" w:eastAsia="Calibri" w:hAnsi="Times New Roman" w:cs="Times New Roman"/>
          <w:b/>
          <w:noProof/>
          <w:sz w:val="24"/>
          <w:szCs w:val="24"/>
        </w:rPr>
      </w:pPr>
      <w:r>
        <w:rPr>
          <w:rFonts w:ascii="Times New Roman" w:hAnsi="Times New Roman"/>
          <w:b/>
          <w:noProof/>
        </w:rPr>
        <w:t>Anhang 6: Gesamtüberblick über die „zu beobachtenden sozialen Trends“ und die Zahl der Mitgliedstaaten, in denen Verschlechterungen oder Verbesserungen zu verzei</w:t>
      </w:r>
      <w:r>
        <w:rPr>
          <w:rFonts w:ascii="Times New Roman" w:hAnsi="Times New Roman"/>
          <w:b/>
          <w:noProof/>
        </w:rPr>
        <w:t>chnen sind (2016-2017), gemäß dem Anzeiger für die Leistungsfähigkeit des Sozialschutzes (aktualisierte Fassung von 2019).</w:t>
      </w:r>
    </w:p>
    <w:p w:rsidR="00B9782B" w:rsidRDefault="0062365E">
      <w:pPr>
        <w:jc w:val="both"/>
        <w:rPr>
          <w:rFonts w:ascii="Times New Roman" w:hAnsi="Times New Roman" w:cs="Times New Roman"/>
          <w:iCs/>
          <w:noProof/>
          <w:sz w:val="24"/>
          <w:szCs w:val="24"/>
        </w:rPr>
      </w:pPr>
      <w:r>
        <w:rPr>
          <w:rFonts w:ascii="Times New Roman" w:hAnsi="Times New Roman"/>
          <w:noProof/>
          <w:sz w:val="20"/>
          <w:lang w:val="fr-BE" w:eastAsia="fr-BE"/>
        </w:rPr>
        <w:drawing>
          <wp:inline distT="0" distB="0" distL="0" distR="0">
            <wp:extent cx="5839200" cy="5791859"/>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50615" cy="5803181"/>
                    </a:xfrm>
                    <a:prstGeom prst="rect">
                      <a:avLst/>
                    </a:prstGeom>
                    <a:noFill/>
                  </pic:spPr>
                </pic:pic>
              </a:graphicData>
            </a:graphic>
          </wp:inline>
        </w:drawing>
      </w:r>
      <w:r>
        <w:rPr>
          <w:rFonts w:ascii="Times New Roman" w:hAnsi="Times New Roman"/>
          <w:noProof/>
          <w:sz w:val="20"/>
        </w:rPr>
        <w:t xml:space="preserve">Anmerkung: Bei auf EU-SILC gestützten Indikatoren beziehen sich die Veränderungen in der Regel auf den Zeitraum 2015-2016 bzgl. der </w:t>
      </w:r>
      <w:r>
        <w:rPr>
          <w:rFonts w:ascii="Times New Roman" w:hAnsi="Times New Roman"/>
          <w:noProof/>
          <w:sz w:val="20"/>
        </w:rPr>
        <w:t>Indikatoren zum Einkommen und zur Erwerbsintensität des Haushalts. Bei AKE-gestützten Indikatoren (Langzeitarbeitslosenquote; frühe Schulabgänger; Jugendarbeitslosenquote; NEET (15–24 Jahre), Frühverrentung (55–64 Jahre)) beziehen sich die Veränderungen au</w:t>
      </w:r>
      <w:r>
        <w:rPr>
          <w:rFonts w:ascii="Times New Roman" w:hAnsi="Times New Roman"/>
          <w:noProof/>
          <w:sz w:val="20"/>
        </w:rPr>
        <w:t>f den Zeitraum 2017–2018.</w:t>
      </w:r>
    </w:p>
    <w:p w:rsidR="00B9782B" w:rsidRDefault="00B9782B">
      <w:pPr>
        <w:spacing w:line="240" w:lineRule="auto"/>
        <w:rPr>
          <w:rFonts w:ascii="Times New Roman" w:hAnsi="Times New Roman" w:cs="Times New Roman"/>
          <w:noProof/>
          <w:sz w:val="24"/>
          <w:szCs w:val="24"/>
        </w:rPr>
      </w:pPr>
    </w:p>
    <w:p w:rsidR="00B9782B" w:rsidRDefault="00B9782B">
      <w:pPr>
        <w:spacing w:line="240" w:lineRule="auto"/>
        <w:rPr>
          <w:noProof/>
        </w:rPr>
      </w:pPr>
    </w:p>
    <w:sectPr w:rsidR="00B9782B">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82B" w:rsidRDefault="0062365E">
      <w:pPr>
        <w:spacing w:after="0" w:line="240" w:lineRule="auto"/>
      </w:pPr>
      <w:r>
        <w:separator/>
      </w:r>
    </w:p>
  </w:endnote>
  <w:endnote w:type="continuationSeparator" w:id="0">
    <w:p w:rsidR="00B9782B" w:rsidRDefault="0062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5E" w:rsidRPr="0062365E" w:rsidRDefault="0062365E" w:rsidP="006236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084382"/>
      <w:docPartObj>
        <w:docPartGallery w:val="Page Numbers (Bottom of Page)"/>
        <w:docPartUnique/>
      </w:docPartObj>
    </w:sdtPr>
    <w:sdtEndPr>
      <w:rPr>
        <w:rFonts w:ascii="Times New Roman" w:hAnsi="Times New Roman" w:cs="Times New Roman"/>
        <w:noProof/>
        <w:sz w:val="24"/>
        <w:szCs w:val="24"/>
      </w:rPr>
    </w:sdtEndPr>
    <w:sdtContent>
      <w:p w:rsidR="00B9782B" w:rsidRDefault="0062365E">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27</w:t>
        </w:r>
        <w:r>
          <w:rPr>
            <w:rFonts w:ascii="Times New Roman" w:hAnsi="Times New Roman" w:cs="Times New Roman"/>
            <w:sz w:val="24"/>
            <w:szCs w:val="24"/>
          </w:rPr>
          <w:fldChar w:fldCharType="end"/>
        </w:r>
      </w:p>
    </w:sdtContent>
  </w:sdt>
  <w:p w:rsidR="00B9782B" w:rsidRDefault="00B9782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5E" w:rsidRPr="0062365E" w:rsidRDefault="0062365E" w:rsidP="0062365E">
    <w:pPr>
      <w:pStyle w:val="FooterCoverPage"/>
      <w:rPr>
        <w:rFonts w:ascii="Arial" w:hAnsi="Arial" w:cs="Arial"/>
        <w:b/>
        <w:sz w:val="48"/>
      </w:rPr>
    </w:pPr>
    <w:r w:rsidRPr="0062365E">
      <w:rPr>
        <w:rFonts w:ascii="Arial" w:hAnsi="Arial" w:cs="Arial"/>
        <w:b/>
        <w:sz w:val="48"/>
      </w:rPr>
      <w:t>DE</w:t>
    </w:r>
    <w:r w:rsidRPr="0062365E">
      <w:rPr>
        <w:rFonts w:ascii="Arial" w:hAnsi="Arial" w:cs="Arial"/>
        <w:b/>
        <w:sz w:val="48"/>
      </w:rPr>
      <w:tab/>
    </w:r>
    <w:r w:rsidRPr="0062365E">
      <w:rPr>
        <w:rFonts w:ascii="Arial" w:hAnsi="Arial" w:cs="Arial"/>
        <w:b/>
        <w:sz w:val="48"/>
      </w:rPr>
      <w:tab/>
    </w:r>
    <w:r w:rsidRPr="0062365E">
      <w:tab/>
    </w:r>
    <w:r w:rsidRPr="0062365E">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5E" w:rsidRPr="0062365E" w:rsidRDefault="0062365E" w:rsidP="0062365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234590"/>
      <w:docPartObj>
        <w:docPartGallery w:val="Page Numbers (Bottom of Page)"/>
        <w:docPartUnique/>
      </w:docPartObj>
    </w:sdtPr>
    <w:sdtEndPr>
      <w:rPr>
        <w:rFonts w:ascii="Times New Roman" w:hAnsi="Times New Roman" w:cs="Times New Roman"/>
        <w:noProof/>
        <w:sz w:val="24"/>
        <w:szCs w:val="24"/>
      </w:rPr>
    </w:sdtEndPr>
    <w:sdtContent>
      <w:p w:rsidR="00B9782B" w:rsidRDefault="0062365E">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5</w:t>
        </w:r>
        <w:r>
          <w:rPr>
            <w:rFonts w:ascii="Times New Roman" w:hAnsi="Times New Roman" w:cs="Times New Roman"/>
            <w:sz w:val="24"/>
            <w:szCs w:val="24"/>
          </w:rPr>
          <w:fldChar w:fldCharType="end"/>
        </w:r>
      </w:p>
    </w:sdtContent>
  </w:sdt>
  <w:p w:rsidR="00B9782B" w:rsidRDefault="00B978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256634"/>
      <w:docPartObj>
        <w:docPartGallery w:val="Page Numbers (Bottom of Page)"/>
        <w:docPartUnique/>
      </w:docPartObj>
    </w:sdtPr>
    <w:sdtEndPr>
      <w:rPr>
        <w:rFonts w:ascii="Times New Roman" w:hAnsi="Times New Roman" w:cs="Times New Roman"/>
        <w:noProof/>
        <w:sz w:val="24"/>
        <w:szCs w:val="24"/>
      </w:rPr>
    </w:sdtEndPr>
    <w:sdtContent>
      <w:p w:rsidR="00B9782B" w:rsidRDefault="0062365E">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25</w:t>
        </w:r>
        <w:r>
          <w:rPr>
            <w:rFonts w:ascii="Times New Roman" w:hAnsi="Times New Roman" w:cs="Times New Roman"/>
            <w:sz w:val="24"/>
            <w:szCs w:val="24"/>
          </w:rPr>
          <w:fldChar w:fldCharType="end"/>
        </w:r>
      </w:p>
    </w:sdtContent>
  </w:sdt>
  <w:p w:rsidR="00B9782B" w:rsidRDefault="00B978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82B" w:rsidRDefault="0062365E">
      <w:pPr>
        <w:spacing w:after="0" w:line="240" w:lineRule="auto"/>
      </w:pPr>
      <w:r>
        <w:separator/>
      </w:r>
    </w:p>
  </w:footnote>
  <w:footnote w:type="continuationSeparator" w:id="0">
    <w:p w:rsidR="00B9782B" w:rsidRDefault="0062365E">
      <w:pPr>
        <w:spacing w:after="0" w:line="240" w:lineRule="auto"/>
      </w:pPr>
      <w:r>
        <w:continuationSeparator/>
      </w:r>
    </w:p>
  </w:footnote>
  <w:footnote w:id="1">
    <w:p w:rsidR="00B9782B" w:rsidRDefault="0062365E">
      <w:pPr>
        <w:pStyle w:val="FootnoteText"/>
        <w:jc w:val="both"/>
        <w:rPr>
          <w:rFonts w:ascii="Times New Roman" w:hAnsi="Times New Roman" w:cs="Times New Roman"/>
        </w:rPr>
      </w:pPr>
      <w:r>
        <w:rPr>
          <w:rStyle w:val="FootnoteReference"/>
          <w:rFonts w:cs="Times New Roman"/>
        </w:rPr>
        <w:footnoteRef/>
      </w:r>
      <w:r>
        <w:rPr>
          <w:rFonts w:ascii="Times New Roman" w:hAnsi="Times New Roman"/>
        </w:rPr>
        <w:t xml:space="preserve"> Mit Ausnahme des neuen Indikators „Nettoeinkommen eines alleinstehenden kinderlosen Vollzeitbeschäftigten mit Durchschnittslohn“, für den die Dreijahresdurchschnitte sowohl für Werte als auch für Veränderungen verwendet werden, um Schwankungen auszugleich</w:t>
      </w:r>
      <w:r>
        <w:rPr>
          <w:rFonts w:ascii="Times New Roman" w:hAnsi="Times New Roman"/>
        </w:rPr>
        <w:t>en.</w:t>
      </w:r>
    </w:p>
  </w:footnote>
  <w:footnote w:id="2">
    <w:p w:rsidR="00B9782B" w:rsidRDefault="0062365E">
      <w:pPr>
        <w:pStyle w:val="FootnoteText"/>
        <w:rPr>
          <w:rFonts w:ascii="Times New Roman" w:hAnsi="Times New Roman" w:cs="Times New Roman"/>
        </w:rPr>
      </w:pPr>
      <w:r>
        <w:rPr>
          <w:rStyle w:val="FootnoteReference"/>
          <w:rFonts w:cs="Times New Roman"/>
        </w:rPr>
        <w:footnoteRef/>
      </w:r>
      <w:r>
        <w:t xml:space="preserve"> </w:t>
      </w:r>
      <w:r>
        <w:rPr>
          <w:rFonts w:ascii="Times New Roman" w:hAnsi="Times New Roman"/>
        </w:rPr>
        <w:t>Es wurden sowohl ein Normalverteilungs- als auch ein T-Test durchgeführt, die zum Ergebnis hatten, dass eine Verteilungshypothese ausgeschlossen wird.</w:t>
      </w:r>
    </w:p>
  </w:footnote>
  <w:footnote w:id="3">
    <w:p w:rsidR="00B9782B" w:rsidRDefault="0062365E">
      <w:pPr>
        <w:pStyle w:val="FootnoteText"/>
        <w:rPr>
          <w:rFonts w:ascii="Times New Roman" w:hAnsi="Times New Roman" w:cs="Times New Roman"/>
        </w:rPr>
      </w:pPr>
      <w:r>
        <w:rPr>
          <w:rStyle w:val="FootnoteReference"/>
          <w:rFonts w:cs="Times New Roman"/>
        </w:rPr>
        <w:footnoteRef/>
      </w:r>
      <w:r>
        <w:t xml:space="preserve"> </w:t>
      </w:r>
      <w:r>
        <w:rPr>
          <w:rFonts w:ascii="Times New Roman" w:hAnsi="Times New Roman"/>
        </w:rPr>
        <w:t>Bei Normalverteilung entsprechen die gewählten Abschneidepunkte grob 15 %, 30 %, 50 %, 70 % und 8</w:t>
      </w:r>
      <w:r>
        <w:rPr>
          <w:rFonts w:ascii="Times New Roman" w:hAnsi="Times New Roman"/>
        </w:rPr>
        <w:t>5 % der kumulativen Verteilung.</w:t>
      </w:r>
    </w:p>
  </w:footnote>
  <w:footnote w:id="4">
    <w:p w:rsidR="00B9782B" w:rsidRDefault="0062365E">
      <w:pPr>
        <w:pStyle w:val="FootnoteText"/>
        <w:jc w:val="both"/>
        <w:rPr>
          <w:rFonts w:ascii="Times New Roman" w:hAnsi="Times New Roman" w:cs="Times New Roman"/>
        </w:rPr>
      </w:pPr>
      <w:r>
        <w:rPr>
          <w:rStyle w:val="FootnoteReference"/>
          <w:rFonts w:cs="Times New Roman"/>
        </w:rPr>
        <w:footnoteRef/>
      </w:r>
      <w:r>
        <w:t xml:space="preserve"> </w:t>
      </w:r>
      <w:r>
        <w:rPr>
          <w:rFonts w:ascii="Times New Roman" w:hAnsi="Times New Roman"/>
        </w:rPr>
        <w:t>Die letztere der genannten Bedingungen verhindert, dass ein Mitgliedstaat mit niedrigen oder sehr niedrigen Werten als „mit Abwärtstrend“ eingestuft wird, wenn er eine „weit überdurchschnittliche“ Veränderung aufweist, abe</w:t>
      </w:r>
      <w:r>
        <w:rPr>
          <w:rFonts w:ascii="Times New Roman" w:hAnsi="Times New Roman"/>
        </w:rPr>
        <w:t>r sich die Lage weiterhin verbessert.</w:t>
      </w:r>
    </w:p>
  </w:footnote>
  <w:footnote w:id="5">
    <w:p w:rsidR="00B9782B" w:rsidRDefault="0062365E">
      <w:pPr>
        <w:pStyle w:val="FootnoteText"/>
        <w:jc w:val="both"/>
        <w:rPr>
          <w:rFonts w:ascii="Times New Roman" w:hAnsi="Times New Roman" w:cs="Times New Roman"/>
        </w:rPr>
      </w:pPr>
      <w:r>
        <w:rPr>
          <w:rStyle w:val="FootnoteReference"/>
          <w:rFonts w:cs="Times New Roman"/>
        </w:rPr>
        <w:footnoteRef/>
      </w:r>
      <w:r>
        <w:t xml:space="preserve"> </w:t>
      </w:r>
      <w:r>
        <w:rPr>
          <w:rFonts w:ascii="Times New Roman" w:hAnsi="Times New Roman"/>
        </w:rPr>
        <w:t>Die letztere der genannten Bedingungen verhindert, dass ein Mitgliedstaat mit durchschnittlichen Werten als „zu beobachten“ eingestuft wird, wenn er eine „weit überdurchschnittliche“ Veränderung aufweist, aber sich d</w:t>
      </w:r>
      <w:r>
        <w:rPr>
          <w:rFonts w:ascii="Times New Roman" w:hAnsi="Times New Roman"/>
        </w:rPr>
        <w:t>ie Lage weiterhin verbessert.</w:t>
      </w:r>
    </w:p>
  </w:footnote>
  <w:footnote w:id="6">
    <w:p w:rsidR="00B9782B" w:rsidRDefault="0062365E">
      <w:pPr>
        <w:pStyle w:val="FootnoteText"/>
        <w:jc w:val="both"/>
        <w:rPr>
          <w:rFonts w:ascii="Times New Roman" w:hAnsi="Times New Roman" w:cs="Times New Roman"/>
        </w:rPr>
      </w:pPr>
      <w:r>
        <w:rPr>
          <w:rStyle w:val="FootnoteReference"/>
          <w:rFonts w:cs="Times New Roman"/>
        </w:rPr>
        <w:footnoteRef/>
      </w:r>
      <w:r>
        <w:t xml:space="preserve"> </w:t>
      </w:r>
      <w:r>
        <w:rPr>
          <w:rFonts w:ascii="Times New Roman" w:hAnsi="Times New Roman"/>
        </w:rPr>
        <w:t xml:space="preserve">Die letztere der genannten Bedingungen verhindert, dass ein Mitgliedstaat mit als „hoch“ oder „sehr hoch“ eingestuften Werten als „mit Abwärtstrend“ eingestuft wird, wenn er eine „weit unterdurchschnittliche“, Veränderung </w:t>
      </w:r>
      <w:r>
        <w:rPr>
          <w:rFonts w:ascii="Times New Roman" w:hAnsi="Times New Roman"/>
        </w:rPr>
        <w:t>aufweist, aber sich die Lage weiterhin verbessert.</w:t>
      </w:r>
    </w:p>
  </w:footnote>
  <w:footnote w:id="7">
    <w:p w:rsidR="00B9782B" w:rsidRDefault="0062365E">
      <w:pPr>
        <w:pStyle w:val="FootnoteText"/>
        <w:jc w:val="both"/>
        <w:rPr>
          <w:rFonts w:ascii="Times New Roman" w:hAnsi="Times New Roman" w:cs="Times New Roman"/>
        </w:rPr>
      </w:pPr>
      <w:r>
        <w:rPr>
          <w:rStyle w:val="FootnoteReference"/>
          <w:rFonts w:cs="Times New Roman"/>
        </w:rPr>
        <w:footnoteRef/>
      </w:r>
      <w:r>
        <w:t xml:space="preserve"> </w:t>
      </w:r>
      <w:r>
        <w:rPr>
          <w:rFonts w:ascii="Times New Roman" w:hAnsi="Times New Roman"/>
        </w:rPr>
        <w:t>Die letztere der genannten Bedingungen verhindert, dass ein Mitgliedstaat mit durchschnittlichen Werten als „zu beobachten“ eingestuft wird, wenn er eine „weit unterdurchschnittliche“ Veränderung aufweis</w:t>
      </w:r>
      <w:r>
        <w:rPr>
          <w:rFonts w:ascii="Times New Roman" w:hAnsi="Times New Roman"/>
        </w:rPr>
        <w:t>t, aber sich die Lage weiterhin verbessert.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5E" w:rsidRPr="0062365E" w:rsidRDefault="0062365E" w:rsidP="0062365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5E" w:rsidRPr="0062365E" w:rsidRDefault="0062365E" w:rsidP="0062365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65E" w:rsidRPr="0062365E" w:rsidRDefault="0062365E" w:rsidP="0062365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82B" w:rsidRDefault="00B978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s"/>
    <w:docVar w:name="LW_ANNEX_NBR_FIRST" w:val="1"/>
    <w:docVar w:name="LW_ANNEX_NBR_LAST" w:val="6"/>
    <w:docVar w:name="LW_ANNEX_UNIQUE" w:val="0"/>
    <w:docVar w:name="LW_CORRIGENDUM" w:val="&lt;UNUSED&gt;"/>
    <w:docVar w:name="LW_COVERPAGE_EXISTS" w:val="True"/>
    <w:docVar w:name="LW_COVERPAGE_GUID" w:val="C8E69A82-DFD4-4902-A020-1C9D6DD3EA7F"/>
    <w:docVar w:name="LW_COVERPAGE_TYPE" w:val="1"/>
    <w:docVar w:name="LW_CROSSREFERENCE" w:val="&lt;UNUSED&gt;"/>
    <w:docVar w:name="LW_DocType" w:val="NORMAL"/>
    <w:docVar w:name="LW_EMISSION" w:val="17.12.2019"/>
    <w:docVar w:name="LW_EMISSION_ISODATE" w:val="2019-12-17"/>
    <w:docVar w:name="LW_EMISSION_LOCATION" w:val="BRX"/>
    <w:docVar w:name="LW_EMISSION_PREFIX" w:val="Brüssel, den "/>
    <w:docVar w:name="LW_EMISSION_SUFFIX" w:val=" "/>
    <w:docVar w:name="LW_ID_DOCTYPE_NONLW" w:val="CP-039"/>
    <w:docVar w:name="LW_LANGUE" w:val="DE"/>
    <w:docVar w:name="LW_LEVEL_OF_SENSITIVITY" w:val="Standard treatment"/>
    <w:docVar w:name="LW_NOM.INST" w:val="EUROPÄISCHE KOMMISSION"/>
    <w:docVar w:name="LW_NOM.INST_JOINTDOC" w:val="&lt;EMPTY&gt;"/>
    <w:docVar w:name="LW_OBJETACTEPRINCIPAL.CP" w:val="&lt;FMT:Font=Calibri&gt;Begleitunterlage zur Mitteilung der Kommission&lt;/FMT&gt;_x000d__x000b__x000d_&lt;FMT:Font=Calibri&gt;zur jährlichen Strategie für nachhaltiges Wachstum 2020&lt;/FMT&gt;_x000d__x000d__x000d__x000d__x000d__x000b_"/>
    <w:docVar w:name="LW_PART_NBR" w:val="&lt;UNUSED&gt;"/>
    <w:docVar w:name="LW_PART_NBR_TOTAL" w:val="&lt;UNUSED&gt;"/>
    <w:docVar w:name="LW_REF.INST.NEW" w:val="COM"/>
    <w:docVar w:name="LW_REF.INST.NEW_ADOPTED" w:val="final"/>
    <w:docVar w:name="LW_REF.INST.NEW_TEXT" w:val="(2019) 6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HÄNGE_x000b_"/>
    <w:docVar w:name="LW_TYPEACTEPRINCIPAL.CP" w:val="VORSCHLAGS FÜR EINEN GEMEINSAMEN BESCHÄFTIGUNGSBERICHT DER KOMMISSION UND DES RATES"/>
  </w:docVars>
  <w:rsids>
    <w:rsidRoot w:val="00B9782B"/>
    <w:rsid w:val="0062365E"/>
    <w:rsid w:val="00B97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4078366B-2C15-4C15-9D29-F635A7D5F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720" w:after="240" w:line="360" w:lineRule="auto"/>
      <w:jc w:val="both"/>
      <w:outlineLvl w:val="0"/>
    </w:pPr>
    <w:rPr>
      <w:rFonts w:ascii="Times New Roman" w:eastAsiaTheme="majorEastAsia" w:hAnsi="Times New Roman" w:cstheme="majorBidi"/>
      <w:b/>
      <w:bCs/>
      <w:sz w:val="24"/>
      <w:szCs w:val="28"/>
      <w:lang w:eastAsia="el-GR" w:bidi="el-G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lang w:val="de-DE" w:eastAsia="el-GR" w:bidi="el-G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z w:val="24"/>
      <w:szCs w:val="28"/>
      <w:lang w:val="de-DE"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Pr>
      <w:rFonts w:ascii="Times New Roman" w:eastAsiaTheme="majorEastAsia" w:hAnsi="Times New Roman" w:cs="Times New Roman"/>
      <w:b/>
      <w:bCs w:val="0"/>
      <w:sz w:val="32"/>
      <w:szCs w:val="28"/>
      <w:lang w:val="de-DE"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z w:val="24"/>
      <w:szCs w:val="28"/>
      <w:lang w:val="de-DE"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Pr>
      <w:rFonts w:ascii="Times New Roman" w:eastAsiaTheme="majorEastAsia" w:hAnsi="Times New Roman" w:cs="Times New Roman"/>
      <w:b/>
      <w:bCs w:val="0"/>
      <w:sz w:val="32"/>
      <w:szCs w:val="28"/>
      <w:lang w:val="de-DE" w:eastAsia="el-GR" w:bidi="el-GR"/>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Pr>
      <w:rFonts w:ascii="Times New Roman" w:eastAsiaTheme="majorEastAsia" w:hAnsi="Times New Roman" w:cs="Times New Roman"/>
      <w:b w:val="0"/>
      <w:bCs w:val="0"/>
      <w:sz w:val="28"/>
      <w:szCs w:val="28"/>
      <w:lang w:val="de-DE" w:eastAsia="el-GR" w:bidi="el-GR"/>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sz w:val="20"/>
      <w:szCs w:val="20"/>
      <w:lang w:val="de-DE"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uiPriority w:val="99"/>
    <w:unhideWhenUsed/>
    <w:qFormat/>
    <w:rPr>
      <w:vertAlign w:val="superscript"/>
    </w:rPr>
  </w:style>
  <w:style w:type="paragraph" w:styleId="ListParagraph">
    <w:name w:val="List Paragraph"/>
    <w:aliases w:val="1st level - Bullet List Paragraph,List Paragraph1,Lettre d'introduction,Paragrafo elenco,Medium Grid 1 - Accent 21,Fiche List Paragraph,List Paragraph compact,2,Mummuga loetelu"/>
    <w:basedOn w:val="Normal"/>
    <w:link w:val="ListParagraphChar"/>
    <w:uiPriority w:val="34"/>
    <w:qFormat/>
    <w:pPr>
      <w:ind w:left="720"/>
      <w:contextualSpacing/>
    </w:pPr>
    <w:rPr>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
    <w:link w:val="ListParagraph"/>
    <w:uiPriority w:val="34"/>
    <w:locked/>
    <w:rPr>
      <w:lang w:val="de-DE" w:eastAsia="el-GR" w:bidi="el-GR"/>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aliases w:val="caption"/>
    <w:basedOn w:val="Normal"/>
    <w:next w:val="Normal"/>
    <w:unhideWhenUsed/>
    <w:qFormat/>
    <w:rPr>
      <w:rFonts w:ascii="Calibri" w:eastAsia="Times New Roman" w:hAnsi="Calibri" w:cs="Times New Roman"/>
      <w:b/>
      <w:bCs/>
      <w:sz w:val="18"/>
      <w:szCs w:val="18"/>
      <w:lang w:eastAsia="en-GB"/>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66100">
      <w:bodyDiv w:val="1"/>
      <w:marLeft w:val="0"/>
      <w:marRight w:val="0"/>
      <w:marTop w:val="0"/>
      <w:marBottom w:val="0"/>
      <w:divBdr>
        <w:top w:val="none" w:sz="0" w:space="0" w:color="auto"/>
        <w:left w:val="none" w:sz="0" w:space="0" w:color="auto"/>
        <w:bottom w:val="none" w:sz="0" w:space="0" w:color="auto"/>
        <w:right w:val="none" w:sz="0" w:space="0" w:color="auto"/>
      </w:divBdr>
    </w:div>
    <w:div w:id="608665227">
      <w:bodyDiv w:val="1"/>
      <w:marLeft w:val="0"/>
      <w:marRight w:val="0"/>
      <w:marTop w:val="0"/>
      <w:marBottom w:val="0"/>
      <w:divBdr>
        <w:top w:val="none" w:sz="0" w:space="0" w:color="auto"/>
        <w:left w:val="none" w:sz="0" w:space="0" w:color="auto"/>
        <w:bottom w:val="none" w:sz="0" w:space="0" w:color="auto"/>
        <w:right w:val="none" w:sz="0" w:space="0" w:color="auto"/>
      </w:divBdr>
    </w:div>
    <w:div w:id="1012609934">
      <w:bodyDiv w:val="1"/>
      <w:marLeft w:val="0"/>
      <w:marRight w:val="0"/>
      <w:marTop w:val="0"/>
      <w:marBottom w:val="0"/>
      <w:divBdr>
        <w:top w:val="none" w:sz="0" w:space="0" w:color="auto"/>
        <w:left w:val="none" w:sz="0" w:space="0" w:color="auto"/>
        <w:bottom w:val="none" w:sz="0" w:space="0" w:color="auto"/>
        <w:right w:val="none" w:sz="0" w:space="0" w:color="auto"/>
      </w:divBdr>
    </w:div>
    <w:div w:id="1061758684">
      <w:bodyDiv w:val="1"/>
      <w:marLeft w:val="0"/>
      <w:marRight w:val="0"/>
      <w:marTop w:val="0"/>
      <w:marBottom w:val="0"/>
      <w:divBdr>
        <w:top w:val="none" w:sz="0" w:space="0" w:color="auto"/>
        <w:left w:val="none" w:sz="0" w:space="0" w:color="auto"/>
        <w:bottom w:val="none" w:sz="0" w:space="0" w:color="auto"/>
        <w:right w:val="none" w:sz="0" w:space="0" w:color="auto"/>
      </w:divBdr>
    </w:div>
    <w:div w:id="1203857457">
      <w:bodyDiv w:val="1"/>
      <w:marLeft w:val="0"/>
      <w:marRight w:val="0"/>
      <w:marTop w:val="0"/>
      <w:marBottom w:val="0"/>
      <w:divBdr>
        <w:top w:val="none" w:sz="0" w:space="0" w:color="auto"/>
        <w:left w:val="none" w:sz="0" w:space="0" w:color="auto"/>
        <w:bottom w:val="none" w:sz="0" w:space="0" w:color="auto"/>
        <w:right w:val="none" w:sz="0" w:space="0" w:color="auto"/>
      </w:divBdr>
    </w:div>
    <w:div w:id="19186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image" Target="media/image15.pn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eader" Target="header6.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D61C1-987B-4544-B01B-F2A60436B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29</Pages>
  <Words>6696</Words>
  <Characters>35089</Characters>
  <Application>Microsoft Office Word</Application>
  <DocSecurity>0</DocSecurity>
  <Lines>4386</Lines>
  <Paragraphs>3798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LUCIDI Federico (EMPL)</dc:creator>
  <cp:keywords/>
  <dc:description/>
  <cp:lastModifiedBy>HEILEMANN Stefanie (SG)</cp:lastModifiedBy>
  <cp:revision>59</cp:revision>
  <cp:lastPrinted>2019-12-11T10:17:00Z</cp:lastPrinted>
  <dcterms:created xsi:type="dcterms:W3CDTF">2019-11-22T16:37:00Z</dcterms:created>
  <dcterms:modified xsi:type="dcterms:W3CDTF">2019-12-17T11:24:00Z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6</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PTemplateID">
    <vt:lpwstr>CP-039</vt:lpwstr>
  </property>
  <property fmtid="{D5CDD505-2E9C-101B-9397-08002B2CF9AE}" pid="10" name="Last edited using">
    <vt:lpwstr>LW 7.0, Build 20190717</vt:lpwstr>
  </property>
  <property fmtid="{D5CDD505-2E9C-101B-9397-08002B2CF9AE}" pid="11" name="Created using">
    <vt:lpwstr>LW 7.0, Build 20190717</vt:lpwstr>
  </property>
</Properties>
</file>