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DD2" w:rsidRDefault="00BB345B">
      <w:pPr>
        <w:pStyle w:val="Pagedecouverture"/>
        <w:rPr>
          <w:noProof/>
        </w:rPr>
      </w:pPr>
      <w:bookmarkStart w:id="0" w:name="LW_BM_COVERPAGE"/>
      <w:bookmarkStart w:id="1" w:name="_Toc1057366"/>
      <w:bookmarkStart w:id="2" w:name="_Toc24637765"/>
      <w:bookmarkStart w:id="3" w:name="_Toc2470509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8387696-0600-44EA-9217-6E2A4BCECC48" style="width:450.25pt;height:407.3pt">
            <v:imagedata r:id="rId8" o:title=""/>
          </v:shape>
        </w:pict>
      </w:r>
    </w:p>
    <w:bookmarkEnd w:id="0"/>
    <w:p w:rsidR="000F7DD2" w:rsidRDefault="000F7DD2">
      <w:pPr>
        <w:rPr>
          <w:noProof/>
        </w:rPr>
        <w:sectPr w:rsidR="000F7DD2">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bookmarkEnd w:id="1"/>
    <w:bookmarkEnd w:id="2"/>
    <w:bookmarkEnd w:id="3"/>
    <w:p w:rsidR="000F7DD2" w:rsidRDefault="00BB345B">
      <w:pPr>
        <w:pStyle w:val="Heading1"/>
        <w:spacing w:line="240" w:lineRule="auto"/>
        <w:rPr>
          <w:noProof/>
        </w:rPr>
      </w:pPr>
      <w:r>
        <w:rPr>
          <w:noProof/>
        </w:rPr>
        <w:lastRenderedPageBreak/>
        <w:t>ANNEXES</w:t>
      </w:r>
    </w:p>
    <w:p w:rsidR="000F7DD2" w:rsidRDefault="00BB345B">
      <w:pPr>
        <w:rPr>
          <w:rFonts w:ascii="Times New Roman" w:hAnsi="Times New Roman" w:cs="Times New Roman"/>
          <w:b/>
          <w:noProof/>
          <w:sz w:val="24"/>
          <w:szCs w:val="24"/>
          <w:lang w:val="fr-BE"/>
        </w:rPr>
      </w:pPr>
      <w:r>
        <w:rPr>
          <w:rFonts w:ascii="Times New Roman" w:hAnsi="Times New Roman"/>
          <w:b/>
          <w:noProof/>
          <w:lang w:val="fr-BE"/>
        </w:rPr>
        <w:t>Annexe 1. Indicateurs clés du tableau de bord social, niveaux</w:t>
      </w:r>
    </w:p>
    <w:tbl>
      <w:tblPr>
        <w:tblW w:w="0" w:type="auto"/>
        <w:tblLook w:val="04A0" w:firstRow="1" w:lastRow="0" w:firstColumn="1" w:lastColumn="0" w:noHBand="0" w:noVBand="1"/>
      </w:tblPr>
      <w:tblGrid>
        <w:gridCol w:w="617"/>
        <w:gridCol w:w="581"/>
        <w:gridCol w:w="664"/>
        <w:gridCol w:w="581"/>
        <w:gridCol w:w="540"/>
        <w:gridCol w:w="540"/>
        <w:gridCol w:w="540"/>
        <w:gridCol w:w="537"/>
        <w:gridCol w:w="537"/>
        <w:gridCol w:w="537"/>
        <w:gridCol w:w="617"/>
        <w:gridCol w:w="617"/>
        <w:gridCol w:w="617"/>
        <w:gridCol w:w="561"/>
        <w:gridCol w:w="641"/>
        <w:gridCol w:w="561"/>
      </w:tblGrid>
      <w:tr w:rsidR="000F7DD2">
        <w:trPr>
          <w:trHeight w:val="34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w:t>
            </w:r>
          </w:p>
        </w:tc>
        <w:tc>
          <w:tcPr>
            <w:tcW w:w="0" w:type="auto"/>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Égalité des chances et accès au marché du travail</w:t>
            </w:r>
          </w:p>
        </w:tc>
      </w:tr>
      <w:tr w:rsidR="000F7DD2">
        <w:trPr>
          <w:trHeight w:val="15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F7DD2" w:rsidRDefault="000F7DD2">
            <w:pPr>
              <w:spacing w:after="0" w:line="240" w:lineRule="auto"/>
              <w:rPr>
                <w:rFonts w:ascii="Arial Narrow" w:eastAsia="Times New Roman" w:hAnsi="Arial Narrow" w:cs="Calibri"/>
                <w:b/>
                <w:bCs/>
                <w:noProof/>
                <w:color w:val="000000"/>
                <w:sz w:val="16"/>
                <w:szCs w:val="16"/>
                <w:lang w:val="fr-BE"/>
              </w:rPr>
            </w:pPr>
          </w:p>
        </w:tc>
        <w:tc>
          <w:tcPr>
            <w:tcW w:w="0" w:type="auto"/>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Jeunes ayant quitté prématurément le système d’éducation et de formation </w:t>
            </w:r>
            <w:r>
              <w:rPr>
                <w:rFonts w:ascii="Arial Narrow" w:hAnsi="Arial Narrow"/>
                <w:b/>
                <w:bCs/>
                <w:noProof/>
                <w:sz w:val="16"/>
                <w:szCs w:val="16"/>
                <w:lang w:val="fr-BE"/>
              </w:rPr>
              <w:br/>
              <w:t>(% de la population des 18-24 ans)</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Écart taux d’emploi hommes - femmes (pp)</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Rapport interquintile de revenu (S80/S20)</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Risque de pauvreté ou d’exclusion sociale (en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Jeunes NEET (% </w:t>
            </w:r>
            <w:r>
              <w:rPr>
                <w:rFonts w:ascii="Arial Narrow" w:hAnsi="Arial Narrow"/>
                <w:b/>
                <w:bCs/>
                <w:noProof/>
                <w:sz w:val="16"/>
                <w:szCs w:val="16"/>
                <w:lang w:val="fr-BE"/>
              </w:rPr>
              <w:t>de la population totale âgée de 15 à 24 ans)</w:t>
            </w:r>
          </w:p>
        </w:tc>
      </w:tr>
      <w:tr w:rsidR="000F7DD2">
        <w:trPr>
          <w:trHeight w:val="675"/>
        </w:trPr>
        <w:tc>
          <w:tcPr>
            <w:tcW w:w="0" w:type="auto"/>
            <w:tcBorders>
              <w:top w:val="single" w:sz="4" w:space="0" w:color="auto"/>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Année</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r>
      <w:tr w:rsidR="000F7DD2">
        <w:trPr>
          <w:trHeight w:val="227"/>
        </w:trPr>
        <w:tc>
          <w:tcPr>
            <w:tcW w:w="0" w:type="auto"/>
            <w:tcBorders>
              <w:top w:val="single" w:sz="4" w:space="0" w:color="auto"/>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UE28</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23,5</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22,4</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ZE19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UEnp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r>
      <w:tr w:rsidR="000F7DD2">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ZEnp</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23,2</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22,3</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21,7</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9,2</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40,4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xml:space="preserve"> 7,0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21,1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14,1</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 u</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19,2</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13,2</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17,7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16,7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8,7 b</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14,5</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 p</w:t>
            </w:r>
          </w:p>
        </w:tc>
      </w:tr>
      <w:tr w:rsidR="000F7DD2">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 b</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 p</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22,2</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22,0 b</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23,6 p</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r>
    </w:tbl>
    <w:p w:rsidR="000F7DD2" w:rsidRDefault="000F7DD2">
      <w:pPr>
        <w:spacing w:line="240" w:lineRule="auto"/>
        <w:jc w:val="both"/>
        <w:rPr>
          <w:rFonts w:ascii="Times New Roman" w:hAnsi="Times New Roman" w:cs="Times New Roman"/>
          <w:b/>
          <w:bCs/>
          <w:noProof/>
          <w:sz w:val="24"/>
          <w:szCs w:val="24"/>
          <w:highlight w:val="yellow"/>
        </w:rPr>
      </w:pPr>
    </w:p>
    <w:p w:rsidR="000F7DD2" w:rsidRDefault="00BB345B">
      <w:pPr>
        <w:spacing w:after="0" w:line="240" w:lineRule="auto"/>
        <w:rPr>
          <w:rFonts w:ascii="Times New Roman" w:hAnsi="Times New Roman" w:cs="Times New Roman"/>
          <w:noProof/>
          <w:sz w:val="20"/>
          <w:szCs w:val="20"/>
        </w:rPr>
      </w:pPr>
      <w:r>
        <w:rPr>
          <w:rFonts w:ascii="Times New Roman" w:hAnsi="Times New Roman"/>
          <w:noProof/>
          <w:sz w:val="20"/>
          <w:szCs w:val="20"/>
        </w:rPr>
        <w:t>Source: Eurostat.</w:t>
      </w:r>
    </w:p>
    <w:p w:rsidR="000F7DD2" w:rsidRDefault="00BB345B">
      <w:pPr>
        <w:spacing w:after="0" w:line="240" w:lineRule="auto"/>
        <w:rPr>
          <w:rFonts w:ascii="Times New Roman" w:hAnsi="Times New Roman" w:cs="Times New Roman"/>
          <w:noProof/>
          <w:sz w:val="20"/>
          <w:szCs w:val="20"/>
          <w:lang w:val="fr-BE"/>
        </w:rPr>
      </w:pPr>
      <w:r>
        <w:rPr>
          <w:rFonts w:ascii="Times New Roman" w:hAnsi="Times New Roman"/>
          <w:noProof/>
          <w:sz w:val="20"/>
          <w:szCs w:val="20"/>
          <w:lang w:val="fr-BE"/>
        </w:rPr>
        <w:t>Remarque: UEnp et ZEnp renvoient aux moyennes non pondérées pour l’UE et la zone euro.</w:t>
      </w:r>
    </w:p>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Indications – b: </w:t>
      </w:r>
      <w:r>
        <w:rPr>
          <w:rFonts w:ascii="Times New Roman" w:hAnsi="Times New Roman"/>
          <w:noProof/>
          <w:sz w:val="20"/>
          <w:szCs w:val="20"/>
          <w:lang w:val="fr-BE"/>
        </w:rPr>
        <w:t>rupture des séries chronologiques; e: estimation; p: provisoire; u: fiabilité incertaine (petit nombre d’observations).</w:t>
      </w:r>
    </w:p>
    <w:p w:rsidR="000F7DD2" w:rsidRDefault="000F7DD2">
      <w:pPr>
        <w:spacing w:line="240" w:lineRule="auto"/>
        <w:jc w:val="both"/>
        <w:rPr>
          <w:rFonts w:ascii="Times New Roman" w:hAnsi="Times New Roman" w:cs="Times New Roman"/>
          <w:b/>
          <w:bCs/>
          <w:noProof/>
          <w:sz w:val="24"/>
          <w:szCs w:val="24"/>
          <w:highlight w:val="yellow"/>
          <w:lang w:val="fr-BE"/>
        </w:rPr>
      </w:pPr>
    </w:p>
    <w:p w:rsidR="000F7DD2" w:rsidRDefault="00BB345B">
      <w:pPr>
        <w:spacing w:line="240" w:lineRule="auto"/>
        <w:rPr>
          <w:rFonts w:ascii="Times New Roman" w:hAnsi="Times New Roman" w:cs="Times New Roman"/>
          <w:b/>
          <w:noProof/>
          <w:sz w:val="24"/>
          <w:szCs w:val="24"/>
          <w:lang w:val="fr-BE"/>
        </w:rPr>
      </w:pPr>
      <w:r>
        <w:rPr>
          <w:noProof/>
          <w:lang w:val="fr-BE"/>
        </w:rPr>
        <w:br w:type="page"/>
      </w:r>
    </w:p>
    <w:p w:rsidR="000F7DD2" w:rsidRDefault="00BB345B">
      <w:pPr>
        <w:rPr>
          <w:rFonts w:ascii="Times New Roman" w:hAnsi="Times New Roman" w:cs="Times New Roman"/>
          <w:b/>
          <w:noProof/>
          <w:sz w:val="24"/>
          <w:szCs w:val="24"/>
          <w:lang w:val="fr-BE"/>
        </w:rPr>
      </w:pPr>
      <w:r>
        <w:rPr>
          <w:rFonts w:ascii="Times New Roman" w:hAnsi="Times New Roman"/>
          <w:b/>
          <w:noProof/>
          <w:lang w:val="fr-BE"/>
        </w:rPr>
        <w:lastRenderedPageBreak/>
        <w:t>Annexe 1 (suite). Indicateurs clés du tableau de bord social, niveaux</w:t>
      </w:r>
    </w:p>
    <w:tbl>
      <w:tblPr>
        <w:tblW w:w="0" w:type="auto"/>
        <w:tblInd w:w="113" w:type="dxa"/>
        <w:tblLook w:val="04A0" w:firstRow="1" w:lastRow="0" w:firstColumn="1" w:lastColumn="0" w:noHBand="0" w:noVBand="1"/>
      </w:tblPr>
      <w:tblGrid>
        <w:gridCol w:w="617"/>
        <w:gridCol w:w="581"/>
        <w:gridCol w:w="581"/>
        <w:gridCol w:w="581"/>
        <w:gridCol w:w="538"/>
        <w:gridCol w:w="539"/>
        <w:gridCol w:w="539"/>
        <w:gridCol w:w="539"/>
        <w:gridCol w:w="539"/>
        <w:gridCol w:w="539"/>
        <w:gridCol w:w="546"/>
        <w:gridCol w:w="546"/>
        <w:gridCol w:w="546"/>
        <w:gridCol w:w="648"/>
        <w:gridCol w:w="648"/>
        <w:gridCol w:w="648"/>
      </w:tblGrid>
      <w:tr w:rsidR="000F7DD2">
        <w:trPr>
          <w:trHeight w:val="39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w:t>
            </w:r>
          </w:p>
        </w:tc>
        <w:tc>
          <w:tcPr>
            <w:tcW w:w="0" w:type="auto"/>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Marchés du travail dynamiques et conditions de travail </w:t>
            </w:r>
            <w:r>
              <w:rPr>
                <w:rFonts w:ascii="Arial Narrow" w:hAnsi="Arial Narrow"/>
                <w:b/>
                <w:bCs/>
                <w:noProof/>
                <w:sz w:val="16"/>
                <w:szCs w:val="16"/>
                <w:lang w:val="fr-BE"/>
              </w:rPr>
              <w:t>équitables</w:t>
            </w:r>
          </w:p>
        </w:tc>
      </w:tr>
      <w:tr w:rsidR="000F7DD2">
        <w:trPr>
          <w:trHeight w:val="147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F7DD2" w:rsidRDefault="000F7DD2">
            <w:pPr>
              <w:spacing w:after="0" w:line="240" w:lineRule="auto"/>
              <w:rPr>
                <w:rFonts w:ascii="Arial Narrow" w:eastAsia="Times New Roman" w:hAnsi="Arial Narrow" w:cs="Calibri"/>
                <w:b/>
                <w:bCs/>
                <w:noProof/>
                <w:color w:val="000000"/>
                <w:sz w:val="16"/>
                <w:szCs w:val="16"/>
                <w:lang w:val="fr-BE"/>
              </w:rPr>
            </w:pPr>
          </w:p>
        </w:tc>
        <w:tc>
          <w:tcPr>
            <w:tcW w:w="0" w:type="auto"/>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Taux d’emploi </w:t>
            </w:r>
            <w:r>
              <w:rPr>
                <w:rFonts w:ascii="Arial Narrow" w:hAnsi="Arial Narrow"/>
                <w:b/>
                <w:bCs/>
                <w:noProof/>
                <w:sz w:val="16"/>
                <w:szCs w:val="16"/>
                <w:lang w:val="fr-BE"/>
              </w:rPr>
              <w:br/>
              <w:t xml:space="preserve">(% de la population des </w:t>
            </w:r>
          </w:p>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20-64 ans)</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Taux de chômage </w:t>
            </w:r>
            <w:r>
              <w:rPr>
                <w:rFonts w:ascii="Arial Narrow" w:hAnsi="Arial Narrow"/>
                <w:b/>
                <w:bCs/>
                <w:noProof/>
                <w:sz w:val="16"/>
                <w:szCs w:val="16"/>
                <w:lang w:val="fr-BE"/>
              </w:rPr>
              <w:br/>
              <w:t xml:space="preserve">(en % de la population active des 15-74 ans)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Taux de chômage de longue durée </w:t>
            </w:r>
          </w:p>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(en % de la population active des 15-74 ans)</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RDBM réel par habitant </w:t>
            </w:r>
            <w:r>
              <w:rPr>
                <w:rFonts w:ascii="Arial Narrow" w:hAnsi="Arial Narrow"/>
                <w:b/>
                <w:bCs/>
                <w:noProof/>
                <w:sz w:val="16"/>
                <w:szCs w:val="16"/>
              </w:rPr>
              <w:br/>
              <w:t>(2008 = 100)</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Rémunération nette  </w:t>
            </w:r>
            <w:r>
              <w:rPr>
                <w:rFonts w:ascii="Arial Narrow" w:hAnsi="Arial Narrow"/>
                <w:b/>
                <w:bCs/>
                <w:noProof/>
                <w:sz w:val="16"/>
                <w:szCs w:val="16"/>
                <w:lang w:val="fr-BE"/>
              </w:rPr>
              <w:br/>
              <w:t>d’un travailleur à plein temps célibataire percevant le salaire moyen (SPA)</w:t>
            </w:r>
          </w:p>
        </w:tc>
      </w:tr>
      <w:tr w:rsidR="000F7DD2">
        <w:trPr>
          <w:trHeight w:val="675"/>
        </w:trPr>
        <w:tc>
          <w:tcPr>
            <w:tcW w:w="0" w:type="auto"/>
            <w:tcBorders>
              <w:top w:val="single" w:sz="4" w:space="0" w:color="auto"/>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Année</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nil"/>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nil"/>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nil"/>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2015</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r>
      <w:tr w:rsidR="000F7DD2">
        <w:trPr>
          <w:trHeight w:val="227"/>
        </w:trPr>
        <w:tc>
          <w:tcPr>
            <w:tcW w:w="0" w:type="auto"/>
            <w:tcBorders>
              <w:top w:val="single" w:sz="4" w:space="0" w:color="auto"/>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UE28</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71,1</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72,2</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73,2</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0" w:type="auto"/>
            <w:tcBorders>
              <w:top w:val="single" w:sz="4" w:space="0" w:color="auto"/>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101,0</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102,9</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ZE19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UEnp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20265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20600</w:t>
            </w:r>
          </w:p>
        </w:tc>
      </w:tr>
      <w:tr w:rsidR="000F7DD2">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ZEnp</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70,6</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72,0</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73,4</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0" w:type="auto"/>
            <w:tcBorders>
              <w:top w:val="nil"/>
              <w:left w:val="single" w:sz="4" w:space="0" w:color="auto"/>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96,7</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99,4</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101,5</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21267</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21628</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21947</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68,5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25086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25339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25593</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127,8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9348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9883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10388</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14185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14635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15282</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77,4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76,9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26497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26864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27055</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27203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27549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27870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14500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15234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16160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29744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30940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32061</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18848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18745</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23063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23270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23140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24594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24784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25009</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13118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13577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13796</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21287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21547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21730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10696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11269</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118,7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11797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12528</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32538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33149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33492</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12224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12924</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21197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21503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21747</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28329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28514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28493</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26949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27722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28284</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13770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14193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14638</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16039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15971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15985</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9671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10570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10816</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15080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15207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15391</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12465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12663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12950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24459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24564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24594</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82,6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 p</w:t>
            </w:r>
          </w:p>
        </w:tc>
        <w:tc>
          <w:tcPr>
            <w:tcW w:w="0" w:type="auto"/>
            <w:tcBorders>
              <w:top w:val="nil"/>
              <w:left w:val="single" w:sz="4" w:space="0" w:color="auto"/>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26050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26045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26189</w:t>
            </w:r>
          </w:p>
        </w:tc>
      </w:tr>
      <w:tr w:rsidR="000F7DD2">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77,5</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78,2</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78,7</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0" w:type="auto"/>
            <w:tcBorders>
              <w:top w:val="nil"/>
              <w:left w:val="single" w:sz="4" w:space="0" w:color="auto"/>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106,8</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106,3</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107,0</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29265</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29874</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30065</w:t>
            </w:r>
          </w:p>
        </w:tc>
      </w:tr>
    </w:tbl>
    <w:p w:rsidR="000F7DD2" w:rsidRDefault="000F7DD2">
      <w:pPr>
        <w:rPr>
          <w:rFonts w:ascii="Times New Roman" w:hAnsi="Times New Roman" w:cs="Times New Roman"/>
          <w:b/>
          <w:noProof/>
          <w:sz w:val="24"/>
          <w:szCs w:val="24"/>
        </w:rPr>
      </w:pPr>
    </w:p>
    <w:p w:rsidR="000F7DD2" w:rsidRDefault="00BB345B">
      <w:pPr>
        <w:spacing w:after="0" w:line="240" w:lineRule="auto"/>
        <w:rPr>
          <w:rFonts w:ascii="Times New Roman" w:hAnsi="Times New Roman" w:cs="Times New Roman"/>
          <w:noProof/>
          <w:sz w:val="20"/>
          <w:szCs w:val="20"/>
        </w:rPr>
      </w:pPr>
      <w:r>
        <w:rPr>
          <w:rFonts w:ascii="Times New Roman" w:hAnsi="Times New Roman"/>
          <w:noProof/>
          <w:sz w:val="20"/>
          <w:szCs w:val="20"/>
        </w:rPr>
        <w:t>Source: Eurostat, OCDE.</w:t>
      </w:r>
    </w:p>
    <w:p w:rsidR="000F7DD2" w:rsidRDefault="00BB345B">
      <w:pPr>
        <w:pStyle w:val="FootnoteText"/>
        <w:jc w:val="both"/>
        <w:rPr>
          <w:rStyle w:val="FootnoteReference"/>
          <w:rFonts w:ascii="Times New Roman" w:hAnsi="Times New Roman" w:cs="Times New Roman"/>
          <w:noProof/>
        </w:rPr>
      </w:pPr>
      <w:r>
        <w:rPr>
          <w:rFonts w:ascii="Times New Roman" w:hAnsi="Times New Roman"/>
          <w:noProof/>
        </w:rPr>
        <w:t>Remarque: UEnp et ZEnp renvoient aux moyennes non pondérées pour l’UE et la zone euro. Le RDBM réel par habitant est mesuré à l’aide du «revenu brut» (c’est-à-dire sans les transferts sociaux en nature) et sans correction compte tenu des standards de pouvo</w:t>
      </w:r>
      <w:r>
        <w:rPr>
          <w:rFonts w:ascii="Times New Roman" w:hAnsi="Times New Roman"/>
          <w:noProof/>
        </w:rPr>
        <w:t xml:space="preserve">ir d’achat. La rémunération nette d’un travailleur à plein temps célibataire percevant le salaire moyen </w:t>
      </w:r>
      <w:r>
        <w:rPr>
          <w:rStyle w:val="FootnoteReference"/>
          <w:rFonts w:ascii="Times New Roman" w:hAnsi="Times New Roman"/>
          <w:noProof/>
          <w:vertAlign w:val="baseline"/>
        </w:rPr>
        <w:t>doit être lue et interprétée en combinaison avec d’autres indicateurs, tels que le taux de risque de pauvreté des travailleurs, le rapport entre les 5</w:t>
      </w:r>
      <w:r>
        <w:rPr>
          <w:rStyle w:val="FootnoteReference"/>
          <w:rFonts w:ascii="Times New Roman" w:hAnsi="Times New Roman"/>
          <w:noProof/>
        </w:rPr>
        <w:t>e</w:t>
      </w:r>
      <w:r>
        <w:rPr>
          <w:rStyle w:val="FootnoteReference"/>
          <w:rFonts w:ascii="Times New Roman" w:hAnsi="Times New Roman"/>
          <w:noProof/>
          <w:vertAlign w:val="baseline"/>
        </w:rPr>
        <w:t xml:space="preserve"> </w:t>
      </w:r>
      <w:r>
        <w:rPr>
          <w:rStyle w:val="FootnoteReference"/>
          <w:rFonts w:ascii="Times New Roman" w:hAnsi="Times New Roman"/>
          <w:noProof/>
          <w:vertAlign w:val="baseline"/>
        </w:rPr>
        <w:t>et 1</w:t>
      </w:r>
      <w:r>
        <w:rPr>
          <w:rStyle w:val="FootnoteReference"/>
          <w:rFonts w:ascii="Times New Roman" w:hAnsi="Times New Roman"/>
          <w:noProof/>
        </w:rPr>
        <w:t>er</w:t>
      </w:r>
      <w:r>
        <w:rPr>
          <w:rStyle w:val="FootnoteReference"/>
          <w:rFonts w:ascii="Times New Roman" w:hAnsi="Times New Roman"/>
          <w:noProof/>
          <w:vertAlign w:val="baseline"/>
        </w:rPr>
        <w:t xml:space="preserve"> déciles de la distribution des salaires (D5/D1) et d’autres indicateurs pertinents des mécanismes EPM/SPPM et JAF.</w:t>
      </w:r>
      <w:r>
        <w:rPr>
          <w:rFonts w:ascii="Times New Roman" w:hAnsi="Times New Roman"/>
          <w:noProof/>
        </w:rPr>
        <w:t xml:space="preserve"> Pour cet indicateur, les moyennes sur trois ans sont employées pour lisser les fluctuations à court terme.</w:t>
      </w:r>
    </w:p>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Indications – b: rupture </w:t>
      </w:r>
      <w:r>
        <w:rPr>
          <w:rFonts w:ascii="Times New Roman" w:hAnsi="Times New Roman"/>
          <w:noProof/>
          <w:sz w:val="20"/>
          <w:szCs w:val="20"/>
          <w:lang w:val="fr-BE"/>
        </w:rPr>
        <w:t>des séries chronologiques; e: estimation; p: provisoire; u: fiabilité incertaine (petit nombre d’observations).</w:t>
      </w:r>
    </w:p>
    <w:p w:rsidR="000F7DD2" w:rsidRDefault="00BB345B">
      <w:pPr>
        <w:rPr>
          <w:noProof/>
          <w:lang w:val="fr-BE"/>
        </w:rPr>
      </w:pPr>
      <w:r>
        <w:rPr>
          <w:noProof/>
          <w:lang w:val="fr-BE"/>
        </w:rPr>
        <w:br w:type="page"/>
      </w:r>
    </w:p>
    <w:p w:rsidR="000F7DD2" w:rsidRDefault="00BB345B">
      <w:pPr>
        <w:rPr>
          <w:rFonts w:ascii="Times New Roman" w:hAnsi="Times New Roman" w:cs="Times New Roman"/>
          <w:b/>
          <w:noProof/>
          <w:sz w:val="24"/>
          <w:szCs w:val="24"/>
          <w:lang w:val="fr-BE"/>
        </w:rPr>
      </w:pPr>
      <w:r>
        <w:rPr>
          <w:rFonts w:ascii="Times New Roman" w:hAnsi="Times New Roman"/>
          <w:b/>
          <w:noProof/>
          <w:lang w:val="fr-BE"/>
        </w:rPr>
        <w:lastRenderedPageBreak/>
        <w:t>Annexe 1 (suite). Indicateurs clés du tableau de bord social, niveaux</w:t>
      </w:r>
    </w:p>
    <w:tbl>
      <w:tblPr>
        <w:tblW w:w="0" w:type="auto"/>
        <w:tblInd w:w="113" w:type="dxa"/>
        <w:tblLook w:val="04A0" w:firstRow="1" w:lastRow="0" w:firstColumn="1" w:lastColumn="0" w:noHBand="0" w:noVBand="1"/>
      </w:tblPr>
      <w:tblGrid>
        <w:gridCol w:w="617"/>
        <w:gridCol w:w="765"/>
        <w:gridCol w:w="765"/>
        <w:gridCol w:w="765"/>
        <w:gridCol w:w="623"/>
        <w:gridCol w:w="712"/>
        <w:gridCol w:w="712"/>
        <w:gridCol w:w="638"/>
        <w:gridCol w:w="637"/>
        <w:gridCol w:w="637"/>
        <w:gridCol w:w="768"/>
        <w:gridCol w:w="768"/>
        <w:gridCol w:w="768"/>
      </w:tblGrid>
      <w:tr w:rsidR="000F7DD2">
        <w:trPr>
          <w:trHeight w:val="34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w:t>
            </w:r>
          </w:p>
        </w:tc>
        <w:tc>
          <w:tcPr>
            <w:tcW w:w="0" w:type="auto"/>
            <w:gridSpan w:val="12"/>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Soutien des pouvoirs publics/Protection et inclusion sociales</w:t>
            </w:r>
          </w:p>
        </w:tc>
      </w:tr>
      <w:tr w:rsidR="000F7DD2">
        <w:trPr>
          <w:trHeight w:val="1671"/>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F7DD2" w:rsidRDefault="000F7DD2">
            <w:pPr>
              <w:spacing w:after="0" w:line="240" w:lineRule="auto"/>
              <w:rPr>
                <w:rFonts w:ascii="Arial Narrow" w:eastAsia="Times New Roman" w:hAnsi="Arial Narrow" w:cs="Calibri"/>
                <w:b/>
                <w:bCs/>
                <w:noProof/>
                <w:color w:val="000000"/>
                <w:sz w:val="16"/>
                <w:szCs w:val="16"/>
                <w:lang w:val="fr-BE"/>
              </w:rPr>
            </w:pPr>
          </w:p>
        </w:tc>
        <w:tc>
          <w:tcPr>
            <w:tcW w:w="0" w:type="auto"/>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Incide</w:t>
            </w:r>
            <w:r>
              <w:rPr>
                <w:rFonts w:ascii="Arial Narrow" w:hAnsi="Arial Narrow"/>
                <w:b/>
                <w:bCs/>
                <w:noProof/>
                <w:sz w:val="16"/>
                <w:szCs w:val="16"/>
                <w:lang w:val="fr-BE"/>
              </w:rPr>
              <w:t>nce des transferts sociaux (autres que les pensions) sur la réduction de la pauvreté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Enfants de moins de 3 ans dans des structures d’accueil formelles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Besoins en soins médicaux non satisfaits déclarés par l’intéressé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Personnes ayant des </w:t>
            </w:r>
            <w:r>
              <w:rPr>
                <w:rFonts w:ascii="Arial Narrow" w:hAnsi="Arial Narrow"/>
                <w:b/>
                <w:bCs/>
                <w:noProof/>
                <w:sz w:val="16"/>
                <w:szCs w:val="16"/>
                <w:lang w:val="fr-BE"/>
              </w:rPr>
              <w:t>compétences numériques générales de base ou plus (en % de la population âgée de 16 à 74 ans)</w:t>
            </w:r>
          </w:p>
        </w:tc>
      </w:tr>
      <w:tr w:rsidR="000F7DD2">
        <w:trPr>
          <w:trHeight w:val="675"/>
        </w:trPr>
        <w:tc>
          <w:tcPr>
            <w:tcW w:w="0" w:type="auto"/>
            <w:tcBorders>
              <w:top w:val="single" w:sz="4" w:space="0" w:color="auto"/>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Année</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nil"/>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nil"/>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0" w:type="auto"/>
            <w:tcBorders>
              <w:top w:val="nil"/>
              <w:left w:val="nil"/>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2015</w:t>
            </w:r>
          </w:p>
        </w:tc>
        <w:tc>
          <w:tcPr>
            <w:tcW w:w="0" w:type="auto"/>
            <w:tcBorders>
              <w:top w:val="nil"/>
              <w:left w:val="single" w:sz="4" w:space="0" w:color="auto"/>
              <w:bottom w:val="single" w:sz="4" w:space="0" w:color="auto"/>
              <w:right w:val="nil"/>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r>
      <w:tr w:rsidR="000F7DD2">
        <w:trPr>
          <w:trHeight w:val="227"/>
        </w:trPr>
        <w:tc>
          <w:tcPr>
            <w:tcW w:w="0" w:type="auto"/>
            <w:tcBorders>
              <w:top w:val="single" w:sz="4" w:space="0" w:color="auto"/>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UE28</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33,2</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34,0</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33,2</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32,9</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34,2</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35,1</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56,0</w:t>
            </w:r>
          </w:p>
        </w:tc>
        <w:tc>
          <w:tcPr>
            <w:tcW w:w="0" w:type="auto"/>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ZE19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UEnp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57,4</w:t>
            </w:r>
          </w:p>
        </w:tc>
      </w:tr>
      <w:tr w:rsidR="000F7DD2">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ZEnp</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34,1</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33,6</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33,3</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32,3</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35,3</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36,9</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56,7</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57,1</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59,7</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0" w:type="auto"/>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17,9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51,8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37,7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 p</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39,1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42,5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 b</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 b</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44,8</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56,9</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33,3</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37,2</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76,0</w:t>
            </w:r>
          </w:p>
        </w:tc>
      </w:tr>
      <w:tr w:rsidR="000F7DD2">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45,8</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46,1</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43,3</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52,7</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49,4</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72,0</w:t>
            </w:r>
          </w:p>
        </w:tc>
        <w:tc>
          <w:tcPr>
            <w:tcW w:w="0" w:type="auto"/>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69,0</w:t>
            </w:r>
          </w:p>
        </w:tc>
        <w:tc>
          <w:tcPr>
            <w:tcW w:w="0" w:type="auto"/>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77,0</w:t>
            </w:r>
          </w:p>
        </w:tc>
      </w:tr>
      <w:tr w:rsidR="000F7DD2">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43,4</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41,8 b</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35,9 p</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33,2 b</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38,7 p</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 b</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 p</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67,0</w:t>
            </w:r>
          </w:p>
        </w:tc>
        <w:tc>
          <w:tcPr>
            <w:tcW w:w="0" w:type="auto"/>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69,0</w:t>
            </w:r>
          </w:p>
        </w:tc>
        <w:tc>
          <w:tcPr>
            <w:tcW w:w="0" w:type="auto"/>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71,0</w:t>
            </w:r>
          </w:p>
        </w:tc>
      </w:tr>
    </w:tbl>
    <w:p w:rsidR="000F7DD2" w:rsidRDefault="000F7DD2">
      <w:pPr>
        <w:jc w:val="both"/>
        <w:rPr>
          <w:rFonts w:ascii="Times New Roman" w:hAnsi="Times New Roman" w:cs="Times New Roman"/>
          <w:noProof/>
          <w:sz w:val="20"/>
          <w:szCs w:val="20"/>
        </w:rPr>
      </w:pPr>
    </w:p>
    <w:p w:rsidR="000F7DD2" w:rsidRDefault="00BB345B">
      <w:pPr>
        <w:spacing w:after="0" w:line="240" w:lineRule="auto"/>
        <w:rPr>
          <w:rFonts w:ascii="Times New Roman" w:hAnsi="Times New Roman" w:cs="Times New Roman"/>
          <w:noProof/>
          <w:sz w:val="20"/>
          <w:szCs w:val="20"/>
        </w:rPr>
      </w:pPr>
      <w:r>
        <w:rPr>
          <w:rFonts w:ascii="Times New Roman" w:hAnsi="Times New Roman"/>
          <w:noProof/>
          <w:sz w:val="20"/>
          <w:szCs w:val="20"/>
        </w:rPr>
        <w:t>Source: Eurostat.</w:t>
      </w:r>
    </w:p>
    <w:p w:rsidR="000F7DD2" w:rsidRDefault="00BB345B">
      <w:pPr>
        <w:spacing w:after="0" w:line="240" w:lineRule="auto"/>
        <w:rPr>
          <w:rFonts w:ascii="Times New Roman" w:hAnsi="Times New Roman" w:cs="Times New Roman"/>
          <w:noProof/>
          <w:sz w:val="20"/>
          <w:szCs w:val="20"/>
          <w:lang w:val="fr-BE"/>
        </w:rPr>
      </w:pPr>
      <w:r>
        <w:rPr>
          <w:rFonts w:ascii="Times New Roman" w:hAnsi="Times New Roman"/>
          <w:noProof/>
          <w:sz w:val="20"/>
          <w:szCs w:val="20"/>
          <w:lang w:val="fr-BE"/>
        </w:rPr>
        <w:t>Remarque: UEnp et ZEnp renvoient aux moyennes non pondérées pour l’UE et la zone euro.</w:t>
      </w:r>
    </w:p>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Indications – b: rupture des séries </w:t>
      </w:r>
      <w:r>
        <w:rPr>
          <w:rFonts w:ascii="Times New Roman" w:hAnsi="Times New Roman"/>
          <w:noProof/>
          <w:sz w:val="20"/>
          <w:szCs w:val="20"/>
          <w:lang w:val="fr-BE"/>
        </w:rPr>
        <w:t>chronologiques; e: estimation; p: provisoire; u: fiabilité incertaine (petit nombre d’observations).</w:t>
      </w:r>
    </w:p>
    <w:p w:rsidR="000F7DD2" w:rsidRDefault="00BB345B">
      <w:pPr>
        <w:rPr>
          <w:rFonts w:ascii="Times New Roman" w:hAnsi="Times New Roman" w:cs="Times New Roman"/>
          <w:b/>
          <w:noProof/>
          <w:sz w:val="24"/>
          <w:szCs w:val="24"/>
          <w:lang w:val="fr-BE"/>
        </w:rPr>
      </w:pPr>
      <w:r>
        <w:rPr>
          <w:noProof/>
          <w:lang w:val="fr-BE"/>
        </w:rPr>
        <w:br w:type="page"/>
      </w:r>
    </w:p>
    <w:p w:rsidR="000F7DD2" w:rsidRDefault="00BB345B">
      <w:pPr>
        <w:rPr>
          <w:rFonts w:ascii="Times New Roman" w:hAnsi="Times New Roman" w:cs="Times New Roman"/>
          <w:b/>
          <w:noProof/>
          <w:sz w:val="24"/>
          <w:szCs w:val="24"/>
          <w:lang w:val="fr-BE"/>
        </w:rPr>
      </w:pPr>
      <w:r>
        <w:rPr>
          <w:rFonts w:ascii="Times New Roman" w:hAnsi="Times New Roman"/>
          <w:b/>
          <w:noProof/>
          <w:lang w:val="fr-BE"/>
        </w:rPr>
        <w:lastRenderedPageBreak/>
        <w:t>Annexe 2. Indicateurs clés du tableau de bord social, variations et écart par rapport à l’UE</w:t>
      </w:r>
    </w:p>
    <w:tbl>
      <w:tblPr>
        <w:tblW w:w="9356" w:type="dxa"/>
        <w:tblLayout w:type="fixed"/>
        <w:tblCellMar>
          <w:left w:w="0" w:type="dxa"/>
          <w:right w:w="0" w:type="dxa"/>
        </w:tblCellMar>
        <w:tblLook w:val="04A0" w:firstRow="1" w:lastRow="0" w:firstColumn="1" w:lastColumn="0" w:noHBand="0" w:noVBand="1"/>
      </w:tblPr>
      <w:tblGrid>
        <w:gridCol w:w="567"/>
        <w:gridCol w:w="585"/>
        <w:gridCol w:w="691"/>
        <w:gridCol w:w="481"/>
        <w:gridCol w:w="586"/>
        <w:gridCol w:w="586"/>
        <w:gridCol w:w="586"/>
        <w:gridCol w:w="586"/>
        <w:gridCol w:w="586"/>
        <w:gridCol w:w="586"/>
        <w:gridCol w:w="586"/>
        <w:gridCol w:w="586"/>
        <w:gridCol w:w="586"/>
        <w:gridCol w:w="586"/>
        <w:gridCol w:w="586"/>
        <w:gridCol w:w="586"/>
      </w:tblGrid>
      <w:tr w:rsidR="000F7DD2">
        <w:trPr>
          <w:trHeight w:val="312"/>
        </w:trPr>
        <w:tc>
          <w:tcPr>
            <w:tcW w:w="567" w:type="dxa"/>
            <w:vMerge w:val="restart"/>
            <w:tcBorders>
              <w:top w:val="single" w:sz="4" w:space="0" w:color="auto"/>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noProof/>
                <w:color w:val="000000"/>
                <w:sz w:val="16"/>
                <w:szCs w:val="16"/>
                <w:lang w:val="fr-BE"/>
              </w:rPr>
            </w:pPr>
            <w:r>
              <w:rPr>
                <w:rFonts w:ascii="Arial Narrow" w:hAnsi="Arial Narrow"/>
                <w:noProof/>
                <w:sz w:val="16"/>
                <w:szCs w:val="16"/>
                <w:lang w:val="fr-BE"/>
              </w:rPr>
              <w:t> </w:t>
            </w:r>
          </w:p>
        </w:tc>
        <w:tc>
          <w:tcPr>
            <w:tcW w:w="8789"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Égalité des chances et accès au marché du travail</w:t>
            </w:r>
          </w:p>
        </w:tc>
      </w:tr>
      <w:tr w:rsidR="000F7DD2">
        <w:trPr>
          <w:trHeight w:val="848"/>
        </w:trPr>
        <w:tc>
          <w:tcPr>
            <w:tcW w:w="567" w:type="dxa"/>
            <w:vMerge/>
            <w:tcBorders>
              <w:top w:val="single" w:sz="4" w:space="0" w:color="auto"/>
              <w:left w:val="single" w:sz="4" w:space="0" w:color="auto"/>
              <w:bottom w:val="nil"/>
              <w:right w:val="single" w:sz="4" w:space="0" w:color="auto"/>
            </w:tcBorders>
            <w:vAlign w:val="center"/>
            <w:hideMark/>
          </w:tcPr>
          <w:p w:rsidR="000F7DD2" w:rsidRDefault="000F7DD2">
            <w:pPr>
              <w:spacing w:after="0" w:line="240" w:lineRule="auto"/>
              <w:rPr>
                <w:rFonts w:ascii="Arial Narrow" w:eastAsia="Times New Roman" w:hAnsi="Arial Narrow" w:cs="Calibri"/>
                <w:noProof/>
                <w:color w:val="000000"/>
                <w:sz w:val="16"/>
                <w:szCs w:val="16"/>
                <w:lang w:val="fr-BE"/>
              </w:rPr>
            </w:pPr>
          </w:p>
        </w:tc>
        <w:tc>
          <w:tcPr>
            <w:tcW w:w="1757"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Jeunes</w:t>
            </w:r>
            <w:r>
              <w:rPr>
                <w:rFonts w:ascii="Arial Narrow" w:hAnsi="Arial Narrow"/>
                <w:b/>
                <w:bCs/>
                <w:noProof/>
                <w:sz w:val="16"/>
                <w:szCs w:val="16"/>
                <w:lang w:val="fr-BE"/>
              </w:rPr>
              <w:t xml:space="preserve"> ayant quitté prématurément le système d’éducation et de formation </w:t>
            </w:r>
            <w:r>
              <w:rPr>
                <w:rFonts w:ascii="Arial Narrow" w:hAnsi="Arial Narrow"/>
                <w:b/>
                <w:bCs/>
                <w:noProof/>
                <w:sz w:val="16"/>
                <w:szCs w:val="16"/>
                <w:lang w:val="fr-BE"/>
              </w:rPr>
              <w:br/>
              <w:t>(% de la population des 18-24 ans)</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Écart de taux d’emploi entre les hommes et les femmes</w:t>
            </w:r>
            <w:r>
              <w:rPr>
                <w:rFonts w:ascii="Arial Narrow" w:hAnsi="Arial Narrow"/>
                <w:b/>
                <w:bCs/>
                <w:noProof/>
                <w:sz w:val="16"/>
                <w:szCs w:val="16"/>
                <w:lang w:val="fr-BE"/>
              </w:rPr>
              <w:br/>
              <w:t>(SPA)</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Rapport interquintile de revenu (S80/S20)</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Risque de pauvreté ou d’exclusion sociale (en %)</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Jeunes NEET (% de la population totale âgée de 15 à 24 ans)</w:t>
            </w:r>
          </w:p>
        </w:tc>
      </w:tr>
      <w:tr w:rsidR="000F7DD2">
        <w:trPr>
          <w:trHeight w:val="312"/>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Année</w:t>
            </w:r>
          </w:p>
        </w:tc>
        <w:tc>
          <w:tcPr>
            <w:tcW w:w="1757"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r>
      <w:tr w:rsidR="000F7DD2">
        <w:trPr>
          <w:trHeight w:val="1320"/>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noProof/>
                <w:color w:val="000000"/>
                <w:sz w:val="16"/>
                <w:szCs w:val="16"/>
              </w:rPr>
            </w:pPr>
            <w:r>
              <w:rPr>
                <w:rFonts w:ascii="Arial Narrow" w:hAnsi="Arial Narrow"/>
                <w:noProof/>
                <w:sz w:val="16"/>
                <w:szCs w:val="16"/>
              </w:rPr>
              <w:t> </w:t>
            </w:r>
          </w:p>
        </w:tc>
        <w:tc>
          <w:tcPr>
            <w:tcW w:w="585" w:type="dxa"/>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691"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481"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l’État membre/évolution pour l’UE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w:t>
            </w:r>
            <w:r>
              <w:rPr>
                <w:rFonts w:ascii="Arial Narrow" w:hAnsi="Arial Narrow"/>
                <w:b/>
                <w:bCs/>
                <w:noProof/>
                <w:sz w:val="16"/>
                <w:szCs w:val="16"/>
                <w:lang w:val="fr-BE"/>
              </w:rPr>
              <w:t xml:space="preserve"> la moyenne de l’UE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membre/ </w:t>
            </w:r>
          </w:p>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l’UE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membre/ </w:t>
            </w:r>
          </w:p>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l’UE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membre/ </w:t>
            </w:r>
          </w:p>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l’UE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58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membre/ </w:t>
            </w:r>
          </w:p>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l’UE</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UE28</w:t>
            </w:r>
          </w:p>
        </w:tc>
        <w:tc>
          <w:tcPr>
            <w:tcW w:w="585"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481"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ZE19</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UEnp</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0F7DD2">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ZEnp</w:t>
            </w:r>
          </w:p>
        </w:tc>
        <w:tc>
          <w:tcPr>
            <w:tcW w:w="58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91"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481"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 p</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 p</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 b</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 b</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r>
      <w:tr w:rsidR="000F7DD2">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58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691"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481"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 p</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 p</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 p</w:t>
            </w:r>
          </w:p>
        </w:tc>
        <w:tc>
          <w:tcPr>
            <w:tcW w:w="58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8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0F7DD2">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58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91"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481"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 p</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8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r>
    </w:tbl>
    <w:p w:rsidR="000F7DD2" w:rsidRDefault="000F7DD2">
      <w:pPr>
        <w:spacing w:after="0" w:line="240" w:lineRule="auto"/>
        <w:rPr>
          <w:rFonts w:ascii="Times New Roman" w:hAnsi="Times New Roman" w:cs="Times New Roman"/>
          <w:noProof/>
          <w:sz w:val="20"/>
          <w:szCs w:val="20"/>
        </w:rPr>
      </w:pPr>
    </w:p>
    <w:p w:rsidR="000F7DD2" w:rsidRDefault="00BB345B">
      <w:pPr>
        <w:spacing w:after="0" w:line="240" w:lineRule="auto"/>
        <w:rPr>
          <w:rFonts w:ascii="Times New Roman" w:hAnsi="Times New Roman" w:cs="Times New Roman"/>
          <w:noProof/>
          <w:sz w:val="20"/>
          <w:szCs w:val="20"/>
        </w:rPr>
      </w:pPr>
      <w:r>
        <w:rPr>
          <w:rFonts w:ascii="Times New Roman" w:hAnsi="Times New Roman"/>
          <w:noProof/>
          <w:sz w:val="20"/>
          <w:szCs w:val="20"/>
        </w:rPr>
        <w:t>Source: Eurostat.</w:t>
      </w:r>
    </w:p>
    <w:p w:rsidR="000F7DD2" w:rsidRDefault="00BB345B">
      <w:pPr>
        <w:spacing w:after="0" w:line="240" w:lineRule="auto"/>
        <w:jc w:val="both"/>
        <w:rPr>
          <w:rFonts w:ascii="Times New Roman" w:hAnsi="Times New Roman" w:cs="Times New Roman"/>
          <w:noProof/>
          <w:sz w:val="20"/>
          <w:szCs w:val="20"/>
          <w:lang w:val="fr-BE"/>
        </w:rPr>
      </w:pPr>
      <w:r>
        <w:rPr>
          <w:rFonts w:ascii="Times New Roman" w:hAnsi="Times New Roman"/>
          <w:noProof/>
          <w:sz w:val="20"/>
          <w:szCs w:val="20"/>
          <w:lang w:val="fr-BE"/>
        </w:rPr>
        <w:t>* indique des évolutions statistiquement significatives.</w:t>
      </w:r>
    </w:p>
    <w:p w:rsidR="000F7DD2" w:rsidRDefault="00BB345B">
      <w:pPr>
        <w:spacing w:after="0" w:line="240" w:lineRule="auto"/>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Remarque: UEnp et ZEnp renvoient aux moyennes non pondérées pour l’UE et la zone euro. Au 2 décembre </w:t>
      </w:r>
      <w:r>
        <w:rPr>
          <w:rFonts w:ascii="Times New Roman" w:hAnsi="Times New Roman"/>
          <w:noProof/>
          <w:sz w:val="20"/>
          <w:szCs w:val="20"/>
          <w:lang w:val="fr-BE"/>
        </w:rPr>
        <w:t>2019, les estimations de la signification statistique pour les variations des indicateurs fondés sur l’EFT et les statistiques SRCV-UE n’étaient pas disponibles.</w:t>
      </w:r>
    </w:p>
    <w:p w:rsidR="000F7DD2" w:rsidRDefault="00BB345B">
      <w:pPr>
        <w:spacing w:after="0" w:line="240" w:lineRule="auto"/>
        <w:rPr>
          <w:rFonts w:ascii="Times New Roman" w:hAnsi="Times New Roman" w:cs="Times New Roman"/>
          <w:noProof/>
          <w:sz w:val="20"/>
          <w:szCs w:val="20"/>
          <w:lang w:val="fr-BE"/>
        </w:rPr>
      </w:pPr>
      <w:r>
        <w:rPr>
          <w:rFonts w:ascii="Times New Roman" w:hAnsi="Times New Roman"/>
          <w:noProof/>
          <w:sz w:val="20"/>
          <w:szCs w:val="20"/>
          <w:lang w:val="fr-BE"/>
        </w:rPr>
        <w:t>Indications – b: rupture des séries chronologiques; e: estimation; p: provisoire; u: fiabilité</w:t>
      </w:r>
      <w:r>
        <w:rPr>
          <w:rFonts w:ascii="Times New Roman" w:hAnsi="Times New Roman"/>
          <w:noProof/>
          <w:sz w:val="20"/>
          <w:szCs w:val="20"/>
          <w:lang w:val="fr-BE"/>
        </w:rPr>
        <w:t xml:space="preserve"> incertaine (petit nombre d’observations).</w:t>
      </w:r>
    </w:p>
    <w:p w:rsidR="000F7DD2" w:rsidRDefault="000F7DD2">
      <w:pPr>
        <w:rPr>
          <w:rFonts w:ascii="Times New Roman" w:hAnsi="Times New Roman" w:cs="Times New Roman"/>
          <w:b/>
          <w:noProof/>
          <w:sz w:val="24"/>
          <w:szCs w:val="24"/>
          <w:lang w:val="fr-BE"/>
        </w:rPr>
      </w:pPr>
    </w:p>
    <w:p w:rsidR="000F7DD2" w:rsidRDefault="00BB345B">
      <w:pPr>
        <w:rPr>
          <w:noProof/>
          <w:lang w:val="fr-BE"/>
        </w:rPr>
      </w:pPr>
      <w:r>
        <w:rPr>
          <w:noProof/>
          <w:lang w:val="fr-BE"/>
        </w:rPr>
        <w:br w:type="page"/>
      </w:r>
    </w:p>
    <w:p w:rsidR="000F7DD2" w:rsidRDefault="00BB345B">
      <w:pPr>
        <w:rPr>
          <w:rFonts w:ascii="Times New Roman" w:hAnsi="Times New Roman" w:cs="Times New Roman"/>
          <w:b/>
          <w:noProof/>
          <w:sz w:val="24"/>
          <w:szCs w:val="24"/>
          <w:lang w:val="fr-BE"/>
        </w:rPr>
      </w:pPr>
      <w:r>
        <w:rPr>
          <w:rFonts w:ascii="Times New Roman" w:hAnsi="Times New Roman"/>
          <w:b/>
          <w:noProof/>
          <w:lang w:val="fr-BE"/>
        </w:rPr>
        <w:lastRenderedPageBreak/>
        <w:t>Annexe 2 (suite). Indicateurs clés du tableau de bord social, variations et écart par rapport à l’UE</w:t>
      </w:r>
    </w:p>
    <w:tbl>
      <w:tblPr>
        <w:tblW w:w="9356" w:type="dxa"/>
        <w:tblInd w:w="108" w:type="dxa"/>
        <w:tblLayout w:type="fixed"/>
        <w:tblCellMar>
          <w:left w:w="0" w:type="dxa"/>
          <w:right w:w="0" w:type="dxa"/>
        </w:tblCellMar>
        <w:tblLook w:val="04A0" w:firstRow="1" w:lastRow="0" w:firstColumn="1" w:lastColumn="0" w:noHBand="0" w:noVBand="1"/>
      </w:tblPr>
      <w:tblGrid>
        <w:gridCol w:w="709"/>
        <w:gridCol w:w="564"/>
        <w:gridCol w:w="565"/>
        <w:gridCol w:w="565"/>
        <w:gridCol w:w="564"/>
        <w:gridCol w:w="565"/>
        <w:gridCol w:w="565"/>
        <w:gridCol w:w="565"/>
        <w:gridCol w:w="564"/>
        <w:gridCol w:w="565"/>
        <w:gridCol w:w="565"/>
        <w:gridCol w:w="565"/>
        <w:gridCol w:w="564"/>
        <w:gridCol w:w="565"/>
        <w:gridCol w:w="636"/>
        <w:gridCol w:w="670"/>
      </w:tblGrid>
      <w:tr w:rsidR="000F7DD2">
        <w:trPr>
          <w:trHeight w:val="330"/>
        </w:trPr>
        <w:tc>
          <w:tcPr>
            <w:tcW w:w="709" w:type="dxa"/>
            <w:vMerge w:val="restart"/>
            <w:tcBorders>
              <w:top w:val="single" w:sz="4" w:space="0" w:color="auto"/>
              <w:left w:val="single" w:sz="4" w:space="0" w:color="auto"/>
              <w:bottom w:val="nil"/>
              <w:right w:val="single" w:sz="4" w:space="0" w:color="auto"/>
            </w:tcBorders>
            <w:shd w:val="clear" w:color="000000" w:fill="EEECE1"/>
            <w:noWrap/>
            <w:vAlign w:val="bottom"/>
            <w:hideMark/>
          </w:tcPr>
          <w:p w:rsidR="000F7DD2" w:rsidRDefault="000F7DD2">
            <w:pPr>
              <w:spacing w:after="0" w:line="240" w:lineRule="auto"/>
              <w:jc w:val="center"/>
              <w:rPr>
                <w:rFonts w:ascii="Arial Narrow" w:eastAsia="Times New Roman" w:hAnsi="Arial Narrow" w:cs="Calibri"/>
                <w:noProof/>
                <w:color w:val="000000"/>
                <w:sz w:val="16"/>
                <w:szCs w:val="16"/>
                <w:lang w:val="fr-BE"/>
              </w:rPr>
            </w:pPr>
          </w:p>
        </w:tc>
        <w:tc>
          <w:tcPr>
            <w:tcW w:w="8647"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Marchés du travail dynamiques et conditions de travail équitables</w:t>
            </w:r>
          </w:p>
        </w:tc>
      </w:tr>
      <w:tr w:rsidR="000F7DD2">
        <w:trPr>
          <w:trHeight w:val="976"/>
        </w:trPr>
        <w:tc>
          <w:tcPr>
            <w:tcW w:w="709" w:type="dxa"/>
            <w:vMerge/>
            <w:tcBorders>
              <w:top w:val="single" w:sz="4" w:space="0" w:color="auto"/>
              <w:left w:val="single" w:sz="4" w:space="0" w:color="auto"/>
              <w:bottom w:val="nil"/>
              <w:right w:val="single" w:sz="4" w:space="0" w:color="auto"/>
            </w:tcBorders>
            <w:vAlign w:val="center"/>
            <w:hideMark/>
          </w:tcPr>
          <w:p w:rsidR="000F7DD2" w:rsidRDefault="000F7DD2">
            <w:pPr>
              <w:spacing w:after="0" w:line="240" w:lineRule="auto"/>
              <w:rPr>
                <w:rFonts w:ascii="Arial Narrow" w:eastAsia="Times New Roman" w:hAnsi="Arial Narrow" w:cs="Calibri"/>
                <w:noProof/>
                <w:color w:val="000000"/>
                <w:sz w:val="16"/>
                <w:szCs w:val="16"/>
                <w:lang w:val="fr-BE"/>
              </w:rPr>
            </w:pP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Taux d’emploi </w:t>
            </w:r>
            <w:r>
              <w:rPr>
                <w:rFonts w:ascii="Arial Narrow" w:hAnsi="Arial Narrow"/>
                <w:b/>
                <w:bCs/>
                <w:noProof/>
                <w:sz w:val="16"/>
                <w:szCs w:val="16"/>
                <w:lang w:val="fr-BE"/>
              </w:rPr>
              <w:br/>
              <w:t xml:space="preserve">(en % de la population </w:t>
            </w:r>
            <w:r>
              <w:rPr>
                <w:rFonts w:ascii="Arial Narrow" w:hAnsi="Arial Narrow"/>
                <w:b/>
                <w:bCs/>
                <w:noProof/>
                <w:sz w:val="16"/>
                <w:szCs w:val="16"/>
                <w:lang w:val="fr-BE"/>
              </w:rPr>
              <w:t>des 20-64 ans)</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Taux de chômage </w:t>
            </w:r>
            <w:r>
              <w:rPr>
                <w:rFonts w:ascii="Arial Narrow" w:hAnsi="Arial Narrow"/>
                <w:b/>
                <w:bCs/>
                <w:noProof/>
                <w:sz w:val="16"/>
                <w:szCs w:val="16"/>
                <w:lang w:val="fr-BE"/>
              </w:rPr>
              <w:br/>
              <w:t xml:space="preserve">(en % de la population active des 15-74 ans) </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Taux de chômage de longue durée (% de la population active âgée de 15 à 74 ans)</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RDBM réel par habitant </w:t>
            </w:r>
            <w:r>
              <w:rPr>
                <w:rFonts w:ascii="Arial Narrow" w:hAnsi="Arial Narrow"/>
                <w:b/>
                <w:bCs/>
                <w:noProof/>
                <w:sz w:val="16"/>
                <w:szCs w:val="16"/>
              </w:rPr>
              <w:br/>
              <w:t>(2008 = 100)</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 xml:space="preserve">Rémunération nette </w:t>
            </w:r>
            <w:r>
              <w:rPr>
                <w:rFonts w:ascii="Arial Narrow" w:hAnsi="Arial Narrow"/>
                <w:b/>
                <w:bCs/>
                <w:noProof/>
                <w:sz w:val="16"/>
                <w:szCs w:val="16"/>
                <w:lang w:val="fr-BE"/>
              </w:rPr>
              <w:br/>
              <w:t xml:space="preserve">d’un </w:t>
            </w:r>
            <w:r>
              <w:rPr>
                <w:rFonts w:ascii="Arial Narrow" w:hAnsi="Arial Narrow"/>
                <w:b/>
                <w:bCs/>
                <w:noProof/>
                <w:sz w:val="16"/>
                <w:szCs w:val="16"/>
                <w:lang w:val="fr-BE"/>
              </w:rPr>
              <w:br/>
              <w:t>travailleur à plein temps célibatai</w:t>
            </w:r>
            <w:r>
              <w:rPr>
                <w:rFonts w:ascii="Arial Narrow" w:hAnsi="Arial Narrow"/>
                <w:b/>
                <w:bCs/>
                <w:noProof/>
                <w:sz w:val="16"/>
                <w:szCs w:val="16"/>
                <w:lang w:val="fr-BE"/>
              </w:rPr>
              <w:t>re percevant le salaire moyen</w:t>
            </w:r>
          </w:p>
        </w:tc>
      </w:tr>
      <w:tr w:rsidR="000F7DD2">
        <w:trPr>
          <w:trHeight w:val="312"/>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Année</w:t>
            </w: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2017</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r>
      <w:tr w:rsidR="000F7DD2">
        <w:trPr>
          <w:trHeight w:val="1320"/>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noProof/>
                <w:color w:val="000000"/>
                <w:sz w:val="16"/>
                <w:szCs w:val="16"/>
              </w:rPr>
            </w:pPr>
            <w:r>
              <w:rPr>
                <w:rFonts w:ascii="Arial Narrow" w:hAnsi="Arial Narrow"/>
                <w:noProof/>
                <w:sz w:val="16"/>
                <w:szCs w:val="16"/>
              </w:rPr>
              <w:t> </w:t>
            </w:r>
          </w:p>
        </w:tc>
        <w:tc>
          <w:tcPr>
            <w:tcW w:w="564" w:type="dxa"/>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membre/ </w:t>
            </w:r>
          </w:p>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l’UE</w:t>
            </w:r>
          </w:p>
        </w:tc>
        <w:tc>
          <w:tcPr>
            <w:tcW w:w="564"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membre/ </w:t>
            </w:r>
          </w:p>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l’UE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564"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membre/ </w:t>
            </w:r>
          </w:p>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l’UE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564"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w:t>
            </w:r>
            <w:r>
              <w:rPr>
                <w:rFonts w:ascii="Arial Narrow" w:hAnsi="Arial Narrow"/>
                <w:b/>
                <w:bCs/>
                <w:noProof/>
                <w:sz w:val="16"/>
                <w:szCs w:val="16"/>
                <w:lang w:val="fr-BE"/>
              </w:rPr>
              <w:t xml:space="preserve">membre/ </w:t>
            </w:r>
          </w:p>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l’UE</w:t>
            </w:r>
          </w:p>
        </w:tc>
        <w:tc>
          <w:tcPr>
            <w:tcW w:w="565"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63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670"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l’État membre/évolution pour l’UE</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UE28</w:t>
            </w:r>
          </w:p>
        </w:tc>
        <w:tc>
          <w:tcPr>
            <w:tcW w:w="564"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4"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ZE19</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UEnp</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0F7DD2">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ZEnp</w:t>
            </w:r>
          </w:p>
        </w:tc>
        <w:tc>
          <w:tcPr>
            <w:tcW w:w="564"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4"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64"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636" w:type="dxa"/>
            <w:tcBorders>
              <w:top w:val="nil"/>
              <w:left w:val="nil"/>
              <w:bottom w:val="nil"/>
              <w:right w:val="nil"/>
            </w:tcBorders>
            <w:shd w:val="clear" w:color="auto" w:fill="auto"/>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1347</w:t>
            </w:r>
          </w:p>
        </w:tc>
        <w:tc>
          <w:tcPr>
            <w:tcW w:w="670"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 b</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3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4993</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21,1</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-10211</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-5318</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 b</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6455</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7270</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-4440</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11461</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-37,4</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-1855</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2540</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4409</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-6803</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-14,8</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1131</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-17,8</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-9331</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12,0</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-8072</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12893</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-7676</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1147</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7893</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7685</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21,3</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-5961</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-4615</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24,3</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-9784</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-5208</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-7650</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3994</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 p</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 p</w:t>
            </w:r>
          </w:p>
        </w:tc>
        <w:tc>
          <w:tcPr>
            <w:tcW w:w="564"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564"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63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5589</w:t>
            </w:r>
          </w:p>
        </w:tc>
        <w:tc>
          <w:tcPr>
            <w:tcW w:w="670"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r>
      <w:tr w:rsidR="000F7DD2">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564"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65"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4"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565"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4"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63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9465</w:t>
            </w:r>
          </w:p>
        </w:tc>
        <w:tc>
          <w:tcPr>
            <w:tcW w:w="670"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r>
    </w:tbl>
    <w:p w:rsidR="000F7DD2" w:rsidRDefault="000F7DD2">
      <w:pPr>
        <w:spacing w:after="0" w:line="240" w:lineRule="auto"/>
        <w:rPr>
          <w:rFonts w:ascii="Times New Roman" w:hAnsi="Times New Roman" w:cs="Times New Roman"/>
          <w:noProof/>
          <w:sz w:val="20"/>
          <w:szCs w:val="20"/>
        </w:rPr>
      </w:pPr>
    </w:p>
    <w:p w:rsidR="000F7DD2" w:rsidRDefault="00BB345B">
      <w:pPr>
        <w:spacing w:after="0" w:line="240" w:lineRule="auto"/>
        <w:rPr>
          <w:rFonts w:ascii="Times New Roman" w:hAnsi="Times New Roman" w:cs="Times New Roman"/>
          <w:noProof/>
          <w:sz w:val="20"/>
          <w:szCs w:val="20"/>
        </w:rPr>
      </w:pPr>
      <w:r>
        <w:rPr>
          <w:rFonts w:ascii="Times New Roman" w:hAnsi="Times New Roman"/>
          <w:noProof/>
          <w:sz w:val="20"/>
          <w:szCs w:val="20"/>
        </w:rPr>
        <w:t>Source: Eurostat, OCDE.</w:t>
      </w:r>
    </w:p>
    <w:p w:rsidR="000F7DD2" w:rsidRDefault="00BB345B">
      <w:pPr>
        <w:pStyle w:val="FootnoteText"/>
        <w:jc w:val="both"/>
        <w:rPr>
          <w:rFonts w:ascii="Times New Roman" w:hAnsi="Times New Roman" w:cs="Times New Roman"/>
          <w:noProof/>
        </w:rPr>
      </w:pPr>
      <w:r>
        <w:rPr>
          <w:rFonts w:ascii="Times New Roman" w:hAnsi="Times New Roman"/>
          <w:noProof/>
        </w:rPr>
        <w:t>Remarque: UEnp et ZEnp renvoient aux moyennes non pondérées pour l’UE et la zone euro. Le RDBM réel par habi</w:t>
      </w:r>
      <w:r>
        <w:rPr>
          <w:rFonts w:ascii="Times New Roman" w:hAnsi="Times New Roman"/>
          <w:noProof/>
        </w:rPr>
        <w:t xml:space="preserve">tant est mesuré à l’aide du «revenu brut» (c’est-à-dire sans les transferts sociaux en nature) et sans correction compte tenu des standards de pouvoir d’achat. La rémunération nette d’un travailleur à plein temps célibataire percevant le salaire moyen </w:t>
      </w:r>
      <w:r>
        <w:rPr>
          <w:rStyle w:val="FootnoteReference"/>
          <w:rFonts w:ascii="Times New Roman" w:hAnsi="Times New Roman"/>
          <w:noProof/>
          <w:vertAlign w:val="baseline"/>
        </w:rPr>
        <w:t>doit</w:t>
      </w:r>
      <w:r>
        <w:rPr>
          <w:rStyle w:val="FootnoteReference"/>
          <w:rFonts w:ascii="Times New Roman" w:hAnsi="Times New Roman"/>
          <w:noProof/>
          <w:vertAlign w:val="baseline"/>
        </w:rPr>
        <w:t xml:space="preserve"> être lue et interprétée en combinaison avec d’autres indicateurs, tels que le taux de risque de pauvreté des travailleurs, le rapport entre les 5</w:t>
      </w:r>
      <w:r>
        <w:rPr>
          <w:rStyle w:val="FootnoteReference"/>
          <w:rFonts w:ascii="Times New Roman" w:hAnsi="Times New Roman"/>
          <w:noProof/>
        </w:rPr>
        <w:t>e</w:t>
      </w:r>
      <w:r>
        <w:rPr>
          <w:rStyle w:val="FootnoteReference"/>
          <w:rFonts w:ascii="Times New Roman" w:hAnsi="Times New Roman"/>
          <w:noProof/>
          <w:vertAlign w:val="baseline"/>
        </w:rPr>
        <w:t xml:space="preserve"> et 1</w:t>
      </w:r>
      <w:r>
        <w:rPr>
          <w:rStyle w:val="FootnoteReference"/>
          <w:rFonts w:ascii="Times New Roman" w:hAnsi="Times New Roman"/>
          <w:noProof/>
        </w:rPr>
        <w:t>er</w:t>
      </w:r>
      <w:r>
        <w:rPr>
          <w:rStyle w:val="FootnoteReference"/>
          <w:rFonts w:ascii="Times New Roman" w:hAnsi="Times New Roman"/>
          <w:noProof/>
          <w:vertAlign w:val="baseline"/>
        </w:rPr>
        <w:t xml:space="preserve"> déciles de la distribution des salaires (D5/D1) et d’autres indicateurs pertinents des mécanismes EPM/SPPM et JAF.</w:t>
      </w:r>
      <w:r>
        <w:rPr>
          <w:rFonts w:ascii="Times New Roman" w:hAnsi="Times New Roman"/>
          <w:noProof/>
        </w:rPr>
        <w:t xml:space="preserve"> Pour cet indicateur, l’écart par rapport à la moyenne de l’UE est exprimé en standards de pouvoir d’achat (SPA) tandis que les variations so</w:t>
      </w:r>
      <w:r>
        <w:rPr>
          <w:rFonts w:ascii="Times New Roman" w:hAnsi="Times New Roman"/>
          <w:noProof/>
        </w:rPr>
        <w:t xml:space="preserve">nt exprimées en termes réels en monnaie nationale; les moyennes sur trois ans sont employées pour lisser les fluctuations à court terme, tant pour les niveaux que pour les variations. Au 2 décembre 2019, les estimations de la signification </w:t>
      </w:r>
      <w:r>
        <w:rPr>
          <w:rFonts w:ascii="Times New Roman" w:hAnsi="Times New Roman"/>
          <w:noProof/>
        </w:rPr>
        <w:lastRenderedPageBreak/>
        <w:t>statistique pour</w:t>
      </w:r>
      <w:r>
        <w:rPr>
          <w:rFonts w:ascii="Times New Roman" w:hAnsi="Times New Roman"/>
          <w:noProof/>
        </w:rPr>
        <w:t xml:space="preserve"> les variations des indicateurs fondés sur l’EFT et les statistiques SRCV-UE n’étaient pas disponibles.</w:t>
      </w:r>
      <w:r>
        <w:rPr>
          <w:rFonts w:ascii="Times New Roman" w:hAnsi="Times New Roman"/>
          <w:noProof/>
        </w:rPr>
        <w:tab/>
      </w:r>
    </w:p>
    <w:p w:rsidR="000F7DD2" w:rsidRDefault="00BB345B">
      <w:pPr>
        <w:pStyle w:val="FootnoteText"/>
        <w:jc w:val="both"/>
        <w:rPr>
          <w:rFonts w:ascii="Times New Roman" w:hAnsi="Times New Roman" w:cs="Times New Roman"/>
          <w:noProof/>
        </w:rPr>
      </w:pPr>
      <w:r>
        <w:rPr>
          <w:rFonts w:ascii="Times New Roman" w:hAnsi="Times New Roman"/>
          <w:noProof/>
        </w:rPr>
        <w:t>Indications – b: rupture des séries chronologiques; e: estimation; p: provisoire; u: fiabilité incertaine (petit nombre d’observations).</w:t>
      </w:r>
    </w:p>
    <w:p w:rsidR="000F7DD2" w:rsidRDefault="00BB345B">
      <w:pPr>
        <w:rPr>
          <w:noProof/>
          <w:lang w:val="fr-BE"/>
        </w:rPr>
      </w:pPr>
      <w:r>
        <w:rPr>
          <w:noProof/>
          <w:lang w:val="fr-BE"/>
        </w:rPr>
        <w:br w:type="page"/>
      </w:r>
    </w:p>
    <w:p w:rsidR="000F7DD2" w:rsidRDefault="00BB345B">
      <w:pPr>
        <w:rPr>
          <w:rFonts w:ascii="Times New Roman" w:hAnsi="Times New Roman" w:cs="Times New Roman"/>
          <w:b/>
          <w:noProof/>
          <w:sz w:val="24"/>
          <w:szCs w:val="24"/>
          <w:lang w:val="fr-BE"/>
        </w:rPr>
      </w:pPr>
      <w:r>
        <w:rPr>
          <w:rFonts w:ascii="Times New Roman" w:hAnsi="Times New Roman"/>
          <w:b/>
          <w:noProof/>
          <w:lang w:val="fr-BE"/>
        </w:rPr>
        <w:lastRenderedPageBreak/>
        <w:t>Annexe 2 (su</w:t>
      </w:r>
      <w:r>
        <w:rPr>
          <w:rFonts w:ascii="Times New Roman" w:hAnsi="Times New Roman"/>
          <w:b/>
          <w:noProof/>
          <w:lang w:val="fr-BE"/>
        </w:rPr>
        <w:t>ite). Indicateurs clés du tableau de bord social, variations et écart par rapport à l’UE</w:t>
      </w:r>
    </w:p>
    <w:tbl>
      <w:tblPr>
        <w:tblW w:w="0" w:type="auto"/>
        <w:tblInd w:w="108" w:type="dxa"/>
        <w:tblLayout w:type="fixed"/>
        <w:tblLook w:val="04A0" w:firstRow="1" w:lastRow="0" w:firstColumn="1" w:lastColumn="0" w:noHBand="0" w:noVBand="1"/>
      </w:tblPr>
      <w:tblGrid>
        <w:gridCol w:w="709"/>
        <w:gridCol w:w="588"/>
        <w:gridCol w:w="717"/>
        <w:gridCol w:w="716"/>
        <w:gridCol w:w="717"/>
        <w:gridCol w:w="716"/>
        <w:gridCol w:w="717"/>
        <w:gridCol w:w="717"/>
        <w:gridCol w:w="716"/>
        <w:gridCol w:w="717"/>
        <w:gridCol w:w="716"/>
        <w:gridCol w:w="717"/>
        <w:gridCol w:w="717"/>
      </w:tblGrid>
      <w:tr w:rsidR="000F7DD2">
        <w:trPr>
          <w:trHeight w:val="312"/>
        </w:trPr>
        <w:tc>
          <w:tcPr>
            <w:tcW w:w="709" w:type="dxa"/>
            <w:vMerge w:val="restart"/>
            <w:tcBorders>
              <w:top w:val="single" w:sz="4" w:space="0" w:color="auto"/>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jc w:val="center"/>
              <w:rPr>
                <w:rFonts w:ascii="Arial Narrow" w:eastAsia="Times New Roman" w:hAnsi="Arial Narrow" w:cs="Calibri"/>
                <w:noProof/>
                <w:color w:val="000000"/>
                <w:sz w:val="16"/>
                <w:szCs w:val="16"/>
                <w:lang w:val="fr-BE"/>
              </w:rPr>
            </w:pPr>
            <w:r>
              <w:rPr>
                <w:rFonts w:ascii="Arial Narrow" w:hAnsi="Arial Narrow"/>
                <w:noProof/>
                <w:sz w:val="16"/>
                <w:szCs w:val="16"/>
                <w:lang w:val="fr-BE"/>
              </w:rPr>
              <w:t> </w:t>
            </w:r>
          </w:p>
        </w:tc>
        <w:tc>
          <w:tcPr>
            <w:tcW w:w="8471" w:type="dxa"/>
            <w:gridSpan w:val="12"/>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Soutien des pouvoirs publics/Protection et inclusion sociales</w:t>
            </w:r>
          </w:p>
        </w:tc>
      </w:tr>
      <w:tr w:rsidR="000F7DD2">
        <w:trPr>
          <w:trHeight w:val="1131"/>
        </w:trPr>
        <w:tc>
          <w:tcPr>
            <w:tcW w:w="709" w:type="dxa"/>
            <w:vMerge/>
            <w:tcBorders>
              <w:top w:val="single" w:sz="4" w:space="0" w:color="auto"/>
              <w:left w:val="single" w:sz="4" w:space="0" w:color="auto"/>
              <w:bottom w:val="nil"/>
              <w:right w:val="single" w:sz="4" w:space="0" w:color="auto"/>
            </w:tcBorders>
            <w:vAlign w:val="center"/>
            <w:hideMark/>
          </w:tcPr>
          <w:p w:rsidR="000F7DD2" w:rsidRDefault="000F7DD2">
            <w:pPr>
              <w:spacing w:after="0" w:line="240" w:lineRule="auto"/>
              <w:rPr>
                <w:rFonts w:ascii="Arial Narrow" w:eastAsia="Times New Roman" w:hAnsi="Arial Narrow" w:cs="Calibri"/>
                <w:noProof/>
                <w:color w:val="000000"/>
                <w:sz w:val="16"/>
                <w:szCs w:val="16"/>
                <w:lang w:val="fr-BE"/>
              </w:rPr>
            </w:pPr>
          </w:p>
        </w:tc>
        <w:tc>
          <w:tcPr>
            <w:tcW w:w="2021"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Incidence des transferts sociaux (autres que les pensions) sur la réduction de la pauvreté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Enfants de moins de 3 ans dans des structures d’accueil formelles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Besoins en soins médicaux non satisfaits déclarés par l’intéressé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color w:val="000000"/>
                <w:sz w:val="16"/>
                <w:szCs w:val="16"/>
                <w:lang w:val="fr-BE"/>
              </w:rPr>
            </w:pPr>
            <w:r>
              <w:rPr>
                <w:rFonts w:ascii="Arial Narrow" w:hAnsi="Arial Narrow"/>
                <w:b/>
                <w:bCs/>
                <w:noProof/>
                <w:sz w:val="16"/>
                <w:szCs w:val="16"/>
                <w:lang w:val="fr-BE"/>
              </w:rPr>
              <w:t>Personnes ayant des compétences numériques générales de base ou plus (en % de la population âgée de 16 à 74 ans)</w:t>
            </w:r>
          </w:p>
        </w:tc>
      </w:tr>
      <w:tr w:rsidR="000F7DD2">
        <w:trPr>
          <w:trHeight w:val="312"/>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Année</w:t>
            </w:r>
          </w:p>
        </w:tc>
        <w:tc>
          <w:tcPr>
            <w:tcW w:w="2021"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2017</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2016</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2017</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2017</w:t>
            </w:r>
          </w:p>
        </w:tc>
      </w:tr>
      <w:tr w:rsidR="000F7DD2">
        <w:trPr>
          <w:trHeight w:val="1320"/>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noProof/>
                <w:color w:val="000000"/>
                <w:sz w:val="16"/>
                <w:szCs w:val="16"/>
              </w:rPr>
            </w:pPr>
            <w:r>
              <w:rPr>
                <w:rFonts w:ascii="Arial Narrow" w:hAnsi="Arial Narrow"/>
                <w:noProof/>
                <w:sz w:val="16"/>
                <w:szCs w:val="16"/>
              </w:rPr>
              <w:t> </w:t>
            </w:r>
          </w:p>
        </w:tc>
        <w:tc>
          <w:tcPr>
            <w:tcW w:w="588" w:type="dxa"/>
            <w:tcBorders>
              <w:top w:val="nil"/>
              <w:left w:val="single" w:sz="4" w:space="0" w:color="auto"/>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717"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71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l’État membre/évolution pour l’UE</w:t>
            </w:r>
          </w:p>
        </w:tc>
        <w:tc>
          <w:tcPr>
            <w:tcW w:w="717"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71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717"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 xml:space="preserve">Évolution pour l’État membre/évolution pour </w:t>
            </w:r>
            <w:r>
              <w:rPr>
                <w:rFonts w:ascii="Arial Narrow" w:hAnsi="Arial Narrow"/>
                <w:b/>
                <w:bCs/>
                <w:noProof/>
                <w:sz w:val="16"/>
                <w:szCs w:val="16"/>
                <w:lang w:val="fr-BE"/>
              </w:rPr>
              <w:t>l’UE</w:t>
            </w:r>
          </w:p>
        </w:tc>
        <w:tc>
          <w:tcPr>
            <w:tcW w:w="717"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71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717"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l’État membre/évolution pour l’UE</w:t>
            </w:r>
          </w:p>
        </w:tc>
        <w:tc>
          <w:tcPr>
            <w:tcW w:w="716"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Évolution d’année en année</w:t>
            </w:r>
          </w:p>
        </w:tc>
        <w:tc>
          <w:tcPr>
            <w:tcW w:w="717"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Écart par rapport à la moyenne de l’UE</w:t>
            </w:r>
          </w:p>
        </w:tc>
        <w:tc>
          <w:tcPr>
            <w:tcW w:w="717" w:type="dxa"/>
            <w:tcBorders>
              <w:top w:val="nil"/>
              <w:left w:val="nil"/>
              <w:bottom w:val="single" w:sz="4" w:space="0" w:color="auto"/>
              <w:right w:val="single" w:sz="4" w:space="0" w:color="auto"/>
            </w:tcBorders>
            <w:shd w:val="clear" w:color="000000" w:fill="EEECE1"/>
            <w:vAlign w:val="center"/>
            <w:hideMark/>
          </w:tcPr>
          <w:p w:rsidR="000F7DD2" w:rsidRDefault="00BB345B">
            <w:pPr>
              <w:spacing w:after="0" w:line="240" w:lineRule="auto"/>
              <w:jc w:val="center"/>
              <w:rPr>
                <w:rFonts w:ascii="Arial Narrow" w:eastAsia="Times New Roman" w:hAnsi="Arial Narrow" w:cs="Calibri"/>
                <w:b/>
                <w:bCs/>
                <w:noProof/>
                <w:sz w:val="16"/>
                <w:szCs w:val="16"/>
                <w:lang w:val="fr-BE"/>
              </w:rPr>
            </w:pPr>
            <w:r>
              <w:rPr>
                <w:rFonts w:ascii="Arial Narrow" w:hAnsi="Arial Narrow"/>
                <w:b/>
                <w:bCs/>
                <w:noProof/>
                <w:sz w:val="16"/>
                <w:szCs w:val="16"/>
                <w:lang w:val="fr-BE"/>
              </w:rPr>
              <w:t>Évolution pour l’État membre/évolution pour l’UE</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UE28</w:t>
            </w:r>
          </w:p>
        </w:tc>
        <w:tc>
          <w:tcPr>
            <w:tcW w:w="588"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7"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6"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7"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1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717"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7"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single" w:sz="4" w:space="0" w:color="auto"/>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single" w:sz="4" w:space="0" w:color="auto"/>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ZE19</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UEnp</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0F7DD2">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ZEnp</w:t>
            </w:r>
          </w:p>
        </w:tc>
        <w:tc>
          <w:tcPr>
            <w:tcW w:w="588"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7"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7"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71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717"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7"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17"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17"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-17,2</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13,3</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29,8</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 p</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17,8</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 p</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 p</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-13,8</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17,1</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-14,9</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27,1</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14,8</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-16,9</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9,2</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-22,5</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16,8</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-17,9</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-20,2</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12,9</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19,7</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r>
      <w:tr w:rsidR="000F7DD2">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588"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9,2</w:t>
            </w:r>
          </w:p>
        </w:tc>
        <w:tc>
          <w:tcPr>
            <w:tcW w:w="716"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16,0</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717" w:type="dxa"/>
            <w:tcBorders>
              <w:top w:val="nil"/>
              <w:left w:val="nil"/>
              <w:bottom w:val="nil"/>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19,6</w:t>
            </w:r>
          </w:p>
        </w:tc>
        <w:tc>
          <w:tcPr>
            <w:tcW w:w="717" w:type="dxa"/>
            <w:tcBorders>
              <w:top w:val="nil"/>
              <w:left w:val="nil"/>
              <w:bottom w:val="nil"/>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r>
      <w:tr w:rsidR="000F7DD2">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0F7DD2" w:rsidRDefault="00BB345B">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588"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 p</w:t>
            </w:r>
          </w:p>
        </w:tc>
        <w:tc>
          <w:tcPr>
            <w:tcW w:w="717"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16"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717"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 p</w:t>
            </w:r>
          </w:p>
        </w:tc>
        <w:tc>
          <w:tcPr>
            <w:tcW w:w="71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w:t>
            </w:r>
          </w:p>
        </w:tc>
        <w:tc>
          <w:tcPr>
            <w:tcW w:w="717"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717"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 p</w:t>
            </w:r>
          </w:p>
        </w:tc>
        <w:tc>
          <w:tcPr>
            <w:tcW w:w="71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717"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6"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single" w:sz="4" w:space="0" w:color="auto"/>
              <w:right w:val="nil"/>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c>
          <w:tcPr>
            <w:tcW w:w="717" w:type="dxa"/>
            <w:tcBorders>
              <w:top w:val="nil"/>
              <w:left w:val="nil"/>
              <w:bottom w:val="single" w:sz="4" w:space="0" w:color="auto"/>
              <w:right w:val="single" w:sz="4" w:space="0" w:color="auto"/>
            </w:tcBorders>
            <w:shd w:val="clear" w:color="000000" w:fill="FFFFFF"/>
            <w:noWrap/>
            <w:vAlign w:val="bottom"/>
            <w:hideMark/>
          </w:tcPr>
          <w:p w:rsidR="000F7DD2" w:rsidRDefault="00BB345B">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bl>
    <w:p w:rsidR="000F7DD2" w:rsidRDefault="000F7DD2">
      <w:pPr>
        <w:rPr>
          <w:rFonts w:ascii="Times New Roman" w:hAnsi="Times New Roman" w:cs="Times New Roman"/>
          <w:b/>
          <w:noProof/>
          <w:sz w:val="24"/>
          <w:szCs w:val="24"/>
        </w:rPr>
      </w:pPr>
    </w:p>
    <w:p w:rsidR="000F7DD2" w:rsidRDefault="00BB345B">
      <w:pPr>
        <w:spacing w:after="0" w:line="240" w:lineRule="auto"/>
        <w:rPr>
          <w:rFonts w:ascii="Times New Roman" w:hAnsi="Times New Roman" w:cs="Times New Roman"/>
          <w:noProof/>
          <w:sz w:val="20"/>
          <w:szCs w:val="20"/>
        </w:rPr>
      </w:pPr>
      <w:r>
        <w:rPr>
          <w:rFonts w:ascii="Times New Roman" w:hAnsi="Times New Roman"/>
          <w:noProof/>
          <w:sz w:val="20"/>
          <w:szCs w:val="20"/>
        </w:rPr>
        <w:t>Source: Eurostat.</w:t>
      </w:r>
    </w:p>
    <w:p w:rsidR="000F7DD2" w:rsidRDefault="00BB345B">
      <w:pPr>
        <w:spacing w:after="0" w:line="240" w:lineRule="auto"/>
        <w:jc w:val="both"/>
        <w:rPr>
          <w:rFonts w:ascii="Times New Roman" w:hAnsi="Times New Roman" w:cs="Times New Roman"/>
          <w:noProof/>
          <w:sz w:val="20"/>
          <w:szCs w:val="20"/>
          <w:lang w:val="fr-BE"/>
        </w:rPr>
      </w:pPr>
      <w:r>
        <w:rPr>
          <w:rFonts w:ascii="Times New Roman" w:hAnsi="Times New Roman"/>
          <w:noProof/>
          <w:sz w:val="20"/>
          <w:szCs w:val="20"/>
          <w:lang w:val="fr-BE"/>
        </w:rPr>
        <w:t>* indique des évolutions statistiquement significatives.</w:t>
      </w:r>
    </w:p>
    <w:p w:rsidR="000F7DD2" w:rsidRDefault="00BB345B">
      <w:pPr>
        <w:spacing w:after="0" w:line="240" w:lineRule="auto"/>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Remarque: UEnp et ZEnp renvoient aux moyennes non pondérées pour l’UE et la zone euro. Au 2 décembre 2019, </w:t>
      </w:r>
      <w:r>
        <w:rPr>
          <w:rFonts w:ascii="Times New Roman" w:hAnsi="Times New Roman"/>
          <w:noProof/>
          <w:sz w:val="20"/>
          <w:szCs w:val="20"/>
          <w:lang w:val="fr-BE"/>
        </w:rPr>
        <w:t>les estimations de la signification statistique pour les variations des indicateurs fondés sur l’EFT et les statistiques SRCV-UE n’étaient pas disponibles.</w:t>
      </w:r>
      <w:r>
        <w:rPr>
          <w:rFonts w:ascii="Times New Roman" w:hAnsi="Times New Roman"/>
          <w:noProof/>
          <w:sz w:val="20"/>
          <w:szCs w:val="20"/>
          <w:lang w:val="fr-BE"/>
        </w:rPr>
        <w:tab/>
      </w:r>
    </w:p>
    <w:p w:rsidR="000F7DD2" w:rsidRDefault="00BB345B">
      <w:pPr>
        <w:spacing w:after="0" w:line="240" w:lineRule="auto"/>
        <w:rPr>
          <w:rFonts w:ascii="Times New Roman" w:hAnsi="Times New Roman" w:cs="Times New Roman"/>
          <w:noProof/>
          <w:sz w:val="20"/>
          <w:szCs w:val="20"/>
          <w:lang w:val="fr-BE"/>
        </w:rPr>
      </w:pPr>
      <w:r>
        <w:rPr>
          <w:rFonts w:ascii="Times New Roman" w:hAnsi="Times New Roman"/>
          <w:noProof/>
          <w:sz w:val="20"/>
          <w:szCs w:val="20"/>
          <w:lang w:val="fr-BE"/>
        </w:rPr>
        <w:t>Indications – b: rupture des séries chronologiques; e: estimation; p: provisoire; u: fiabilité ince</w:t>
      </w:r>
      <w:r>
        <w:rPr>
          <w:rFonts w:ascii="Times New Roman" w:hAnsi="Times New Roman"/>
          <w:noProof/>
          <w:sz w:val="20"/>
          <w:szCs w:val="20"/>
          <w:lang w:val="fr-BE"/>
        </w:rPr>
        <w:t>rtaine (petit nombre d’observations).</w:t>
      </w:r>
    </w:p>
    <w:p w:rsidR="000F7DD2" w:rsidRDefault="000F7DD2">
      <w:pPr>
        <w:rPr>
          <w:rFonts w:ascii="Times New Roman" w:hAnsi="Times New Roman" w:cs="Times New Roman"/>
          <w:b/>
          <w:noProof/>
          <w:sz w:val="24"/>
          <w:szCs w:val="24"/>
          <w:lang w:val="fr-BE"/>
        </w:rPr>
      </w:pPr>
    </w:p>
    <w:p w:rsidR="000F7DD2" w:rsidRDefault="00BB345B">
      <w:pPr>
        <w:spacing w:line="240" w:lineRule="auto"/>
        <w:rPr>
          <w:rFonts w:ascii="Times New Roman" w:hAnsi="Times New Roman" w:cs="Times New Roman"/>
          <w:b/>
          <w:noProof/>
          <w:sz w:val="24"/>
          <w:szCs w:val="24"/>
          <w:lang w:val="fr-BE"/>
        </w:rPr>
      </w:pPr>
      <w:bookmarkStart w:id="4" w:name="_GoBack"/>
      <w:bookmarkEnd w:id="4"/>
      <w:r>
        <w:rPr>
          <w:rFonts w:ascii="Times New Roman" w:hAnsi="Times New Roman"/>
          <w:b/>
          <w:noProof/>
          <w:lang w:val="fr-BE"/>
        </w:rPr>
        <w:t>Annexe 3. Ventilation régionale d’indicateurs clés choisis du tableau de bord social</w:t>
      </w:r>
    </w:p>
    <w:p w:rsidR="000F7DD2" w:rsidRDefault="000F7DD2">
      <w:pPr>
        <w:spacing w:after="0" w:line="240" w:lineRule="auto"/>
        <w:rPr>
          <w:rFonts w:ascii="Times New Roman" w:hAnsi="Times New Roman" w:cs="Times New Roman"/>
          <w:b/>
          <w:bCs/>
          <w:noProof/>
          <w:sz w:val="24"/>
          <w:szCs w:val="24"/>
          <w:lang w:val="fr-BE"/>
        </w:rPr>
      </w:pP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Graphique 1. Taux d’emploi, 2018</w:t>
      </w:r>
    </w:p>
    <w:p w:rsidR="000F7DD2" w:rsidRDefault="00BB345B">
      <w:pPr>
        <w:spacing w:line="240" w:lineRule="auto"/>
        <w:rPr>
          <w:rFonts w:ascii="Times New Roman" w:hAnsi="Times New Roman" w:cs="Times New Roman"/>
          <w:bCs/>
          <w:noProof/>
          <w:sz w:val="24"/>
          <w:szCs w:val="24"/>
          <w:lang w:val="fr-BE"/>
        </w:rPr>
      </w:pPr>
      <w:r>
        <w:rPr>
          <w:rFonts w:ascii="Times New Roman" w:hAnsi="Times New Roman"/>
          <w:bCs/>
          <w:noProof/>
          <w:lang w:val="fr-BE"/>
        </w:rPr>
        <w:t>(%, part des personnes âgées de 20 à 64 ans, par région NUTS 2)</w:t>
      </w:r>
    </w:p>
    <w:p w:rsidR="000F7DD2" w:rsidRDefault="00BB345B">
      <w:pPr>
        <w:spacing w:line="240" w:lineRule="auto"/>
        <w:rPr>
          <w:rFonts w:ascii="Times New Roman" w:hAnsi="Times New Roman" w:cs="Times New Roman"/>
          <w:bCs/>
          <w:noProof/>
          <w:sz w:val="24"/>
          <w:szCs w:val="24"/>
        </w:rPr>
      </w:pPr>
      <w:r>
        <w:rPr>
          <w:rFonts w:ascii="Times New Roman" w:hAnsi="Times New Roman"/>
          <w:bCs/>
          <w:noProof/>
          <w:lang w:val="fr-BE" w:eastAsia="fr-BE"/>
        </w:rPr>
        <w:drawing>
          <wp:inline distT="0" distB="0" distL="0" distR="0">
            <wp:extent cx="5760720" cy="4822035"/>
            <wp:effectExtent l="0" t="0" r="0" b="0"/>
            <wp:docPr id="8" name="Picture 8" descr="G:\A1\1.20.3 EES-Policy issues\1.20.3.40 Thematic Issues\Europe 2020\2019-2020\JER\Draft\Master\Maps\employmen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1\1.20.3 EES-Policy issues\1.20.3.40 Thematic Issues\Europe 2020\2019-2020\JER\Draft\Master\Maps\employment ra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822035"/>
                    </a:xfrm>
                    <a:prstGeom prst="rect">
                      <a:avLst/>
                    </a:prstGeom>
                    <a:noFill/>
                    <a:ln>
                      <a:noFill/>
                    </a:ln>
                  </pic:spPr>
                </pic:pic>
              </a:graphicData>
            </a:graphic>
          </wp:inline>
        </w:drawing>
      </w:r>
    </w:p>
    <w:p w:rsidR="000F7DD2" w:rsidRDefault="00BB345B">
      <w:pPr>
        <w:spacing w:line="240" w:lineRule="auto"/>
        <w:rPr>
          <w:rFonts w:ascii="Times New Roman" w:hAnsi="Times New Roman" w:cs="Times New Roman"/>
          <w:bCs/>
          <w:noProof/>
          <w:sz w:val="20"/>
          <w:szCs w:val="20"/>
          <w:lang w:val="fr-BE"/>
        </w:rPr>
      </w:pPr>
      <w:r>
        <w:rPr>
          <w:rFonts w:ascii="Times New Roman" w:hAnsi="Times New Roman"/>
          <w:bCs/>
          <w:noProof/>
          <w:sz w:val="20"/>
          <w:szCs w:val="20"/>
          <w:lang w:val="fr-BE"/>
        </w:rPr>
        <w:t>Source: Eurostat (code des don</w:t>
      </w:r>
      <w:r>
        <w:rPr>
          <w:rFonts w:ascii="Times New Roman" w:hAnsi="Times New Roman"/>
          <w:bCs/>
          <w:noProof/>
          <w:sz w:val="20"/>
          <w:szCs w:val="20"/>
          <w:lang w:val="fr-BE"/>
        </w:rPr>
        <w:t>nées en ligne: lfst_r_lfe2emprtn)</w:t>
      </w:r>
    </w:p>
    <w:p w:rsidR="000F7DD2" w:rsidRDefault="000F7DD2">
      <w:pPr>
        <w:spacing w:line="240" w:lineRule="auto"/>
        <w:jc w:val="both"/>
        <w:rPr>
          <w:rFonts w:ascii="Times New Roman" w:hAnsi="Times New Roman" w:cs="Times New Roman"/>
          <w:b/>
          <w:noProof/>
          <w:sz w:val="24"/>
          <w:szCs w:val="24"/>
          <w:lang w:val="fr-BE"/>
        </w:rPr>
      </w:pPr>
    </w:p>
    <w:p w:rsidR="000F7DD2" w:rsidRDefault="000F7DD2">
      <w:pPr>
        <w:spacing w:after="0" w:line="240" w:lineRule="auto"/>
        <w:rPr>
          <w:rFonts w:ascii="Times New Roman" w:hAnsi="Times New Roman" w:cs="Times New Roman"/>
          <w:b/>
          <w:bCs/>
          <w:noProof/>
          <w:sz w:val="24"/>
          <w:szCs w:val="24"/>
          <w:lang w:val="fr-BE"/>
        </w:rPr>
      </w:pPr>
    </w:p>
    <w:p w:rsidR="000F7DD2" w:rsidRDefault="000F7DD2">
      <w:pPr>
        <w:spacing w:after="0" w:line="240" w:lineRule="auto"/>
        <w:rPr>
          <w:rFonts w:ascii="Times New Roman" w:hAnsi="Times New Roman" w:cs="Times New Roman"/>
          <w:b/>
          <w:bCs/>
          <w:noProof/>
          <w:sz w:val="24"/>
          <w:szCs w:val="24"/>
          <w:lang w:val="fr-BE"/>
        </w:rPr>
      </w:pPr>
    </w:p>
    <w:p w:rsidR="000F7DD2" w:rsidRDefault="00BB345B">
      <w:pPr>
        <w:rPr>
          <w:rFonts w:ascii="Times New Roman" w:hAnsi="Times New Roman" w:cs="Times New Roman"/>
          <w:b/>
          <w:bCs/>
          <w:noProof/>
          <w:sz w:val="24"/>
          <w:szCs w:val="24"/>
          <w:lang w:val="fr-BE"/>
        </w:rPr>
      </w:pPr>
      <w:r>
        <w:rPr>
          <w:noProof/>
          <w:lang w:val="fr-BE"/>
        </w:rPr>
        <w:br w:type="page"/>
      </w: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Graphique 2. Écart de taux d’emploi entre les hommes et les femmes, 2018</w:t>
      </w:r>
    </w:p>
    <w:p w:rsidR="000F7DD2" w:rsidRDefault="00BB345B">
      <w:pPr>
        <w:spacing w:line="240" w:lineRule="auto"/>
        <w:rPr>
          <w:rFonts w:ascii="Times New Roman" w:hAnsi="Times New Roman" w:cs="Times New Roman"/>
          <w:bCs/>
          <w:noProof/>
          <w:sz w:val="24"/>
          <w:szCs w:val="24"/>
          <w:lang w:val="fr-BE"/>
        </w:rPr>
      </w:pPr>
      <w:r>
        <w:rPr>
          <w:rFonts w:ascii="Times New Roman" w:hAnsi="Times New Roman"/>
          <w:bCs/>
          <w:noProof/>
          <w:lang w:val="fr-BE"/>
        </w:rPr>
        <w:t>(différence en points de pourcentage, taux d’emploi des hommes moins taux d’emploi des femmes, sur la base d’une population âgée de 20 à 64 ans,</w:t>
      </w:r>
      <w:r>
        <w:rPr>
          <w:rFonts w:ascii="Times New Roman" w:hAnsi="Times New Roman"/>
          <w:bCs/>
          <w:noProof/>
          <w:lang w:val="fr-BE"/>
        </w:rPr>
        <w:t xml:space="preserve"> par région NUTS 2)</w:t>
      </w:r>
    </w:p>
    <w:p w:rsidR="000F7DD2" w:rsidRDefault="00BB345B">
      <w:pPr>
        <w:spacing w:line="240" w:lineRule="auto"/>
        <w:rPr>
          <w:rFonts w:ascii="Times New Roman" w:hAnsi="Times New Roman" w:cs="Times New Roman"/>
          <w:b/>
          <w:noProof/>
          <w:sz w:val="24"/>
          <w:szCs w:val="24"/>
        </w:rPr>
      </w:pPr>
      <w:r>
        <w:rPr>
          <w:rFonts w:ascii="Times New Roman" w:hAnsi="Times New Roman"/>
          <w:b/>
          <w:noProof/>
          <w:lang w:val="fr-BE" w:eastAsia="fr-BE"/>
        </w:rPr>
        <w:drawing>
          <wp:inline distT="0" distB="0" distL="0" distR="0">
            <wp:extent cx="5760720" cy="4864715"/>
            <wp:effectExtent l="0" t="0" r="0" b="0"/>
            <wp:docPr id="9" name="Picture 9" descr="G:\A1\1.20.3 EES-Policy issues\1.20.3.40 Thematic Issues\Europe 2020\2019-2020\JER\Draft\Master\Maps\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1\1.20.3 EES-Policy issues\1.20.3.40 Thematic Issues\Europe 2020\2019-2020\JER\Draft\Master\Maps\eg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Remarque: l’écart de taux d’emploi entre les hommes et les femmes est défini comme la différence entre le taux d’emploi des hommes et le taux d’emploi des femmes parmi les personnes âgées de 20 à 64 ans; le taux d’emploi des hommes ét</w:t>
      </w:r>
      <w:r>
        <w:rPr>
          <w:rFonts w:ascii="Times New Roman" w:hAnsi="Times New Roman"/>
          <w:noProof/>
          <w:sz w:val="20"/>
          <w:lang w:val="fr-BE"/>
        </w:rPr>
        <w:t>ait toujours plus élevé que celui des femmes dans toutes les régions.</w:t>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Source: Eurostat (code des données en ligne: lfst_r_lfe2emprtn)</w:t>
      </w:r>
    </w:p>
    <w:p w:rsidR="000F7DD2" w:rsidRDefault="00BB345B">
      <w:pPr>
        <w:rPr>
          <w:noProof/>
          <w:lang w:val="fr-BE"/>
        </w:rPr>
      </w:pPr>
      <w:r>
        <w:rPr>
          <w:noProof/>
          <w:lang w:val="fr-BE"/>
        </w:rPr>
        <w:br w:type="page"/>
      </w: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Graphique 3. Taux de chômage, 2018</w:t>
      </w:r>
    </w:p>
    <w:p w:rsidR="000F7DD2" w:rsidRDefault="00BB345B">
      <w:pPr>
        <w:spacing w:line="240" w:lineRule="auto"/>
        <w:rPr>
          <w:rFonts w:ascii="Times New Roman" w:hAnsi="Times New Roman" w:cs="Times New Roman"/>
          <w:bCs/>
          <w:noProof/>
          <w:sz w:val="24"/>
          <w:szCs w:val="24"/>
          <w:lang w:val="fr-BE"/>
        </w:rPr>
      </w:pPr>
      <w:r>
        <w:rPr>
          <w:rFonts w:ascii="Times New Roman" w:hAnsi="Times New Roman"/>
          <w:bCs/>
          <w:noProof/>
          <w:lang w:val="fr-BE"/>
        </w:rPr>
        <w:t>(%, part de la population active âgée de 15 à 74 ans, par région NUTS 2)</w:t>
      </w:r>
    </w:p>
    <w:p w:rsidR="000F7DD2" w:rsidRDefault="00BB345B">
      <w:pPr>
        <w:spacing w:line="240" w:lineRule="auto"/>
        <w:rPr>
          <w:rFonts w:ascii="Times New Roman" w:hAnsi="Times New Roman" w:cs="Times New Roman"/>
          <w:bCs/>
          <w:noProof/>
          <w:sz w:val="24"/>
          <w:szCs w:val="24"/>
        </w:rPr>
      </w:pPr>
      <w:r>
        <w:rPr>
          <w:rFonts w:ascii="Times New Roman" w:hAnsi="Times New Roman"/>
          <w:bCs/>
          <w:noProof/>
          <w:lang w:val="fr-BE" w:eastAsia="fr-BE"/>
        </w:rPr>
        <w:drawing>
          <wp:inline distT="0" distB="0" distL="0" distR="0">
            <wp:extent cx="5760720" cy="4864715"/>
            <wp:effectExtent l="0" t="0" r="0" b="0"/>
            <wp:docPr id="10" name="Picture 10" descr="G:\A1\1.20.3 EES-Policy issues\1.20.3.40 Thematic Issues\Europe 2020\2019-2020\JER\Draft\Master\Map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1\1.20.3 EES-Policy issues\1.20.3.40 Thematic Issues\Europe 2020\2019-2020\JER\Draft\Master\Maps\u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0F7DD2" w:rsidRDefault="00BB345B">
      <w:pPr>
        <w:spacing w:line="240" w:lineRule="auto"/>
        <w:jc w:val="both"/>
        <w:rPr>
          <w:rFonts w:ascii="Times New Roman" w:hAnsi="Times New Roman" w:cs="Times New Roman"/>
          <w:noProof/>
          <w:sz w:val="20"/>
          <w:szCs w:val="24"/>
          <w:lang w:val="en-US"/>
        </w:rPr>
      </w:pPr>
      <w:r>
        <w:rPr>
          <w:rFonts w:ascii="Times New Roman" w:hAnsi="Times New Roman"/>
          <w:noProof/>
          <w:sz w:val="0"/>
          <w:szCs w:val="0"/>
          <w:u w:color="000000"/>
          <w:bdr w:val="none" w:sz="0" w:space="0" w:color="000000"/>
          <w:shd w:val="clear" w:color="000000" w:fill="000000"/>
          <w:lang w:val="en-US"/>
        </w:rPr>
        <w:t xml:space="preserve"> </w:t>
      </w:r>
      <w:r>
        <w:rPr>
          <w:rFonts w:ascii="Times New Roman" w:hAnsi="Times New Roman"/>
          <w:noProof/>
          <w:sz w:val="20"/>
          <w:lang w:val="en-US"/>
        </w:rPr>
        <w:t>Remarque:</w:t>
      </w:r>
      <w:r>
        <w:rPr>
          <w:rFonts w:ascii="Times New Roman" w:hAnsi="Times New Roman"/>
          <w:noProof/>
          <w:sz w:val="20"/>
          <w:lang w:val="en-US"/>
        </w:rPr>
        <w:t xml:space="preserve"> Corse (FRM0), Burgenland (AT11), Lubuskie (PL43), Opolskie (PL52), Cumbria (UKD1), Cornwall and Isles of Scilly (UKK3), North Eastern Scotland (UKM5) et Highlands and Islands (UKM6), fiabilité incertaine.</w:t>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Source: Eurostat (code des données en ligne: lfst_</w:t>
      </w:r>
      <w:r>
        <w:rPr>
          <w:rFonts w:ascii="Times New Roman" w:hAnsi="Times New Roman"/>
          <w:noProof/>
          <w:sz w:val="20"/>
          <w:lang w:val="fr-BE"/>
        </w:rPr>
        <w:t>r_lfu3rt)</w:t>
      </w:r>
    </w:p>
    <w:p w:rsidR="000F7DD2" w:rsidRDefault="00BB345B">
      <w:pPr>
        <w:spacing w:line="240" w:lineRule="auto"/>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BE"/>
        </w:rPr>
      </w:pPr>
      <w:r>
        <w:rPr>
          <w:noProof/>
          <w:lang w:val="fr-BE"/>
        </w:rPr>
        <w:br w:type="page"/>
      </w: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Graphique 4. Taux de chômage de longue durée (12 mois ou plus), 2018</w:t>
      </w:r>
    </w:p>
    <w:p w:rsidR="000F7DD2" w:rsidRDefault="00BB345B">
      <w:pPr>
        <w:spacing w:line="240" w:lineRule="auto"/>
        <w:rPr>
          <w:rFonts w:ascii="Times New Roman" w:hAnsi="Times New Roman" w:cs="Times New Roman"/>
          <w:bCs/>
          <w:noProof/>
          <w:sz w:val="24"/>
          <w:szCs w:val="24"/>
          <w:lang w:val="fr-BE"/>
        </w:rPr>
      </w:pPr>
      <w:r>
        <w:rPr>
          <w:rFonts w:ascii="Times New Roman" w:hAnsi="Times New Roman"/>
          <w:bCs/>
          <w:noProof/>
          <w:lang w:val="fr-BE"/>
        </w:rPr>
        <w:t>(%, part de la population active, par région NUTS 2)</w:t>
      </w:r>
    </w:p>
    <w:p w:rsidR="000F7DD2" w:rsidRDefault="00BB345B">
      <w:pPr>
        <w:spacing w:line="240" w:lineRule="auto"/>
        <w:rPr>
          <w:rFonts w:ascii="Times New Roman" w:hAnsi="Times New Roman" w:cs="Times New Roman"/>
          <w:b/>
          <w:noProof/>
          <w:sz w:val="24"/>
          <w:szCs w:val="24"/>
        </w:rPr>
      </w:pPr>
      <w:r>
        <w:rPr>
          <w:rFonts w:ascii="Times New Roman" w:hAnsi="Times New Roman"/>
          <w:b/>
          <w:noProof/>
          <w:lang w:val="fr-BE" w:eastAsia="fr-BE"/>
        </w:rPr>
        <w:drawing>
          <wp:inline distT="0" distB="0" distL="0" distR="0">
            <wp:extent cx="5760720" cy="4864715"/>
            <wp:effectExtent l="0" t="0" r="0" b="0"/>
            <wp:docPr id="11" name="Picture 11" descr="G:\A1\1.20.3 EES-Policy issues\1.20.3.40 Thematic Issues\Europe 2020\2019-2020\JER\Draft\Master\Maps\l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1\1.20.3 EES-Policy issues\1.20.3.40 Thematic Issues\Europe 2020\2019-2020\JER\Draft\Master\Maps\lt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Source: Eurostat (code des données en ligne: tgs00053)</w:t>
      </w:r>
    </w:p>
    <w:p w:rsidR="000F7DD2" w:rsidRDefault="00BB345B">
      <w:pPr>
        <w:rPr>
          <w:noProof/>
          <w:lang w:val="fr-BE"/>
        </w:rPr>
      </w:pPr>
      <w:r>
        <w:rPr>
          <w:noProof/>
          <w:lang w:val="fr-BE"/>
        </w:rPr>
        <w:br w:type="page"/>
      </w: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 xml:space="preserve">Graphique 5. Jeunes sans emploi qui ne suivent ni études ni </w:t>
      </w:r>
      <w:r>
        <w:rPr>
          <w:rFonts w:ascii="Times New Roman" w:hAnsi="Times New Roman"/>
          <w:b/>
          <w:bCs/>
          <w:noProof/>
          <w:lang w:val="fr-BE"/>
        </w:rPr>
        <w:t>formation (NEET), 2018</w:t>
      </w:r>
    </w:p>
    <w:p w:rsidR="000F7DD2" w:rsidRDefault="00BB345B">
      <w:pPr>
        <w:spacing w:line="240" w:lineRule="auto"/>
        <w:rPr>
          <w:noProof/>
          <w:lang w:val="fr-BE"/>
        </w:rPr>
      </w:pPr>
      <w:r>
        <w:rPr>
          <w:rFonts w:ascii="Times New Roman" w:hAnsi="Times New Roman"/>
          <w:bCs/>
          <w:noProof/>
          <w:lang w:val="fr-BE"/>
        </w:rPr>
        <w:t>(%, part des personnes âgées de 15 à 24 ans, par région NUTS 2)</w:t>
      </w:r>
    </w:p>
    <w:p w:rsidR="000F7DD2" w:rsidRDefault="00BB345B">
      <w:pPr>
        <w:spacing w:line="240" w:lineRule="auto"/>
        <w:rPr>
          <w:rFonts w:ascii="Times New Roman" w:hAnsi="Times New Roman" w:cs="Times New Roman"/>
          <w:bCs/>
          <w:noProof/>
          <w:sz w:val="24"/>
          <w:szCs w:val="24"/>
        </w:rPr>
      </w:pPr>
      <w:r>
        <w:rPr>
          <w:rFonts w:ascii="Times New Roman" w:hAnsi="Times New Roman"/>
          <w:bCs/>
          <w:noProof/>
          <w:lang w:val="fr-BE" w:eastAsia="fr-BE"/>
        </w:rPr>
        <w:drawing>
          <wp:inline distT="0" distB="0" distL="0" distR="0">
            <wp:extent cx="5760720" cy="4864715"/>
            <wp:effectExtent l="0" t="0" r="0" b="0"/>
            <wp:docPr id="13" name="Picture 13" descr="G:\A1\1.20.3 EES-Policy issues\1.20.3.40 Thematic Issues\Europe 2020\2019-2020\JER\Draft\Master\Maps\n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1\1.20.3 EES-Policy issues\1.20.3.40 Thematic Issues\Europe 2020\2019-2020\JER\Draft\Master\Maps\ne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Remarque: comprend des données dont la fiabilité est incertaine pour certaines régions (trop nombreuses à recenser). Rupture de séries pour toutes les régions de Polog</w:t>
      </w:r>
      <w:r>
        <w:rPr>
          <w:rFonts w:ascii="Times New Roman" w:hAnsi="Times New Roman"/>
          <w:noProof/>
          <w:sz w:val="20"/>
          <w:lang w:val="fr-BE"/>
        </w:rPr>
        <w:t>ne.</w:t>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Source: Eurostat (code des données en ligne: edat_lfse_22)</w:t>
      </w:r>
    </w:p>
    <w:p w:rsidR="000F7DD2" w:rsidRDefault="000F7DD2">
      <w:pPr>
        <w:spacing w:line="240" w:lineRule="auto"/>
        <w:rPr>
          <w:rFonts w:ascii="Times New Roman" w:hAnsi="Times New Roman" w:cs="Times New Roman"/>
          <w:b/>
          <w:noProof/>
          <w:sz w:val="24"/>
          <w:szCs w:val="24"/>
          <w:lang w:val="fr-BE"/>
        </w:rPr>
      </w:pPr>
    </w:p>
    <w:p w:rsidR="000F7DD2" w:rsidRDefault="000F7DD2">
      <w:pPr>
        <w:spacing w:line="240" w:lineRule="auto"/>
        <w:jc w:val="both"/>
        <w:rPr>
          <w:rFonts w:ascii="Times New Roman" w:hAnsi="Times New Roman" w:cs="Times New Roman"/>
          <w:b/>
          <w:noProof/>
          <w:sz w:val="24"/>
          <w:szCs w:val="24"/>
          <w:lang w:val="fr-BE"/>
        </w:rPr>
      </w:pPr>
    </w:p>
    <w:p w:rsidR="000F7DD2" w:rsidRDefault="00BB345B">
      <w:pPr>
        <w:rPr>
          <w:rFonts w:ascii="Times New Roman" w:hAnsi="Times New Roman" w:cs="Times New Roman"/>
          <w:b/>
          <w:bCs/>
          <w:noProof/>
          <w:sz w:val="24"/>
          <w:szCs w:val="24"/>
          <w:lang w:val="fr-BE"/>
        </w:rPr>
      </w:pPr>
      <w:r>
        <w:rPr>
          <w:noProof/>
          <w:lang w:val="fr-BE"/>
        </w:rPr>
        <w:br w:type="page"/>
      </w: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Graphique 6. Jeunes ayant quitté prématurément le système d’éducation et de formation, 2018</w:t>
      </w:r>
    </w:p>
    <w:p w:rsidR="000F7DD2" w:rsidRDefault="00BB345B">
      <w:pPr>
        <w:spacing w:line="240" w:lineRule="auto"/>
        <w:jc w:val="both"/>
        <w:rPr>
          <w:rFonts w:ascii="Times New Roman" w:hAnsi="Times New Roman" w:cs="Times New Roman"/>
          <w:b/>
          <w:noProof/>
          <w:sz w:val="24"/>
          <w:szCs w:val="24"/>
          <w:lang w:val="fr-BE"/>
        </w:rPr>
      </w:pPr>
      <w:r>
        <w:rPr>
          <w:rFonts w:ascii="Times New Roman" w:hAnsi="Times New Roman"/>
          <w:bCs/>
          <w:noProof/>
          <w:lang w:val="fr-BE"/>
        </w:rPr>
        <w:t>(%, part des personnes âgées de 18 à 24 ans, par régions NUTS 2)</w:t>
      </w:r>
    </w:p>
    <w:p w:rsidR="000F7DD2" w:rsidRDefault="00BB345B">
      <w:pPr>
        <w:spacing w:line="240" w:lineRule="auto"/>
        <w:rPr>
          <w:rFonts w:ascii="Times New Roman" w:hAnsi="Times New Roman" w:cs="Times New Roman"/>
          <w:b/>
          <w:noProof/>
          <w:sz w:val="24"/>
          <w:szCs w:val="24"/>
        </w:rPr>
      </w:pPr>
      <w:r>
        <w:rPr>
          <w:rFonts w:ascii="Times New Roman" w:hAnsi="Times New Roman"/>
          <w:b/>
          <w:noProof/>
          <w:lang w:val="fr-BE" w:eastAsia="fr-BE"/>
        </w:rPr>
        <w:drawing>
          <wp:inline distT="0" distB="0" distL="0" distR="0">
            <wp:extent cx="5760720" cy="4864715"/>
            <wp:effectExtent l="0" t="0" r="0" b="0"/>
            <wp:docPr id="14" name="Picture 14" descr="G:\A1\1.20.3 EES-Policy issues\1.20.3.40 Thematic Issues\Europe 2020\2019-2020\JER\Draft\Master\Maps\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1\1.20.3 EES-Policy issues\1.20.3.40 Thematic Issues\Europe 2020\2019-2020\JER\Draft\Master\Maps\es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0F7DD2" w:rsidRDefault="00BB345B">
      <w:pPr>
        <w:spacing w:line="240" w:lineRule="auto"/>
        <w:jc w:val="both"/>
        <w:rPr>
          <w:rFonts w:ascii="Times New Roman" w:hAnsi="Times New Roman" w:cs="Times New Roman"/>
          <w:noProof/>
          <w:sz w:val="20"/>
          <w:szCs w:val="24"/>
          <w:lang w:val="en-US"/>
        </w:rPr>
      </w:pPr>
      <w:r>
        <w:rPr>
          <w:rFonts w:ascii="Times New Roman" w:hAnsi="Times New Roman"/>
          <w:noProof/>
          <w:sz w:val="20"/>
          <w:lang w:val="fr-BE"/>
        </w:rPr>
        <w:t xml:space="preserve">Remarque: comprend des données dont la fiabilité est incertaine pour certaines régions (trop nombreuses à recenser) Austria, Makroregion Poludniowo-Zachodni (PL5), Makroregion Centralny (PL7), Makroregion Wschodni (PL8), London (UKI), South West (England) </w:t>
      </w:r>
      <w:r>
        <w:rPr>
          <w:rFonts w:ascii="Times New Roman" w:hAnsi="Times New Roman"/>
          <w:noProof/>
          <w:sz w:val="20"/>
          <w:lang w:val="fr-BE"/>
        </w:rPr>
        <w:t xml:space="preserve">(UKK): niveau NUTS 1. </w:t>
      </w:r>
      <w:r>
        <w:rPr>
          <w:rFonts w:ascii="Times New Roman" w:hAnsi="Times New Roman"/>
          <w:noProof/>
          <w:sz w:val="20"/>
          <w:lang w:val="en-US"/>
        </w:rPr>
        <w:t xml:space="preserve">Dresden (DED2), Voreio Aigaio (EL41), Notio Aigaio (EL42), Peloponissos (EL65), Małopolskie (PL21), North Yorkshire (UKE2), North Eastern Scotland (UKM5): 2017. Trier (DEB2), Thessalia (EL61), Região Autónoma de Madeira (PT30): 2016. </w:t>
      </w:r>
      <w:r>
        <w:rPr>
          <w:rFonts w:ascii="Times New Roman" w:hAnsi="Times New Roman"/>
          <w:noProof/>
          <w:sz w:val="20"/>
          <w:lang w:val="en-US"/>
        </w:rPr>
        <w:t>Prov. Luxembourg (BE34), Dytiki Makedonia (EL53), Warszawski stołeczny (PL91) et Highlands and Islands (UKM6): 2015.</w:t>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Source: Eurostat (code des données en ligne: edat_lfse_16)</w:t>
      </w:r>
    </w:p>
    <w:p w:rsidR="000F7DD2" w:rsidRDefault="00BB345B">
      <w:pPr>
        <w:spacing w:line="240" w:lineRule="auto"/>
        <w:rPr>
          <w:rFonts w:ascii="Times New Roman" w:hAnsi="Times New Roman" w:cs="Times New Roman"/>
          <w:b/>
          <w:noProof/>
          <w:sz w:val="24"/>
          <w:szCs w:val="24"/>
          <w:lang w:val="fr-BE"/>
        </w:rPr>
      </w:pPr>
      <w:r>
        <w:rPr>
          <w:noProof/>
          <w:lang w:val="fr-BE"/>
        </w:rPr>
        <w:br w:type="page"/>
      </w: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Graphique 7. Personnes menacées de pauvreté ou d’exclusion sociale, 2018</w:t>
      </w:r>
    </w:p>
    <w:p w:rsidR="000F7DD2" w:rsidRDefault="00BB345B">
      <w:pPr>
        <w:spacing w:line="240" w:lineRule="auto"/>
        <w:jc w:val="both"/>
        <w:rPr>
          <w:rFonts w:ascii="Times New Roman" w:hAnsi="Times New Roman" w:cs="Times New Roman"/>
          <w:b/>
          <w:noProof/>
          <w:sz w:val="24"/>
          <w:szCs w:val="24"/>
        </w:rPr>
      </w:pPr>
      <w:r>
        <w:rPr>
          <w:rFonts w:ascii="Times New Roman" w:hAnsi="Times New Roman"/>
          <w:bCs/>
          <w:noProof/>
        </w:rPr>
        <w:t>(%, p</w:t>
      </w:r>
      <w:r>
        <w:rPr>
          <w:rFonts w:ascii="Times New Roman" w:hAnsi="Times New Roman"/>
          <w:bCs/>
          <w:noProof/>
        </w:rPr>
        <w:t>ar région NUTS 2)</w:t>
      </w:r>
    </w:p>
    <w:p w:rsidR="000F7DD2" w:rsidRDefault="00BB345B">
      <w:pPr>
        <w:spacing w:line="240" w:lineRule="auto"/>
        <w:rPr>
          <w:noProof/>
        </w:rPr>
      </w:pPr>
      <w:r>
        <w:rPr>
          <w:noProof/>
          <w:lang w:val="fr-BE" w:eastAsia="fr-BE"/>
        </w:rPr>
        <w:drawing>
          <wp:inline distT="0" distB="0" distL="0" distR="0">
            <wp:extent cx="5760720" cy="4863274"/>
            <wp:effectExtent l="0" t="0" r="0" b="0"/>
            <wp:docPr id="15" name="Picture 15" descr="G:\A1\1.20.3 EES-Policy issues\1.20.3.40 Thematic Issues\Europe 2020\2019-2020\JER\Draft\Master\Maps\A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1\1.20.3 EES-Policy issues\1.20.3.40 Thematic Issues\Europe 2020\2019-2020\JER\Draft\Master\Maps\AROP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863274"/>
                    </a:xfrm>
                    <a:prstGeom prst="rect">
                      <a:avLst/>
                    </a:prstGeom>
                    <a:noFill/>
                    <a:ln>
                      <a:noFill/>
                    </a:ln>
                  </pic:spPr>
                </pic:pic>
              </a:graphicData>
            </a:graphic>
          </wp:inline>
        </w:drawing>
      </w:r>
    </w:p>
    <w:p w:rsidR="000F7DD2" w:rsidRDefault="00BB345B">
      <w:pPr>
        <w:spacing w:line="240" w:lineRule="auto"/>
        <w:jc w:val="both"/>
        <w:rPr>
          <w:rFonts w:ascii="Times New Roman" w:hAnsi="Times New Roman" w:cs="Times New Roman"/>
          <w:noProof/>
          <w:sz w:val="20"/>
          <w:szCs w:val="24"/>
          <w:lang w:val="fr-BE"/>
        </w:rPr>
      </w:pPr>
      <w:r>
        <w:rPr>
          <w:rFonts w:ascii="Times New Roman" w:hAnsi="Times New Roman"/>
          <w:noProof/>
          <w:sz w:val="20"/>
          <w:lang w:val="fr-BE"/>
        </w:rPr>
        <w:t>Remarque: Belgique, France, Lituanie, Pologne, Portugal, Finlande et Royaume-Uni: données nationales. Allemagne, Estonie, Irlande, Grèce, Autriche, Slovaquie et Royaume-Uni: 2017.</w:t>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 xml:space="preserve">Source: Eurostat (code des données en ligne: ilc_peps11 </w:t>
      </w:r>
      <w:r>
        <w:rPr>
          <w:rFonts w:ascii="Times New Roman" w:hAnsi="Times New Roman"/>
          <w:noProof/>
          <w:sz w:val="20"/>
          <w:lang w:val="fr-BE"/>
        </w:rPr>
        <w:t>and ilc_peps01)</w:t>
      </w:r>
    </w:p>
    <w:p w:rsidR="000F7DD2" w:rsidRDefault="00BB345B">
      <w:pPr>
        <w:rPr>
          <w:noProof/>
          <w:lang w:val="fr-BE"/>
        </w:rPr>
      </w:pPr>
      <w:r>
        <w:rPr>
          <w:noProof/>
          <w:lang w:val="fr-BE"/>
        </w:rPr>
        <w:br w:type="page"/>
      </w: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Graphique 8. Incidence des transferts sociaux (autres que les pensions) sur la réduction de la pauvreté, 2018</w:t>
      </w:r>
    </w:p>
    <w:p w:rsidR="000F7DD2" w:rsidRDefault="00BB345B">
      <w:pPr>
        <w:spacing w:line="240" w:lineRule="auto"/>
        <w:jc w:val="both"/>
        <w:rPr>
          <w:rFonts w:ascii="Times New Roman" w:hAnsi="Times New Roman" w:cs="Times New Roman"/>
          <w:b/>
          <w:noProof/>
          <w:sz w:val="24"/>
          <w:szCs w:val="24"/>
        </w:rPr>
      </w:pPr>
      <w:r>
        <w:rPr>
          <w:rFonts w:ascii="Times New Roman" w:hAnsi="Times New Roman"/>
          <w:bCs/>
          <w:noProof/>
        </w:rPr>
        <w:t>(%, par région NUTS 2)</w:t>
      </w:r>
    </w:p>
    <w:p w:rsidR="000F7DD2" w:rsidRDefault="00BB345B">
      <w:pPr>
        <w:spacing w:line="240" w:lineRule="auto"/>
        <w:jc w:val="center"/>
        <w:rPr>
          <w:rFonts w:ascii="Times New Roman" w:hAnsi="Times New Roman" w:cs="Times New Roman"/>
          <w:noProof/>
          <w:sz w:val="20"/>
          <w:szCs w:val="24"/>
        </w:rPr>
      </w:pPr>
      <w:r>
        <w:rPr>
          <w:rFonts w:ascii="Times New Roman" w:hAnsi="Times New Roman"/>
          <w:noProof/>
          <w:sz w:val="20"/>
          <w:lang w:val="fr-BE" w:eastAsia="fr-BE"/>
        </w:rPr>
        <w:drawing>
          <wp:inline distT="0" distB="0" distL="0" distR="0">
            <wp:extent cx="3982427" cy="47657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jpg"/>
                    <pic:cNvPicPr/>
                  </pic:nvPicPr>
                  <pic:blipFill rotWithShape="1">
                    <a:blip r:embed="rId22">
                      <a:extLst>
                        <a:ext uri="{28A0092B-C50C-407E-A947-70E740481C1C}">
                          <a14:useLocalDpi xmlns:a14="http://schemas.microsoft.com/office/drawing/2010/main" val="0"/>
                        </a:ext>
                      </a:extLst>
                    </a:blip>
                    <a:srcRect r="26956"/>
                    <a:stretch/>
                  </pic:blipFill>
                  <pic:spPr bwMode="auto">
                    <a:xfrm>
                      <a:off x="0" y="0"/>
                      <a:ext cx="3986520" cy="4770676"/>
                    </a:xfrm>
                    <a:prstGeom prst="rect">
                      <a:avLst/>
                    </a:prstGeom>
                    <a:ln>
                      <a:noFill/>
                    </a:ln>
                    <a:extLst>
                      <a:ext uri="{53640926-AAD7-44D8-BBD7-CCE9431645EC}">
                        <a14:shadowObscured xmlns:a14="http://schemas.microsoft.com/office/drawing/2010/main"/>
                      </a:ext>
                    </a:extLst>
                  </pic:spPr>
                </pic:pic>
              </a:graphicData>
            </a:graphic>
          </wp:inline>
        </w:drawing>
      </w:r>
    </w:p>
    <w:p w:rsidR="000F7DD2" w:rsidRDefault="00BB345B">
      <w:pPr>
        <w:spacing w:line="240" w:lineRule="auto"/>
        <w:jc w:val="both"/>
        <w:rPr>
          <w:rFonts w:ascii="Times New Roman" w:hAnsi="Times New Roman" w:cs="Times New Roman"/>
          <w:noProof/>
          <w:sz w:val="20"/>
          <w:szCs w:val="24"/>
          <w:lang w:val="fr-BE"/>
        </w:rPr>
      </w:pPr>
      <w:r>
        <w:rPr>
          <w:rFonts w:ascii="Times New Roman" w:hAnsi="Times New Roman"/>
          <w:noProof/>
          <w:sz w:val="20"/>
          <w:lang w:val="fr-BE"/>
        </w:rPr>
        <w:t>Remarque: Belgique, Bulgarie, Tchéquie, Allemagne, Espagne, France, Lituanie, Hongrie, Pologne, Portuga</w:t>
      </w:r>
      <w:r>
        <w:rPr>
          <w:rFonts w:ascii="Times New Roman" w:hAnsi="Times New Roman"/>
          <w:noProof/>
          <w:sz w:val="20"/>
          <w:lang w:val="fr-BE"/>
        </w:rPr>
        <w:t>l et Suède: données nationales. Danemark, Slovénie et Finlande: 2017. Autriche: 2017, estimations; Burgenland (AT11): fiabilité incertaine. Irlande: provisoire.</w:t>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Source: Eurostat (code des données en ligne: tespm050_r)</w:t>
      </w:r>
    </w:p>
    <w:p w:rsidR="000F7DD2" w:rsidRDefault="00BB345B">
      <w:pPr>
        <w:spacing w:after="0" w:line="240" w:lineRule="auto"/>
        <w:rPr>
          <w:rFonts w:ascii="Times New Roman" w:hAnsi="Times New Roman" w:cs="Times New Roman"/>
          <w:b/>
          <w:bCs/>
          <w:noProof/>
          <w:sz w:val="24"/>
          <w:szCs w:val="24"/>
          <w:lang w:val="fr-BE"/>
        </w:rPr>
      </w:pPr>
      <w:r>
        <w:rPr>
          <w:noProof/>
          <w:lang w:val="fr-BE"/>
        </w:rPr>
        <w:br w:type="page"/>
      </w:r>
      <w:r>
        <w:rPr>
          <w:rFonts w:ascii="Times New Roman" w:hAnsi="Times New Roman"/>
          <w:b/>
          <w:bCs/>
          <w:noProof/>
          <w:lang w:val="fr-BE"/>
        </w:rPr>
        <w:t>Graphique 9. Besoins d’examens médica</w:t>
      </w:r>
      <w:r>
        <w:rPr>
          <w:rFonts w:ascii="Times New Roman" w:hAnsi="Times New Roman"/>
          <w:b/>
          <w:bCs/>
          <w:noProof/>
          <w:lang w:val="fr-BE"/>
        </w:rPr>
        <w:t>ux non satisfaits déclarés par l’intéressé, 2018</w:t>
      </w:r>
    </w:p>
    <w:p w:rsidR="000F7DD2" w:rsidRDefault="00BB345B">
      <w:pPr>
        <w:spacing w:line="240" w:lineRule="auto"/>
        <w:jc w:val="both"/>
        <w:rPr>
          <w:rFonts w:ascii="Times New Roman" w:hAnsi="Times New Roman" w:cs="Times New Roman"/>
          <w:bCs/>
          <w:noProof/>
          <w:sz w:val="24"/>
          <w:szCs w:val="24"/>
          <w:lang w:val="fr-BE"/>
        </w:rPr>
      </w:pPr>
      <w:r>
        <w:rPr>
          <w:rFonts w:ascii="Times New Roman" w:hAnsi="Times New Roman"/>
          <w:bCs/>
          <w:noProof/>
          <w:lang w:val="fr-BE"/>
        </w:rPr>
        <w:t>(en %, besoins non satisfaits déclarés par l'intéressé invoquant des «raisons financières», une «liste d’attente» ou une «distance excessive», régions NUTS 2)</w:t>
      </w:r>
    </w:p>
    <w:p w:rsidR="000F7DD2" w:rsidRDefault="00BB345B">
      <w:pPr>
        <w:jc w:val="center"/>
        <w:rPr>
          <w:noProof/>
        </w:rPr>
      </w:pPr>
      <w:r>
        <w:rPr>
          <w:noProof/>
          <w:lang w:val="fr-BE" w:eastAsia="fr-BE"/>
        </w:rPr>
        <w:drawing>
          <wp:inline distT="0" distB="0" distL="0" distR="0">
            <wp:extent cx="4077645" cy="5010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met needs.jpg"/>
                    <pic:cNvPicPr/>
                  </pic:nvPicPr>
                  <pic:blipFill rotWithShape="1">
                    <a:blip r:embed="rId23">
                      <a:extLst>
                        <a:ext uri="{28A0092B-C50C-407E-A947-70E740481C1C}">
                          <a14:useLocalDpi xmlns:a14="http://schemas.microsoft.com/office/drawing/2010/main" val="0"/>
                        </a:ext>
                      </a:extLst>
                    </a:blip>
                    <a:srcRect r="47302"/>
                    <a:stretch/>
                  </pic:blipFill>
                  <pic:spPr bwMode="auto">
                    <a:xfrm>
                      <a:off x="0" y="0"/>
                      <a:ext cx="4097439" cy="5035236"/>
                    </a:xfrm>
                    <a:prstGeom prst="rect">
                      <a:avLst/>
                    </a:prstGeom>
                    <a:ln>
                      <a:noFill/>
                    </a:ln>
                    <a:extLst>
                      <a:ext uri="{53640926-AAD7-44D8-BBD7-CCE9431645EC}">
                        <a14:shadowObscured xmlns:a14="http://schemas.microsoft.com/office/drawing/2010/main"/>
                      </a:ext>
                    </a:extLst>
                  </pic:spPr>
                </pic:pic>
              </a:graphicData>
            </a:graphic>
          </wp:inline>
        </w:drawing>
      </w:r>
    </w:p>
    <w:p w:rsidR="000F7DD2" w:rsidRDefault="00BB345B">
      <w:pPr>
        <w:spacing w:line="240" w:lineRule="auto"/>
        <w:jc w:val="both"/>
        <w:rPr>
          <w:rFonts w:ascii="Times New Roman" w:hAnsi="Times New Roman" w:cs="Times New Roman"/>
          <w:noProof/>
          <w:sz w:val="20"/>
          <w:szCs w:val="24"/>
          <w:lang w:val="fr-BE"/>
        </w:rPr>
      </w:pPr>
      <w:r>
        <w:rPr>
          <w:rFonts w:ascii="Times New Roman" w:hAnsi="Times New Roman"/>
          <w:noProof/>
          <w:sz w:val="20"/>
          <w:lang w:val="fr-BE"/>
        </w:rPr>
        <w:t xml:space="preserve">Remarque: Pays-Bas et Pologne: niveau NUTS 1. </w:t>
      </w:r>
      <w:r>
        <w:rPr>
          <w:rFonts w:ascii="Times New Roman" w:hAnsi="Times New Roman"/>
          <w:noProof/>
          <w:sz w:val="20"/>
          <w:lang w:val="fr-BE"/>
        </w:rPr>
        <w:t>Belgique, Allemagne, France, Lituanie, Autriche et Portugal: données nationales. Royaume-Uni: données nationales, provisoires.</w:t>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Source: Eurostat (codes des données en ligne: hlth_silc_08_r and tespm110)</w:t>
      </w:r>
    </w:p>
    <w:p w:rsidR="000F7DD2" w:rsidRDefault="00BB345B">
      <w:pPr>
        <w:rPr>
          <w:rFonts w:ascii="Times New Roman" w:eastAsia="Calibri" w:hAnsi="Times New Roman" w:cs="Times New Roman"/>
          <w:b/>
          <w:noProof/>
          <w:sz w:val="24"/>
          <w:szCs w:val="24"/>
          <w:lang w:val="fr-BE"/>
        </w:rPr>
      </w:pPr>
      <w:r>
        <w:rPr>
          <w:noProof/>
          <w:lang w:val="fr-BE"/>
        </w:rPr>
        <w:br w:type="page"/>
      </w:r>
    </w:p>
    <w:p w:rsidR="000F7DD2" w:rsidRDefault="00BB345B">
      <w:pPr>
        <w:spacing w:after="0" w:line="240" w:lineRule="auto"/>
        <w:rPr>
          <w:rFonts w:ascii="Times New Roman" w:hAnsi="Times New Roman" w:cs="Times New Roman"/>
          <w:b/>
          <w:bCs/>
          <w:noProof/>
          <w:sz w:val="24"/>
          <w:szCs w:val="24"/>
          <w:lang w:val="fr-BE"/>
        </w:rPr>
      </w:pPr>
      <w:r>
        <w:rPr>
          <w:rFonts w:ascii="Times New Roman" w:hAnsi="Times New Roman"/>
          <w:b/>
          <w:bCs/>
          <w:noProof/>
          <w:lang w:val="fr-BE"/>
        </w:rPr>
        <w:t>Graphique 10. Rapport interquintile de revenu, 2017</w:t>
      </w:r>
    </w:p>
    <w:p w:rsidR="000F7DD2" w:rsidRDefault="00BB345B">
      <w:pPr>
        <w:spacing w:line="240" w:lineRule="auto"/>
        <w:jc w:val="both"/>
        <w:rPr>
          <w:rFonts w:ascii="Times New Roman" w:hAnsi="Times New Roman" w:cs="Times New Roman"/>
          <w:bCs/>
          <w:noProof/>
          <w:sz w:val="24"/>
          <w:szCs w:val="24"/>
        </w:rPr>
      </w:pPr>
      <w:r>
        <w:rPr>
          <w:rFonts w:ascii="Times New Roman" w:hAnsi="Times New Roman"/>
          <w:bCs/>
          <w:noProof/>
        </w:rPr>
        <w:t>(indice, par région NUTS 2)</w:t>
      </w:r>
    </w:p>
    <w:p w:rsidR="000F7DD2" w:rsidRDefault="00BB345B">
      <w:pPr>
        <w:spacing w:line="240" w:lineRule="auto"/>
        <w:jc w:val="center"/>
        <w:rPr>
          <w:rFonts w:ascii="Times New Roman" w:eastAsia="Calibri" w:hAnsi="Times New Roman" w:cs="Times New Roman"/>
          <w:b/>
          <w:noProof/>
          <w:sz w:val="24"/>
          <w:szCs w:val="24"/>
        </w:rPr>
      </w:pPr>
      <w:r>
        <w:rPr>
          <w:rFonts w:ascii="Times New Roman" w:hAnsi="Times New Roman"/>
          <w:b/>
          <w:noProof/>
          <w:lang w:val="fr-BE" w:eastAsia="fr-BE"/>
        </w:rPr>
        <w:drawing>
          <wp:inline distT="0" distB="0" distL="0" distR="0">
            <wp:extent cx="3994099" cy="4945445"/>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80S20.jpg"/>
                    <pic:cNvPicPr/>
                  </pic:nvPicPr>
                  <pic:blipFill rotWithShape="1">
                    <a:blip r:embed="rId24">
                      <a:extLst>
                        <a:ext uri="{28A0092B-C50C-407E-A947-70E740481C1C}">
                          <a14:useLocalDpi xmlns:a14="http://schemas.microsoft.com/office/drawing/2010/main" val="0"/>
                        </a:ext>
                      </a:extLst>
                    </a:blip>
                    <a:srcRect r="47556"/>
                    <a:stretch/>
                  </pic:blipFill>
                  <pic:spPr bwMode="auto">
                    <a:xfrm>
                      <a:off x="0" y="0"/>
                      <a:ext cx="4005625" cy="4959716"/>
                    </a:xfrm>
                    <a:prstGeom prst="rect">
                      <a:avLst/>
                    </a:prstGeom>
                    <a:ln>
                      <a:noFill/>
                    </a:ln>
                    <a:extLst>
                      <a:ext uri="{53640926-AAD7-44D8-BBD7-CCE9431645EC}">
                        <a14:shadowObscured xmlns:a14="http://schemas.microsoft.com/office/drawing/2010/main"/>
                      </a:ext>
                    </a:extLst>
                  </pic:spPr>
                </pic:pic>
              </a:graphicData>
            </a:graphic>
          </wp:inline>
        </w:drawing>
      </w:r>
    </w:p>
    <w:p w:rsidR="000F7DD2" w:rsidRDefault="00BB345B">
      <w:pPr>
        <w:spacing w:line="240" w:lineRule="auto"/>
        <w:jc w:val="both"/>
        <w:rPr>
          <w:rFonts w:ascii="Times New Roman" w:hAnsi="Times New Roman" w:cs="Times New Roman"/>
          <w:noProof/>
          <w:sz w:val="20"/>
          <w:szCs w:val="24"/>
          <w:lang w:val="fr-BE"/>
        </w:rPr>
      </w:pPr>
      <w:r>
        <w:rPr>
          <w:rFonts w:ascii="Times New Roman" w:hAnsi="Times New Roman"/>
          <w:noProof/>
          <w:sz w:val="20"/>
          <w:lang w:val="fr-BE"/>
        </w:rPr>
        <w:t>Remarque: Grèce: niveau NUTS 1. Belgique, Bulgarie, Tchéquie, Allemagne, Espagne, France, Lituanie, Hongrie, Autriche, Pologne, Portugal, Slovénie, Suède et Royaume-Uni: données nationales. Irlande: 2018, provisoire. Pays-Bas:</w:t>
      </w:r>
      <w:r>
        <w:rPr>
          <w:rFonts w:ascii="Times New Roman" w:hAnsi="Times New Roman"/>
          <w:noProof/>
          <w:sz w:val="20"/>
          <w:lang w:val="fr-BE"/>
        </w:rPr>
        <w:t xml:space="preserve"> 2018.</w:t>
      </w:r>
    </w:p>
    <w:p w:rsidR="000F7DD2" w:rsidRDefault="00BB345B">
      <w:pPr>
        <w:spacing w:line="240" w:lineRule="auto"/>
        <w:rPr>
          <w:rFonts w:ascii="Times New Roman" w:hAnsi="Times New Roman" w:cs="Times New Roman"/>
          <w:noProof/>
          <w:sz w:val="20"/>
          <w:szCs w:val="24"/>
          <w:lang w:val="fr-BE"/>
        </w:rPr>
      </w:pPr>
      <w:r>
        <w:rPr>
          <w:rFonts w:ascii="Times New Roman" w:hAnsi="Times New Roman"/>
          <w:noProof/>
          <w:sz w:val="20"/>
          <w:lang w:val="fr-BE"/>
        </w:rPr>
        <w:t>Source: Eurostat (codes des données en ligne: ilc_di11_r and ilc_di11)</w:t>
      </w:r>
    </w:p>
    <w:p w:rsidR="000F7DD2" w:rsidRDefault="000F7DD2">
      <w:pPr>
        <w:jc w:val="both"/>
        <w:rPr>
          <w:rFonts w:ascii="Times New Roman" w:eastAsia="Calibri" w:hAnsi="Times New Roman" w:cs="Times New Roman"/>
          <w:b/>
          <w:noProof/>
          <w:sz w:val="24"/>
          <w:szCs w:val="24"/>
          <w:lang w:val="fr-BE"/>
        </w:rPr>
      </w:pPr>
    </w:p>
    <w:p w:rsidR="000F7DD2" w:rsidRDefault="00BB345B">
      <w:pPr>
        <w:rPr>
          <w:rFonts w:ascii="Times New Roman" w:eastAsia="Calibri" w:hAnsi="Times New Roman" w:cs="Times New Roman"/>
          <w:b/>
          <w:noProof/>
          <w:sz w:val="24"/>
          <w:szCs w:val="24"/>
          <w:lang w:val="fr-BE"/>
        </w:rPr>
      </w:pPr>
      <w:r>
        <w:rPr>
          <w:noProof/>
          <w:lang w:val="fr-BE"/>
        </w:rPr>
        <w:br w:type="page"/>
      </w:r>
    </w:p>
    <w:p w:rsidR="000F7DD2" w:rsidRDefault="00BB345B">
      <w:pPr>
        <w:jc w:val="both"/>
        <w:rPr>
          <w:rFonts w:ascii="Times New Roman" w:eastAsia="Calibri" w:hAnsi="Times New Roman" w:cs="Times New Roman"/>
          <w:b/>
          <w:noProof/>
          <w:sz w:val="24"/>
          <w:szCs w:val="24"/>
          <w:lang w:val="fr-BE"/>
        </w:rPr>
      </w:pPr>
      <w:r>
        <w:rPr>
          <w:rFonts w:ascii="Times New Roman" w:hAnsi="Times New Roman"/>
          <w:b/>
          <w:noProof/>
          <w:lang w:val="fr-BE"/>
        </w:rPr>
        <w:t xml:space="preserve">Annexe 4. Note méthodologique sur la détermination des tendances et des niveaux dans le tableau de bord </w:t>
      </w:r>
    </w:p>
    <w:p w:rsidR="000F7DD2" w:rsidRDefault="00BB345B">
      <w:pPr>
        <w:jc w:val="both"/>
        <w:rPr>
          <w:rFonts w:cs="Times New Roman"/>
          <w:noProof/>
          <w:sz w:val="20"/>
          <w:szCs w:val="20"/>
          <w:lang w:val="fr-BE"/>
        </w:rPr>
      </w:pPr>
      <w:r>
        <w:rPr>
          <w:rFonts w:ascii="Times New Roman" w:hAnsi="Times New Roman"/>
          <w:noProof/>
          <w:sz w:val="20"/>
          <w:szCs w:val="20"/>
          <w:lang w:val="fr-BE"/>
        </w:rPr>
        <w:t xml:space="preserve">À la mi-2015, la Commission européenne, le Comité de l’emploi et le </w:t>
      </w:r>
      <w:r>
        <w:rPr>
          <w:rFonts w:ascii="Times New Roman" w:hAnsi="Times New Roman"/>
          <w:noProof/>
          <w:sz w:val="20"/>
          <w:szCs w:val="20"/>
          <w:lang w:val="fr-BE"/>
        </w:rPr>
        <w:t>Comité de la protection sociale ont convenu d’une méthodologie pour évaluer les performances de chaque État membre sur la base du tableau de bord des indicateurs clés en matière sociale et d’emploi. Dans le cadre de l’accord, la méthodologie devait fournir</w:t>
      </w:r>
      <w:r>
        <w:rPr>
          <w:rFonts w:ascii="Times New Roman" w:hAnsi="Times New Roman"/>
          <w:noProof/>
          <w:sz w:val="20"/>
          <w:szCs w:val="20"/>
          <w:lang w:val="fr-BE"/>
        </w:rPr>
        <w:t>, pour chaque indicateur, une mesure de la position relative de chaque État membre dans la répartition des valeurs de l’indicateur pour l’UE. La méthodologie est appliquée tant aux niveaux annuels (les niveaux) qu’aux variations sur l’espace d’une année (l</w:t>
      </w:r>
      <w:r>
        <w:rPr>
          <w:rFonts w:ascii="Times New Roman" w:hAnsi="Times New Roman"/>
          <w:noProof/>
          <w:sz w:val="20"/>
          <w:szCs w:val="20"/>
          <w:lang w:val="fr-BE"/>
        </w:rPr>
        <w:t>es variations) et permet ainsi de réaliser une évaluation globale de la performance de l’État membre concerné</w:t>
      </w:r>
      <w:r>
        <w:rPr>
          <w:rStyle w:val="FootnoteReference"/>
          <w:rFonts w:cs="Times New Roman"/>
          <w:noProof/>
          <w:sz w:val="20"/>
          <w:szCs w:val="20"/>
        </w:rPr>
        <w:footnoteReference w:id="1"/>
      </w:r>
      <w:r>
        <w:rPr>
          <w:rFonts w:ascii="Times New Roman" w:hAnsi="Times New Roman"/>
          <w:noProof/>
          <w:sz w:val="20"/>
          <w:szCs w:val="20"/>
          <w:lang w:val="fr-BE"/>
        </w:rPr>
        <w:t xml:space="preserve">. </w:t>
      </w:r>
    </w:p>
    <w:p w:rsidR="000F7DD2" w:rsidRDefault="00BB345B">
      <w:pPr>
        <w:jc w:val="both"/>
        <w:rPr>
          <w:rFonts w:cs="Times New Roman"/>
          <w:noProof/>
          <w:sz w:val="20"/>
          <w:szCs w:val="20"/>
          <w:lang w:val="fr-BE"/>
        </w:rPr>
      </w:pPr>
      <w:r>
        <w:rPr>
          <w:rFonts w:ascii="Times New Roman" w:hAnsi="Times New Roman"/>
          <w:noProof/>
          <w:sz w:val="20"/>
          <w:szCs w:val="20"/>
          <w:lang w:val="fr-BE"/>
        </w:rPr>
        <w:t>En 2017, la Commission a décidé, en accord avec le Comité de l’emploi et le Comité de la protection sociale, d’appliquer la méthodologie au tab</w:t>
      </w:r>
      <w:r>
        <w:rPr>
          <w:rFonts w:ascii="Times New Roman" w:hAnsi="Times New Roman"/>
          <w:noProof/>
          <w:sz w:val="20"/>
          <w:szCs w:val="20"/>
          <w:lang w:val="fr-BE"/>
        </w:rPr>
        <w:t>leau de bord social qui accompagne le socle européen des droits sociaux.</w:t>
      </w:r>
    </w:p>
    <w:p w:rsidR="000F7DD2" w:rsidRDefault="00BB345B">
      <w:pPr>
        <w:jc w:val="both"/>
        <w:rPr>
          <w:rFonts w:ascii="Times New Roman" w:hAnsi="Times New Roman" w:cs="Times New Roman"/>
          <w:noProof/>
          <w:sz w:val="20"/>
          <w:lang w:val="fr-BE"/>
        </w:rPr>
      </w:pPr>
      <w:r>
        <w:rPr>
          <w:rFonts w:ascii="Times New Roman" w:hAnsi="Times New Roman"/>
          <w:noProof/>
          <w:sz w:val="20"/>
          <w:szCs w:val="20"/>
          <w:lang w:val="fr-BE"/>
        </w:rPr>
        <w:t>Pour chaque indicateur, les niveaux et les variations sont convertis en cotes normalisées (également dénommées «cotes z») de façon à appliquer un seul et même étalon à tous les indica</w:t>
      </w:r>
      <w:r>
        <w:rPr>
          <w:rFonts w:ascii="Times New Roman" w:hAnsi="Times New Roman"/>
          <w:noProof/>
          <w:sz w:val="20"/>
          <w:szCs w:val="20"/>
          <w:lang w:val="fr-BE"/>
        </w:rPr>
        <w:t xml:space="preserve">teurs. </w:t>
      </w:r>
      <w:r>
        <w:rPr>
          <w:rFonts w:ascii="Times New Roman" w:hAnsi="Times New Roman"/>
          <w:noProof/>
          <w:sz w:val="20"/>
          <w:lang w:val="fr-BE"/>
        </w:rPr>
        <w:t>Cette opération s’effectue par l’homogénéisation des valeurs brutes, tant des niveaux que des variations, au moyen de la formule suivante:</w:t>
      </w:r>
    </w:p>
    <w:p w:rsidR="000F7DD2" w:rsidRDefault="00BB345B">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m:t>
              </m:r>
              <m:r>
                <w:rPr>
                  <w:rFonts w:ascii="Cambria Math" w:hAnsi="Cambria Math" w:cs="Times New Roman"/>
                  <w:noProof/>
                  <w:sz w:val="20"/>
                </w:rPr>
                <m:t>-</m:t>
              </m:r>
              <m:r>
                <w:rPr>
                  <w:rFonts w:ascii="Cambria Math" w:hAnsi="Cambria Math" w:cs="Times New Roman"/>
                  <w:noProof/>
                  <w:sz w:val="20"/>
                </w:rPr>
                <m:t>score</m:t>
              </m:r>
              <m:r>
                <w:rPr>
                  <w:rFonts w:ascii="Cambria Math" w:hAnsi="Cambria Math" w:cs="Times New Roman"/>
                  <w:noProof/>
                  <w:sz w:val="20"/>
                </w:rPr>
                <m:t xml:space="preserve"> </m:t>
              </m:r>
              <m:r>
                <w:rPr>
                  <w:rFonts w:ascii="Cambria Math" w:hAnsi="Cambria Math" w:cs="Times New Roman"/>
                  <w:noProof/>
                  <w:sz w:val="20"/>
                </w:rPr>
                <m:t>for</m:t>
              </m:r>
              <m:r>
                <w:rPr>
                  <w:rFonts w:ascii="Cambria Math" w:hAnsi="Cambria Math" w:cs="Times New Roman"/>
                  <w:noProof/>
                  <w:sz w:val="20"/>
                </w:rPr>
                <m:t xml:space="preserve"> </m:t>
              </m:r>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m:t>
                  </m:r>
                  <m:r>
                    <w:rPr>
                      <w:rFonts w:ascii="Cambria Math" w:hAnsi="Cambria Math" w:cs="Times New Roman"/>
                      <w:noProof/>
                      <w:sz w:val="20"/>
                    </w:rPr>
                    <m:t>indicator</m:t>
                  </m:r>
                  <m:r>
                    <w:rPr>
                      <w:rFonts w:ascii="Cambria Math" w:hAnsi="Cambria Math" w:cs="Times New Roman"/>
                      <w:noProof/>
                      <w:sz w:val="20"/>
                    </w:rPr>
                    <m:t xml:space="preserve"> -</m:t>
                  </m:r>
                  <m:r>
                    <w:rPr>
                      <w:rFonts w:ascii="Cambria Math" w:hAnsi="Cambria Math" w:cs="Times New Roman"/>
                      <w:noProof/>
                      <w:sz w:val="20"/>
                    </w:rPr>
                    <m:t>average</m:t>
                  </m:r>
                  <m:r>
                    <w:rPr>
                      <w:rFonts w:ascii="Cambria Math" w:hAnsi="Cambria Math" w:cs="Times New Roman"/>
                      <w:noProof/>
                      <w:sz w:val="20"/>
                    </w:rPr>
                    <m:t xml:space="preserve"> </m:t>
                  </m:r>
                  <m:d>
                    <m:dPr>
                      <m:ctrlPr>
                        <w:rPr>
                          <w:rFonts w:ascii="Cambria Math" w:hAnsi="Cambria Math" w:cs="Times New Roman"/>
                          <w:i/>
                          <w:noProof/>
                          <w:sz w:val="20"/>
                        </w:rPr>
                      </m:ctrlPr>
                    </m:dPr>
                    <m:e>
                      <m:r>
                        <w:rPr>
                          <w:rFonts w:ascii="Cambria Math" w:hAnsi="Cambria Math" w:cs="Times New Roman"/>
                          <w:noProof/>
                          <w:sz w:val="20"/>
                        </w:rPr>
                        <m:t>MS</m:t>
                      </m:r>
                      <m:r>
                        <w:rPr>
                          <w:rFonts w:ascii="Cambria Math" w:hAnsi="Cambria Math" w:cs="Times New Roman"/>
                          <w:noProof/>
                          <w:sz w:val="20"/>
                        </w:rPr>
                        <m:t xml:space="preserve"> </m:t>
                      </m:r>
                      <m:r>
                        <w:rPr>
                          <w:rFonts w:ascii="Cambria Math" w:hAnsi="Cambria Math" w:cs="Times New Roman"/>
                          <w:noProof/>
                          <w:sz w:val="20"/>
                        </w:rPr>
                        <m:t>indicator</m:t>
                      </m:r>
                    </m:e>
                  </m:d>
                </m:e>
              </m:d>
            </m:num>
            <m:den>
              <m:r>
                <w:rPr>
                  <w:rFonts w:ascii="Cambria Math" w:hAnsi="Cambria Math" w:cs="Times New Roman"/>
                  <w:noProof/>
                  <w:sz w:val="20"/>
                </w:rPr>
                <m:t>standard</m:t>
              </m:r>
              <m:r>
                <w:rPr>
                  <w:rFonts w:ascii="Cambria Math" w:hAnsi="Cambria Math" w:cs="Times New Roman"/>
                  <w:noProof/>
                  <w:sz w:val="20"/>
                </w:rPr>
                <m:t xml:space="preserve"> </m:t>
              </m:r>
              <m:r>
                <w:rPr>
                  <w:rFonts w:ascii="Cambria Math" w:hAnsi="Cambria Math" w:cs="Times New Roman"/>
                  <w:noProof/>
                  <w:sz w:val="20"/>
                </w:rPr>
                <m:t>deviation</m:t>
              </m:r>
              <m:r>
                <w:rPr>
                  <w:rFonts w:ascii="Cambria Math" w:hAnsi="Cambria Math" w:cs="Times New Roman"/>
                  <w:noProof/>
                  <w:sz w:val="20"/>
                </w:rPr>
                <m:t xml:space="preserve"> (</m:t>
              </m:r>
              <m:r>
                <w:rPr>
                  <w:rFonts w:ascii="Cambria Math" w:hAnsi="Cambria Math" w:cs="Times New Roman"/>
                  <w:noProof/>
                  <w:sz w:val="20"/>
                </w:rPr>
                <m:t>MS</m:t>
              </m:r>
              <m:r>
                <w:rPr>
                  <w:rFonts w:ascii="Cambria Math" w:hAnsi="Cambria Math" w:cs="Times New Roman"/>
                  <w:noProof/>
                  <w:sz w:val="20"/>
                </w:rPr>
                <m:t xml:space="preserve"> </m:t>
              </m:r>
              <m:r>
                <w:rPr>
                  <w:rFonts w:ascii="Cambria Math" w:hAnsi="Cambria Math" w:cs="Times New Roman"/>
                  <w:noProof/>
                  <w:sz w:val="20"/>
                </w:rPr>
                <m:t>indicator</m:t>
              </m:r>
              <m:r>
                <w:rPr>
                  <w:rFonts w:ascii="Cambria Math" w:hAnsi="Cambria Math" w:cs="Times New Roman"/>
                  <w:noProof/>
                  <w:sz w:val="20"/>
                </w:rPr>
                <m:t>)</m:t>
              </m:r>
            </m:den>
          </m:f>
        </m:oMath>
      </m:oMathPara>
    </w:p>
    <w:p w:rsidR="000F7DD2" w:rsidRDefault="00BB345B">
      <w:pPr>
        <w:spacing w:after="120"/>
        <w:jc w:val="both"/>
        <w:rPr>
          <w:rFonts w:ascii="Times New Roman" w:hAnsi="Times New Roman" w:cs="Times New Roman"/>
          <w:noProof/>
          <w:sz w:val="20"/>
          <w:lang w:val="fr-BE"/>
        </w:rPr>
      </w:pPr>
      <w:r>
        <w:rPr>
          <w:rFonts w:ascii="Times New Roman" w:hAnsi="Times New Roman"/>
          <w:noProof/>
          <w:sz w:val="20"/>
          <w:lang w:val="fr-BE"/>
        </w:rPr>
        <w:t xml:space="preserve">Ensuite, les distributions des cotes (séparément pour les niveaux et les variations) sont analysées. Grâce à cette approche, il devient possible d’exprimer la valeur brute d’indicateur de chaque État membre en </w:t>
      </w:r>
      <w:r>
        <w:rPr>
          <w:rFonts w:ascii="Times New Roman" w:hAnsi="Times New Roman"/>
          <w:noProof/>
          <w:sz w:val="20"/>
          <w:lang w:val="fr-BE"/>
        </w:rPr>
        <w:t>un multiple de l’écart-type que représente sa déviation par rapport à la moyenne (non pondérée). La performance de chaque État membre est évaluée et classée sur la base des cotes z ainsi obtenues, par confrontation avec une grille de seuils prédéfinis, déf</w:t>
      </w:r>
      <w:r>
        <w:rPr>
          <w:rFonts w:ascii="Times New Roman" w:hAnsi="Times New Roman"/>
          <w:noProof/>
          <w:sz w:val="20"/>
          <w:lang w:val="fr-BE"/>
        </w:rPr>
        <w:t xml:space="preserve">inis sous la forme de multiples de l’écart-type. </w:t>
      </w:r>
    </w:p>
    <w:p w:rsidR="000F7DD2" w:rsidRDefault="00BB345B">
      <w:pPr>
        <w:spacing w:after="120"/>
        <w:jc w:val="both"/>
        <w:rPr>
          <w:rFonts w:ascii="Times New Roman" w:hAnsi="Times New Roman" w:cs="Times New Roman"/>
          <w:noProof/>
          <w:sz w:val="20"/>
          <w:lang w:val="fr-BE"/>
        </w:rPr>
      </w:pPr>
      <w:r>
        <w:rPr>
          <w:rFonts w:ascii="Times New Roman" w:hAnsi="Times New Roman"/>
          <w:noProof/>
          <w:sz w:val="20"/>
          <w:lang w:val="fr-BE"/>
        </w:rPr>
        <w:t>Dans cette démarche, l’enjeu le plus important consiste à définir les seuils de démarcation. Étant donné qu’il n’est pas possible de formuler d’hypothèse paramétrique quant à la distribution des valeurs bru</w:t>
      </w:r>
      <w:r>
        <w:rPr>
          <w:rFonts w:ascii="Times New Roman" w:hAnsi="Times New Roman"/>
          <w:noProof/>
          <w:sz w:val="20"/>
          <w:lang w:val="fr-BE"/>
        </w:rPr>
        <w:t>tes observées</w:t>
      </w:r>
      <w:r>
        <w:rPr>
          <w:rStyle w:val="FootnoteReference"/>
          <w:rFonts w:cs="Times New Roman"/>
          <w:noProof/>
          <w:sz w:val="20"/>
        </w:rPr>
        <w:footnoteReference w:id="2"/>
      </w:r>
      <w:r>
        <w:rPr>
          <w:rFonts w:ascii="Times New Roman" w:hAnsi="Times New Roman"/>
          <w:noProof/>
          <w:sz w:val="20"/>
          <w:lang w:val="fr-BE"/>
        </w:rPr>
        <w:t xml:space="preserve">, on recourt habituellement à une «règle générale» pour déterminer ces seuils. Selon l’analyse des indicateurs clés utilisés dans le tableau de bord, il a été convenu de considérer:  </w:t>
      </w:r>
    </w:p>
    <w:p w:rsidR="000F7DD2" w:rsidRDefault="00BB345B">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toute cote inférieure à -1 comme une très bonne performanc</w:t>
      </w:r>
      <w:r>
        <w:rPr>
          <w:rFonts w:ascii="Times New Roman" w:hAnsi="Times New Roman"/>
          <w:noProof/>
          <w:sz w:val="20"/>
          <w:szCs w:val="20"/>
        </w:rPr>
        <w:t xml:space="preserve">e; </w:t>
      </w:r>
    </w:p>
    <w:p w:rsidR="000F7DD2" w:rsidRDefault="00BB345B">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toute cote comprise entre -1 et -0,5 comme une bonne performance;</w:t>
      </w:r>
    </w:p>
    <w:p w:rsidR="000F7DD2" w:rsidRDefault="00BB345B">
      <w:pPr>
        <w:pStyle w:val="ListParagraph"/>
        <w:numPr>
          <w:ilvl w:val="0"/>
          <w:numId w:val="1"/>
        </w:numPr>
        <w:spacing w:after="120"/>
        <w:rPr>
          <w:rFonts w:ascii="Times New Roman" w:hAnsi="Times New Roman" w:cs="Times New Roman"/>
          <w:noProof/>
          <w:sz w:val="20"/>
          <w:szCs w:val="20"/>
        </w:rPr>
      </w:pPr>
      <w:r>
        <w:rPr>
          <w:rFonts w:ascii="Times New Roman" w:hAnsi="Times New Roman"/>
          <w:noProof/>
          <w:sz w:val="20"/>
          <w:szCs w:val="20"/>
        </w:rPr>
        <w:t>toute cote comprise entre -0,5 et 0,5 comme une performance neutre;</w:t>
      </w:r>
    </w:p>
    <w:p w:rsidR="000F7DD2" w:rsidRDefault="00BB345B">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toute cote comprise entre 0,5 et 1 comme une mauvaise performance;</w:t>
      </w:r>
    </w:p>
    <w:p w:rsidR="000F7DD2" w:rsidRDefault="00BB345B">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toute cote supérieure à 1 comme une très mauvaise p</w:t>
      </w:r>
      <w:r>
        <w:rPr>
          <w:rFonts w:ascii="Times New Roman" w:hAnsi="Times New Roman"/>
          <w:noProof/>
          <w:sz w:val="20"/>
          <w:szCs w:val="20"/>
        </w:rPr>
        <w:t>erformance</w:t>
      </w:r>
      <w:r>
        <w:rPr>
          <w:rStyle w:val="FootnoteReference"/>
          <w:rFonts w:cs="Times New Roman"/>
          <w:noProof/>
          <w:sz w:val="20"/>
          <w:szCs w:val="20"/>
        </w:rPr>
        <w:footnoteReference w:id="3"/>
      </w:r>
      <w:r>
        <w:rPr>
          <w:noProof/>
          <w:sz w:val="20"/>
          <w:szCs w:val="20"/>
        </w:rPr>
        <w:t>.</w:t>
      </w:r>
    </w:p>
    <w:p w:rsidR="000F7DD2" w:rsidRDefault="00BB345B">
      <w:pPr>
        <w:pStyle w:val="caption4"/>
        <w:spacing w:before="240" w:after="0"/>
        <w:rPr>
          <w:rFonts w:ascii="Times New Roman" w:hAnsi="Times New Roman"/>
          <w:noProof/>
          <w:sz w:val="20"/>
          <w:szCs w:val="20"/>
          <w:lang w:val="fr-BE"/>
        </w:rPr>
      </w:pPr>
      <w:r>
        <w:rPr>
          <w:rFonts w:ascii="Times New Roman" w:hAnsi="Times New Roman"/>
          <w:noProof/>
          <w:sz w:val="20"/>
          <w:szCs w:val="20"/>
          <w:lang w:val="fr-BE"/>
        </w:rPr>
        <w:t>Tableau 1</w:t>
      </w:r>
      <w:r>
        <w:rPr>
          <w:rFonts w:ascii="Times New Roman" w:hAnsi="Times New Roman"/>
          <w:noProof/>
          <w:sz w:val="20"/>
          <w:szCs w:val="20"/>
        </w:rPr>
        <w:fldChar w:fldCharType="begin"/>
      </w:r>
      <w:r>
        <w:rPr>
          <w:rFonts w:ascii="Times New Roman" w:hAnsi="Times New Roman"/>
          <w:noProof/>
          <w:sz w:val="20"/>
          <w:szCs w:val="20"/>
          <w:lang w:val="fr-BE"/>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lang w:val="fr-BE"/>
        </w:rPr>
        <w:t>4</w:t>
      </w:r>
      <w:r>
        <w:rPr>
          <w:rFonts w:ascii="Times New Roman" w:hAnsi="Times New Roman"/>
          <w:noProof/>
          <w:sz w:val="20"/>
          <w:szCs w:val="20"/>
        </w:rPr>
        <w:fldChar w:fldCharType="end"/>
      </w:r>
      <w:r>
        <w:rPr>
          <w:rFonts w:ascii="Times New Roman" w:hAnsi="Times New Roman"/>
          <w:noProof/>
          <w:sz w:val="20"/>
          <w:szCs w:val="20"/>
          <w:lang w:val="fr-BE"/>
        </w:rPr>
        <w:t>: valeurs de seuil pour les cotes z</w:t>
      </w:r>
    </w:p>
    <w:tbl>
      <w:tblPr>
        <w:tblStyle w:val="LightShading-Accent1"/>
        <w:tblW w:w="8997" w:type="dxa"/>
        <w:tblLook w:val="04A0" w:firstRow="1" w:lastRow="0" w:firstColumn="1" w:lastColumn="0" w:noHBand="0" w:noVBand="1"/>
      </w:tblPr>
      <w:tblGrid>
        <w:gridCol w:w="1725"/>
        <w:gridCol w:w="1428"/>
        <w:gridCol w:w="1558"/>
        <w:gridCol w:w="1428"/>
        <w:gridCol w:w="1428"/>
        <w:gridCol w:w="1430"/>
      </w:tblGrid>
      <w:tr w:rsidR="000F7DD2" w:rsidTr="000F7DD2">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rsidR="000F7DD2" w:rsidRDefault="00BB345B">
            <w:pPr>
              <w:jc w:val="center"/>
              <w:rPr>
                <w:rFonts w:ascii="Times New Roman" w:hAnsi="Times New Roman" w:cs="Times New Roman"/>
                <w:noProof/>
                <w:color w:val="000000"/>
                <w:sz w:val="20"/>
              </w:rPr>
            </w:pPr>
            <w:r>
              <w:rPr>
                <w:rFonts w:ascii="Times New Roman" w:hAnsi="Times New Roman"/>
                <w:noProof/>
                <w:sz w:val="20"/>
              </w:rPr>
              <w:t> </w:t>
            </w:r>
          </w:p>
        </w:tc>
        <w:tc>
          <w:tcPr>
            <w:tcW w:w="7271" w:type="dxa"/>
            <w:gridSpan w:val="5"/>
            <w:hideMark/>
          </w:tcPr>
          <w:p w:rsidR="000F7DD2" w:rsidRDefault="00BB34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sz w:val="20"/>
              </w:rPr>
              <w:t>valeurs de seuil pour les cotes z</w:t>
            </w:r>
          </w:p>
        </w:tc>
      </w:tr>
      <w:tr w:rsidR="000F7DD2" w:rsidTr="000F7DD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rsidR="000F7DD2" w:rsidRDefault="000F7DD2">
            <w:pPr>
              <w:rPr>
                <w:rFonts w:ascii="Times New Roman" w:hAnsi="Times New Roman" w:cs="Times New Roman"/>
                <w:noProof/>
                <w:color w:val="000000"/>
                <w:sz w:val="20"/>
              </w:rPr>
            </w:pPr>
          </w:p>
        </w:tc>
        <w:tc>
          <w:tcPr>
            <w:tcW w:w="1428" w:type="dxa"/>
            <w:noWrap/>
            <w:hideMark/>
          </w:tcPr>
          <w:p w:rsidR="000F7DD2" w:rsidRDefault="00BB34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558" w:type="dxa"/>
            <w:noWrap/>
            <w:hideMark/>
          </w:tcPr>
          <w:p w:rsidR="000F7DD2" w:rsidRDefault="00BB34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- 0,5</w:t>
            </w:r>
          </w:p>
        </w:tc>
        <w:tc>
          <w:tcPr>
            <w:tcW w:w="1428" w:type="dxa"/>
            <w:noWrap/>
            <w:hideMark/>
          </w:tcPr>
          <w:p w:rsidR="000F7DD2" w:rsidRDefault="00BB34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28" w:type="dxa"/>
            <w:noWrap/>
            <w:hideMark/>
          </w:tcPr>
          <w:p w:rsidR="000F7DD2" w:rsidRDefault="00BB34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30" w:type="dxa"/>
            <w:noWrap/>
            <w:hideMark/>
          </w:tcPr>
          <w:p w:rsidR="000F7DD2" w:rsidRDefault="00BB34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rsidR="000F7DD2" w:rsidTr="000F7DD2">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rsidR="000F7DD2" w:rsidRDefault="000F7DD2">
            <w:pPr>
              <w:rPr>
                <w:rFonts w:ascii="Times New Roman" w:hAnsi="Times New Roman" w:cs="Times New Roman"/>
                <w:noProof/>
                <w:color w:val="000000"/>
                <w:sz w:val="20"/>
              </w:rPr>
            </w:pPr>
          </w:p>
        </w:tc>
        <w:tc>
          <w:tcPr>
            <w:tcW w:w="1428" w:type="dxa"/>
            <w:noWrap/>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sz w:val="20"/>
              </w:rPr>
              <w:t>(inférieure à)</w:t>
            </w:r>
          </w:p>
        </w:tc>
        <w:tc>
          <w:tcPr>
            <w:tcW w:w="1558" w:type="dxa"/>
            <w:noWrap/>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sz w:val="20"/>
              </w:rPr>
              <w:t>(inférieure à)</w:t>
            </w:r>
          </w:p>
        </w:tc>
        <w:tc>
          <w:tcPr>
            <w:tcW w:w="1428" w:type="dxa"/>
            <w:noWrap/>
            <w:hideMark/>
          </w:tcPr>
          <w:p w:rsidR="000F7DD2" w:rsidRDefault="00BB34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rPr>
            </w:pPr>
            <w:r>
              <w:rPr>
                <w:rFonts w:ascii="Times New Roman" w:hAnsi="Times New Roman"/>
                <w:i/>
                <w:noProof/>
                <w:sz w:val="20"/>
              </w:rPr>
              <w:t>(entre)</w:t>
            </w:r>
          </w:p>
        </w:tc>
        <w:tc>
          <w:tcPr>
            <w:tcW w:w="1428" w:type="dxa"/>
            <w:noWrap/>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sz w:val="20"/>
              </w:rPr>
              <w:t>(supérieure à)</w:t>
            </w:r>
          </w:p>
        </w:tc>
        <w:tc>
          <w:tcPr>
            <w:tcW w:w="1430" w:type="dxa"/>
            <w:noWrap/>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sz w:val="20"/>
              </w:rPr>
              <w:t>(supérieure à)</w:t>
            </w:r>
          </w:p>
        </w:tc>
      </w:tr>
      <w:tr w:rsidR="000F7DD2" w:rsidTr="000F7DD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rsidR="000F7DD2" w:rsidRDefault="000F7DD2">
            <w:pPr>
              <w:rPr>
                <w:rFonts w:ascii="Times New Roman" w:hAnsi="Times New Roman" w:cs="Times New Roman"/>
                <w:noProof/>
                <w:color w:val="000000"/>
                <w:sz w:val="20"/>
              </w:rPr>
            </w:pPr>
          </w:p>
        </w:tc>
        <w:tc>
          <w:tcPr>
            <w:tcW w:w="7271" w:type="dxa"/>
            <w:gridSpan w:val="5"/>
            <w:hideMark/>
          </w:tcPr>
          <w:p w:rsidR="000F7DD2" w:rsidRDefault="00BB34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bCs/>
                <w:noProof/>
                <w:sz w:val="20"/>
              </w:rPr>
              <w:t>Analyse</w:t>
            </w:r>
          </w:p>
        </w:tc>
      </w:tr>
      <w:tr w:rsidR="000F7DD2" w:rsidTr="000F7DD2">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rsidR="000F7DD2" w:rsidRDefault="00BB345B">
            <w:pPr>
              <w:jc w:val="center"/>
              <w:rPr>
                <w:rFonts w:ascii="Times New Roman" w:hAnsi="Times New Roman" w:cs="Times New Roman"/>
                <w:noProof/>
                <w:color w:val="000000"/>
                <w:sz w:val="20"/>
              </w:rPr>
            </w:pPr>
            <w:r>
              <w:rPr>
                <w:rFonts w:ascii="Times New Roman" w:hAnsi="Times New Roman"/>
                <w:noProof/>
                <w:sz w:val="20"/>
              </w:rPr>
              <w:t>Niveaux</w:t>
            </w:r>
          </w:p>
        </w:tc>
        <w:tc>
          <w:tcPr>
            <w:tcW w:w="1428"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Très faibles</w:t>
            </w:r>
          </w:p>
        </w:tc>
        <w:tc>
          <w:tcPr>
            <w:tcW w:w="1558"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Faibles</w:t>
            </w:r>
          </w:p>
        </w:tc>
        <w:tc>
          <w:tcPr>
            <w:tcW w:w="1428"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Correspondant à la moyenne</w:t>
            </w:r>
          </w:p>
        </w:tc>
        <w:tc>
          <w:tcPr>
            <w:tcW w:w="1428"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Élevés</w:t>
            </w:r>
          </w:p>
        </w:tc>
        <w:tc>
          <w:tcPr>
            <w:tcW w:w="1430"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Très élevés</w:t>
            </w:r>
          </w:p>
        </w:tc>
      </w:tr>
      <w:tr w:rsidR="000F7DD2" w:rsidTr="000F7DD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rsidR="000F7DD2" w:rsidRDefault="00BB345B">
            <w:pPr>
              <w:rPr>
                <w:rFonts w:ascii="Times New Roman" w:hAnsi="Times New Roman" w:cs="Times New Roman"/>
                <w:noProof/>
                <w:color w:val="000000"/>
                <w:sz w:val="20"/>
              </w:rPr>
            </w:pPr>
            <w:r>
              <w:rPr>
                <w:rFonts w:ascii="Times New Roman" w:hAnsi="Times New Roman"/>
                <w:noProof/>
                <w:sz w:val="20"/>
              </w:rPr>
              <w:t> </w:t>
            </w:r>
          </w:p>
        </w:tc>
        <w:tc>
          <w:tcPr>
            <w:tcW w:w="1428" w:type="dxa"/>
            <w:noWrap/>
            <w:hideMark/>
          </w:tcPr>
          <w:p w:rsidR="000F7DD2" w:rsidRDefault="000F7D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558" w:type="dxa"/>
            <w:noWrap/>
            <w:hideMark/>
          </w:tcPr>
          <w:p w:rsidR="000F7DD2" w:rsidRDefault="000F7D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rsidR="000F7DD2" w:rsidRDefault="000F7D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rsidR="000F7DD2" w:rsidRDefault="000F7D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30" w:type="dxa"/>
            <w:noWrap/>
            <w:hideMark/>
          </w:tcPr>
          <w:p w:rsidR="000F7DD2" w:rsidRDefault="00BB34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sz w:val="20"/>
              </w:rPr>
              <w:t> </w:t>
            </w:r>
          </w:p>
        </w:tc>
      </w:tr>
      <w:tr w:rsidR="000F7DD2" w:rsidTr="000F7DD2">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rsidR="000F7DD2" w:rsidRDefault="00BB345B">
            <w:pPr>
              <w:jc w:val="center"/>
              <w:rPr>
                <w:rFonts w:ascii="Times New Roman" w:hAnsi="Times New Roman" w:cs="Times New Roman"/>
                <w:noProof/>
                <w:color w:val="000000"/>
                <w:sz w:val="20"/>
              </w:rPr>
            </w:pPr>
            <w:r>
              <w:rPr>
                <w:rFonts w:ascii="Times New Roman" w:hAnsi="Times New Roman"/>
                <w:noProof/>
                <w:sz w:val="20"/>
              </w:rPr>
              <w:t>Variations</w:t>
            </w:r>
          </w:p>
        </w:tc>
        <w:tc>
          <w:tcPr>
            <w:tcW w:w="1428"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Bien inférieures à la moyenne</w:t>
            </w:r>
          </w:p>
        </w:tc>
        <w:tc>
          <w:tcPr>
            <w:tcW w:w="1558"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Inférieures à la moyenne</w:t>
            </w:r>
          </w:p>
        </w:tc>
        <w:tc>
          <w:tcPr>
            <w:tcW w:w="1428"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Correspondant à la moyenne</w:t>
            </w:r>
          </w:p>
        </w:tc>
        <w:tc>
          <w:tcPr>
            <w:tcW w:w="1428"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Supérieures à la moyenne</w:t>
            </w:r>
          </w:p>
        </w:tc>
        <w:tc>
          <w:tcPr>
            <w:tcW w:w="1430" w:type="dxa"/>
            <w:hideMark/>
          </w:tcPr>
          <w:p w:rsidR="000F7DD2" w:rsidRDefault="00BB3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Bien supérieures à la moyenne</w:t>
            </w:r>
          </w:p>
        </w:tc>
      </w:tr>
    </w:tbl>
    <w:p w:rsidR="000F7DD2" w:rsidRDefault="00BB345B">
      <w:pPr>
        <w:jc w:val="both"/>
        <w:rPr>
          <w:rFonts w:ascii="Times New Roman" w:hAnsi="Times New Roman" w:cs="Times New Roman"/>
          <w:noProof/>
          <w:sz w:val="20"/>
          <w:lang w:val="fr-BE"/>
        </w:rPr>
      </w:pPr>
      <w:r>
        <w:rPr>
          <w:noProof/>
          <w:lang w:val="fr-BE"/>
        </w:rPr>
        <w:br w:type="page"/>
      </w:r>
      <w:r>
        <w:rPr>
          <w:rFonts w:ascii="Times New Roman" w:hAnsi="Times New Roman"/>
          <w:bCs/>
          <w:noProof/>
          <w:sz w:val="20"/>
          <w:lang w:val="fr-BE"/>
        </w:rPr>
        <w:t xml:space="preserve">Si l’on combine l’évaluation des niveaux et celle des variations, la performance générale d’un pays selon chaque indicateur peut alors être rangée dans l’une des </w:t>
      </w:r>
      <w:r>
        <w:rPr>
          <w:rFonts w:ascii="Times New Roman" w:hAnsi="Times New Roman"/>
          <w:noProof/>
          <w:sz w:val="20"/>
          <w:lang w:val="fr-BE"/>
        </w:rPr>
        <w:t>sept catégories suivantes. Le système de codes de couleur se retrouve dans les différents grap</w:t>
      </w:r>
      <w:r>
        <w:rPr>
          <w:rFonts w:ascii="Times New Roman" w:hAnsi="Times New Roman"/>
          <w:noProof/>
          <w:sz w:val="20"/>
          <w:lang w:val="fr-BE"/>
        </w:rPr>
        <w:t xml:space="preserve">hiques dans le corps du rapport. </w:t>
      </w:r>
    </w:p>
    <w:p w:rsidR="000F7DD2" w:rsidRDefault="00BB345B">
      <w:pPr>
        <w:jc w:val="both"/>
        <w:rPr>
          <w:rFonts w:ascii="Times New Roman" w:hAnsi="Times New Roman" w:cs="Times New Roman"/>
          <w:noProof/>
          <w:sz w:val="20"/>
          <w:lang w:val="fr-BE"/>
        </w:rPr>
      </w:pPr>
      <w:r>
        <w:rPr>
          <w:rFonts w:ascii="Times New Roman" w:hAnsi="Times New Roman"/>
          <w:noProof/>
          <w:sz w:val="20"/>
          <w:lang w:val="fr-BE"/>
        </w:rPr>
        <w:t xml:space="preserve">Les tableaux ci-dessous indiquent la classification fondée sur les cotes z pour les indicateurs pour lesquels une </w:t>
      </w:r>
      <w:r>
        <w:rPr>
          <w:rFonts w:ascii="Times New Roman" w:hAnsi="Times New Roman"/>
          <w:noProof/>
          <w:sz w:val="20"/>
          <w:u w:val="single"/>
          <w:lang w:val="fr-BE"/>
        </w:rPr>
        <w:t>valeur faible</w:t>
      </w:r>
      <w:r>
        <w:rPr>
          <w:rFonts w:ascii="Times New Roman" w:hAnsi="Times New Roman"/>
          <w:noProof/>
          <w:sz w:val="20"/>
          <w:lang w:val="fr-BE"/>
        </w:rPr>
        <w:t xml:space="preserve"> est considérée comme une </w:t>
      </w:r>
      <w:r>
        <w:rPr>
          <w:rFonts w:ascii="Times New Roman" w:hAnsi="Times New Roman"/>
          <w:noProof/>
          <w:sz w:val="20"/>
          <w:u w:val="single"/>
          <w:lang w:val="fr-BE"/>
        </w:rPr>
        <w:t>bonne performance</w:t>
      </w:r>
      <w:r>
        <w:rPr>
          <w:rFonts w:ascii="Times New Roman" w:hAnsi="Times New Roman"/>
          <w:noProof/>
          <w:sz w:val="20"/>
          <w:lang w:val="fr-BE"/>
        </w:rPr>
        <w:t xml:space="preserve"> (par exemple le taux de chômage, de pauvreté ou d’exclusion sociale, etc.). </w:t>
      </w:r>
    </w:p>
    <w:tbl>
      <w:tblPr>
        <w:tblStyle w:val="TableGrid"/>
        <w:tblW w:w="0" w:type="auto"/>
        <w:tblLook w:val="04A0" w:firstRow="1" w:lastRow="0" w:firstColumn="1" w:lastColumn="0" w:noHBand="0" w:noVBand="1"/>
      </w:tblPr>
      <w:tblGrid>
        <w:gridCol w:w="2044"/>
        <w:gridCol w:w="3564"/>
        <w:gridCol w:w="3680"/>
      </w:tblGrid>
      <w:tr w:rsidR="000F7DD2">
        <w:tc>
          <w:tcPr>
            <w:tcW w:w="2508" w:type="dxa"/>
            <w:shd w:val="clear" w:color="auto" w:fill="00B050"/>
          </w:tcPr>
          <w:p w:rsidR="000F7DD2" w:rsidRDefault="00BB345B">
            <w:pPr>
              <w:rPr>
                <w:rFonts w:ascii="Times New Roman" w:hAnsi="Times New Roman" w:cs="Times New Roman"/>
                <w:noProof/>
                <w:sz w:val="20"/>
                <w:szCs w:val="20"/>
              </w:rPr>
            </w:pPr>
            <w:r>
              <w:rPr>
                <w:rFonts w:ascii="Times New Roman" w:hAnsi="Times New Roman"/>
                <w:b/>
                <w:noProof/>
                <w:sz w:val="20"/>
                <w:szCs w:val="20"/>
              </w:rPr>
              <w:t>Meilleurs éléments</w:t>
            </w:r>
            <w:r>
              <w:rPr>
                <w:rFonts w:ascii="Times New Roman" w:hAnsi="Times New Roman"/>
                <w:noProof/>
                <w:sz w:val="20"/>
                <w:szCs w:val="20"/>
              </w:rPr>
              <w:t xml:space="preserve">  </w:t>
            </w:r>
          </w:p>
        </w:tc>
        <w:tc>
          <w:tcPr>
            <w:tcW w:w="5640" w:type="dxa"/>
            <w:shd w:val="clear" w:color="auto" w:fill="00B05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cote inférieure à -1,0 pour les niveaux et à 1,0 pour les variations</w:t>
            </w:r>
          </w:p>
        </w:tc>
        <w:tc>
          <w:tcPr>
            <w:tcW w:w="5640" w:type="dxa"/>
            <w:shd w:val="clear" w:color="auto" w:fill="00B05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sont nettement supérieurs à la moyenne de l’UE et dont la</w:t>
            </w:r>
            <w:r>
              <w:rPr>
                <w:rFonts w:ascii="Times New Roman" w:hAnsi="Times New Roman"/>
                <w:noProof/>
                <w:sz w:val="20"/>
                <w:szCs w:val="20"/>
                <w:lang w:val="fr-BE"/>
              </w:rPr>
              <w:t xml:space="preserve"> situation s’améliore ou ne se détériore pas beaucoup plus vite que la moyenne de l’UE</w:t>
            </w:r>
          </w:p>
        </w:tc>
      </w:tr>
      <w:tr w:rsidR="000F7DD2">
        <w:tc>
          <w:tcPr>
            <w:tcW w:w="2508" w:type="dxa"/>
            <w:shd w:val="clear" w:color="auto" w:fill="92D050"/>
          </w:tcPr>
          <w:p w:rsidR="000F7DD2" w:rsidRDefault="00BB345B">
            <w:pPr>
              <w:rPr>
                <w:rFonts w:ascii="Times New Roman" w:hAnsi="Times New Roman" w:cs="Times New Roman"/>
                <w:noProof/>
                <w:sz w:val="20"/>
                <w:szCs w:val="20"/>
              </w:rPr>
            </w:pPr>
            <w:r>
              <w:rPr>
                <w:rFonts w:ascii="Times New Roman" w:hAnsi="Times New Roman"/>
                <w:b/>
                <w:noProof/>
                <w:sz w:val="20"/>
                <w:szCs w:val="20"/>
              </w:rPr>
              <w:t>Mieux que la moyenne</w:t>
            </w:r>
          </w:p>
        </w:tc>
        <w:tc>
          <w:tcPr>
            <w:tcW w:w="5640" w:type="dxa"/>
            <w:shd w:val="clear" w:color="auto" w:fill="92D05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cote comprise entre -1,0 et -0,5 pour les niveaux et inférieure à 1 pour les variations </w:t>
            </w:r>
            <w:r>
              <w:rPr>
                <w:rFonts w:ascii="Times New Roman" w:hAnsi="Times New Roman"/>
                <w:noProof/>
                <w:sz w:val="20"/>
                <w:szCs w:val="20"/>
                <w:u w:val="single"/>
                <w:lang w:val="fr-BE"/>
              </w:rPr>
              <w:t>ou</w:t>
            </w:r>
            <w:r>
              <w:rPr>
                <w:rFonts w:ascii="Times New Roman" w:hAnsi="Times New Roman"/>
                <w:noProof/>
                <w:sz w:val="20"/>
                <w:szCs w:val="20"/>
                <w:lang w:val="fr-BE"/>
              </w:rPr>
              <w:t xml:space="preserve"> cote comprise entre -0,5 et 0,5 pour les niveaux et infé</w:t>
            </w:r>
            <w:r>
              <w:rPr>
                <w:rFonts w:ascii="Times New Roman" w:hAnsi="Times New Roman"/>
                <w:noProof/>
                <w:sz w:val="20"/>
                <w:szCs w:val="20"/>
                <w:lang w:val="fr-BE"/>
              </w:rPr>
              <w:t>rieure à -1,0 pour les variations</w:t>
            </w:r>
          </w:p>
        </w:tc>
        <w:tc>
          <w:tcPr>
            <w:tcW w:w="5640" w:type="dxa"/>
            <w:shd w:val="clear" w:color="auto" w:fill="92D05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sont supérieurs à la moyenne de l’UE et dont la situation s’améliore ou ne se détériore pas beaucoup plus vite que la moyenne de l’UE</w:t>
            </w:r>
          </w:p>
        </w:tc>
      </w:tr>
      <w:tr w:rsidR="000F7DD2">
        <w:tc>
          <w:tcPr>
            <w:tcW w:w="2508" w:type="dxa"/>
            <w:shd w:val="clear" w:color="auto" w:fill="4F81BD" w:themeFill="accent1"/>
          </w:tcPr>
          <w:p w:rsidR="000F7DD2" w:rsidRDefault="00BB345B">
            <w:pPr>
              <w:rPr>
                <w:rFonts w:ascii="Times New Roman" w:hAnsi="Times New Roman" w:cs="Times New Roman"/>
                <w:noProof/>
                <w:sz w:val="20"/>
                <w:szCs w:val="20"/>
              </w:rPr>
            </w:pPr>
            <w:r>
              <w:rPr>
                <w:rFonts w:ascii="Times New Roman" w:hAnsi="Times New Roman"/>
                <w:b/>
                <w:noProof/>
                <w:sz w:val="20"/>
                <w:szCs w:val="20"/>
              </w:rPr>
              <w:t>Bien, mais à surveiller</w:t>
            </w:r>
          </w:p>
        </w:tc>
        <w:tc>
          <w:tcPr>
            <w:tcW w:w="5640" w:type="dxa"/>
            <w:shd w:val="clear" w:color="auto" w:fill="4F81BD" w:themeFill="accent1"/>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cote inférieure à -0,5 pour les niveaux et supérieure à 1,0 pour les variations </w:t>
            </w:r>
            <w:r>
              <w:rPr>
                <w:rFonts w:ascii="Times New Roman" w:hAnsi="Times New Roman"/>
                <w:i/>
                <w:noProof/>
                <w:sz w:val="20"/>
                <w:szCs w:val="20"/>
                <w:lang w:val="fr-BE"/>
              </w:rPr>
              <w:t>et</w:t>
            </w:r>
            <w:r>
              <w:rPr>
                <w:rFonts w:ascii="Times New Roman" w:hAnsi="Times New Roman"/>
                <w:noProof/>
                <w:sz w:val="20"/>
                <w:szCs w:val="20"/>
                <w:lang w:val="fr-BE"/>
              </w:rPr>
              <w:t xml:space="preserve"> présence d’une variation supérieure à zéro</w:t>
            </w:r>
            <w:r>
              <w:rPr>
                <w:rStyle w:val="FootnoteReference"/>
                <w:rFonts w:cs="Times New Roman"/>
                <w:noProof/>
                <w:sz w:val="20"/>
                <w:szCs w:val="20"/>
              </w:rPr>
              <w:footnoteReference w:id="4"/>
            </w:r>
          </w:p>
        </w:tc>
        <w:tc>
          <w:tcPr>
            <w:tcW w:w="5640" w:type="dxa"/>
            <w:shd w:val="clear" w:color="auto" w:fill="4F81BD" w:themeFill="accent1"/>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sont supérieurs ou nettement supérieurs à la moyenne de l’UE mais dont la situation se détériore b</w:t>
            </w:r>
            <w:r>
              <w:rPr>
                <w:rFonts w:ascii="Times New Roman" w:hAnsi="Times New Roman"/>
                <w:noProof/>
                <w:sz w:val="20"/>
                <w:szCs w:val="20"/>
                <w:lang w:val="fr-BE"/>
              </w:rPr>
              <w:t>eaucoup plus vite que la moyenne de l’UE</w:t>
            </w:r>
          </w:p>
        </w:tc>
      </w:tr>
      <w:tr w:rsidR="000F7DD2">
        <w:tc>
          <w:tcPr>
            <w:tcW w:w="2508" w:type="dxa"/>
          </w:tcPr>
          <w:p w:rsidR="000F7DD2" w:rsidRDefault="00BB345B">
            <w:pPr>
              <w:rPr>
                <w:rFonts w:ascii="Times New Roman" w:hAnsi="Times New Roman" w:cs="Times New Roman"/>
                <w:noProof/>
                <w:sz w:val="20"/>
                <w:szCs w:val="20"/>
                <w:lang w:val="fr-BE"/>
              </w:rPr>
            </w:pPr>
            <w:r>
              <w:rPr>
                <w:rFonts w:ascii="Times New Roman" w:hAnsi="Times New Roman"/>
                <w:b/>
                <w:noProof/>
                <w:sz w:val="20"/>
                <w:szCs w:val="20"/>
                <w:lang w:val="fr-BE"/>
              </w:rPr>
              <w:t>Autour de la moyenne / neutre</w:t>
            </w:r>
          </w:p>
        </w:tc>
        <w:tc>
          <w:tcPr>
            <w:tcW w:w="5640" w:type="dxa"/>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cote comprise entre -0,5 et 0,5 pour les niveaux et -1,0 et 1,0 pour les variations</w:t>
            </w:r>
          </w:p>
        </w:tc>
        <w:tc>
          <w:tcPr>
            <w:tcW w:w="5640" w:type="dxa"/>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se situent autour de la moyenne et dont la situation ne s’améliore, n</w:t>
            </w:r>
            <w:r>
              <w:rPr>
                <w:rFonts w:ascii="Times New Roman" w:hAnsi="Times New Roman"/>
                <w:noProof/>
                <w:sz w:val="20"/>
                <w:szCs w:val="20"/>
                <w:lang w:val="fr-BE"/>
              </w:rPr>
              <w:t>i ne se détériore pas plus vite que la moyenne de l’UE</w:t>
            </w:r>
          </w:p>
        </w:tc>
      </w:tr>
      <w:tr w:rsidR="000F7DD2">
        <w:tc>
          <w:tcPr>
            <w:tcW w:w="2508" w:type="dxa"/>
            <w:shd w:val="clear" w:color="auto" w:fill="FFFF00"/>
          </w:tcPr>
          <w:p w:rsidR="000F7DD2" w:rsidRDefault="00BB345B">
            <w:pPr>
              <w:rPr>
                <w:rFonts w:ascii="Times New Roman" w:hAnsi="Times New Roman" w:cs="Times New Roman"/>
                <w:noProof/>
                <w:sz w:val="20"/>
                <w:szCs w:val="20"/>
                <w:lang w:val="fr-BE"/>
              </w:rPr>
            </w:pPr>
            <w:r>
              <w:rPr>
                <w:rFonts w:ascii="Times New Roman" w:hAnsi="Times New Roman"/>
                <w:b/>
                <w:noProof/>
                <w:sz w:val="20"/>
                <w:szCs w:val="20"/>
                <w:lang w:val="fr-BE"/>
              </w:rPr>
              <w:t>Faible mais en voie d’amélioration</w:t>
            </w:r>
          </w:p>
        </w:tc>
        <w:tc>
          <w:tcPr>
            <w:tcW w:w="5640" w:type="dxa"/>
            <w:shd w:val="clear" w:color="auto" w:fill="FFFF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cote supérieure à 0,5 pour les niveaux et inférieure à -1,0 pour les variations</w:t>
            </w:r>
          </w:p>
        </w:tc>
        <w:tc>
          <w:tcPr>
            <w:tcW w:w="5640" w:type="dxa"/>
            <w:shd w:val="clear" w:color="auto" w:fill="FFFF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États membres dont les niveaux sont inférieurs ou très inférieurs à la moyenne de </w:t>
            </w:r>
            <w:r>
              <w:rPr>
                <w:rFonts w:ascii="Times New Roman" w:hAnsi="Times New Roman"/>
                <w:noProof/>
                <w:sz w:val="20"/>
                <w:szCs w:val="20"/>
                <w:lang w:val="fr-BE"/>
              </w:rPr>
              <w:t>l’UE mais dont la situation s’améliore beaucoup plus vite que la moyenne de l’UE</w:t>
            </w:r>
          </w:p>
        </w:tc>
      </w:tr>
      <w:tr w:rsidR="000F7DD2">
        <w:tc>
          <w:tcPr>
            <w:tcW w:w="2508" w:type="dxa"/>
            <w:shd w:val="clear" w:color="auto" w:fill="FFC000"/>
          </w:tcPr>
          <w:p w:rsidR="000F7DD2" w:rsidRDefault="00BB345B">
            <w:pPr>
              <w:rPr>
                <w:rFonts w:ascii="Times New Roman" w:hAnsi="Times New Roman" w:cs="Times New Roman"/>
                <w:noProof/>
                <w:sz w:val="20"/>
                <w:szCs w:val="20"/>
              </w:rPr>
            </w:pPr>
            <w:r>
              <w:rPr>
                <w:rFonts w:ascii="Times New Roman" w:hAnsi="Times New Roman"/>
                <w:b/>
                <w:noProof/>
                <w:sz w:val="20"/>
                <w:szCs w:val="20"/>
              </w:rPr>
              <w:t>À surveiller</w:t>
            </w:r>
          </w:p>
        </w:tc>
        <w:tc>
          <w:tcPr>
            <w:tcW w:w="5640" w:type="dxa"/>
            <w:shd w:val="clear" w:color="auto" w:fill="FFC0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cote comprise entre 0,5 et 1,0 pour les niveaux et supérieure à -1,0 pour les variations </w:t>
            </w:r>
            <w:r>
              <w:rPr>
                <w:rFonts w:ascii="Times New Roman" w:hAnsi="Times New Roman"/>
                <w:noProof/>
                <w:sz w:val="20"/>
                <w:szCs w:val="20"/>
                <w:u w:val="single"/>
                <w:lang w:val="fr-BE"/>
              </w:rPr>
              <w:t>ou</w:t>
            </w:r>
            <w:r>
              <w:rPr>
                <w:rFonts w:ascii="Times New Roman" w:hAnsi="Times New Roman"/>
                <w:noProof/>
                <w:sz w:val="20"/>
                <w:szCs w:val="20"/>
                <w:lang w:val="fr-BE"/>
              </w:rPr>
              <w:t xml:space="preserve"> cote comprise entre -0,5 et 0,5 pour les niveaux et supérieure à 1,0 </w:t>
            </w:r>
            <w:r>
              <w:rPr>
                <w:rFonts w:ascii="Times New Roman" w:hAnsi="Times New Roman"/>
                <w:noProof/>
                <w:sz w:val="20"/>
                <w:szCs w:val="20"/>
                <w:lang w:val="fr-BE"/>
              </w:rPr>
              <w:t>pour les variations (</w:t>
            </w:r>
            <w:r>
              <w:rPr>
                <w:rFonts w:ascii="Times New Roman" w:hAnsi="Times New Roman"/>
                <w:i/>
                <w:noProof/>
                <w:sz w:val="20"/>
                <w:szCs w:val="20"/>
                <w:lang w:val="fr-BE"/>
              </w:rPr>
              <w:t>et</w:t>
            </w:r>
            <w:r>
              <w:rPr>
                <w:rFonts w:ascii="Times New Roman" w:hAnsi="Times New Roman"/>
                <w:noProof/>
                <w:sz w:val="20"/>
                <w:szCs w:val="20"/>
                <w:lang w:val="fr-BE"/>
              </w:rPr>
              <w:t xml:space="preserve"> présence d’une variation supérieure à zéro</w:t>
            </w:r>
            <w:r>
              <w:rPr>
                <w:rStyle w:val="FootnoteReference"/>
                <w:rFonts w:cs="Times New Roman"/>
                <w:noProof/>
                <w:sz w:val="20"/>
                <w:szCs w:val="20"/>
              </w:rPr>
              <w:footnoteReference w:id="5"/>
            </w:r>
            <w:r>
              <w:rPr>
                <w:rFonts w:ascii="Times New Roman" w:hAnsi="Times New Roman"/>
                <w:noProof/>
                <w:sz w:val="20"/>
                <w:szCs w:val="20"/>
                <w:lang w:val="fr-BE"/>
              </w:rPr>
              <w:t>)</w:t>
            </w:r>
          </w:p>
        </w:tc>
        <w:tc>
          <w:tcPr>
            <w:tcW w:w="5640" w:type="dxa"/>
            <w:shd w:val="clear" w:color="auto" w:fill="FFC0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Cette catégorie rassemble deux cas de figure distincts: i) États membres dont les niveaux sont inférieurs à la moyenne de l’UE et dont la situation se détériore ou ne s’améliore pas suffi</w:t>
            </w:r>
            <w:r>
              <w:rPr>
                <w:rFonts w:ascii="Times New Roman" w:hAnsi="Times New Roman"/>
                <w:noProof/>
                <w:sz w:val="20"/>
                <w:szCs w:val="20"/>
                <w:lang w:val="fr-BE"/>
              </w:rPr>
              <w:t>samment vite; ii) États membres dont les niveaux se situent dans la moyenne de l’UE mais dont la situation se détériore nettement plus vite que la moyenne de l’UE</w:t>
            </w:r>
          </w:p>
        </w:tc>
      </w:tr>
      <w:tr w:rsidR="000F7DD2">
        <w:tc>
          <w:tcPr>
            <w:tcW w:w="2508" w:type="dxa"/>
            <w:shd w:val="clear" w:color="auto" w:fill="FF0000"/>
          </w:tcPr>
          <w:p w:rsidR="000F7DD2" w:rsidRDefault="00BB345B">
            <w:pPr>
              <w:rPr>
                <w:rFonts w:ascii="Times New Roman" w:hAnsi="Times New Roman" w:cs="Times New Roman"/>
                <w:noProof/>
                <w:sz w:val="20"/>
                <w:szCs w:val="20"/>
              </w:rPr>
            </w:pPr>
            <w:r>
              <w:rPr>
                <w:rFonts w:ascii="Times New Roman" w:hAnsi="Times New Roman"/>
                <w:b/>
                <w:noProof/>
                <w:sz w:val="20"/>
                <w:szCs w:val="20"/>
              </w:rPr>
              <w:t>Situations critiques</w:t>
            </w:r>
          </w:p>
        </w:tc>
        <w:tc>
          <w:tcPr>
            <w:tcW w:w="5640" w:type="dxa"/>
            <w:shd w:val="clear" w:color="auto" w:fill="FF00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cote supérieure à 1,0 pour les niveaux et à -1,0 pour les variations</w:t>
            </w:r>
          </w:p>
        </w:tc>
        <w:tc>
          <w:tcPr>
            <w:tcW w:w="5640" w:type="dxa"/>
            <w:shd w:val="clear" w:color="auto" w:fill="FF00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sont nettement inférieurs à la moyenne de l’UE et dont la situation se détériore ou ne s’améliore pas avec suffisamment de rapidité</w:t>
            </w:r>
          </w:p>
        </w:tc>
      </w:tr>
    </w:tbl>
    <w:p w:rsidR="000F7DD2" w:rsidRDefault="000F7DD2">
      <w:pPr>
        <w:jc w:val="both"/>
        <w:rPr>
          <w:rFonts w:ascii="Times New Roman" w:hAnsi="Times New Roman" w:cs="Times New Roman"/>
          <w:noProof/>
          <w:sz w:val="20"/>
          <w:szCs w:val="20"/>
          <w:lang w:val="fr-BE"/>
        </w:rPr>
      </w:pPr>
    </w:p>
    <w:p w:rsidR="000F7DD2" w:rsidRDefault="000F7DD2">
      <w:pPr>
        <w:rPr>
          <w:rFonts w:ascii="Times New Roman" w:hAnsi="Times New Roman" w:cs="Times New Roman"/>
          <w:noProof/>
          <w:sz w:val="24"/>
          <w:szCs w:val="24"/>
          <w:lang w:val="fr-BE"/>
        </w:rPr>
      </w:pPr>
    </w:p>
    <w:p w:rsidR="000F7DD2" w:rsidRDefault="00BB345B">
      <w:pPr>
        <w:rPr>
          <w:rFonts w:ascii="Times New Roman" w:hAnsi="Times New Roman" w:cs="Times New Roman"/>
          <w:b/>
          <w:i/>
          <w:noProof/>
          <w:sz w:val="24"/>
          <w:szCs w:val="24"/>
        </w:rPr>
      </w:pPr>
      <w:r>
        <w:rPr>
          <w:noProof/>
          <w:lang w:val="fr-BE" w:eastAsia="fr-BE"/>
        </w:rPr>
        <w:drawing>
          <wp:inline distT="0" distB="0" distL="0" distR="0">
            <wp:extent cx="5760720" cy="11889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188964"/>
                    </a:xfrm>
                    <a:prstGeom prst="rect">
                      <a:avLst/>
                    </a:prstGeom>
                    <a:noFill/>
                    <a:ln>
                      <a:noFill/>
                    </a:ln>
                  </pic:spPr>
                </pic:pic>
              </a:graphicData>
            </a:graphic>
          </wp:inline>
        </w:drawing>
      </w:r>
    </w:p>
    <w:p w:rsidR="000F7DD2" w:rsidRDefault="000F7DD2">
      <w:pPr>
        <w:rPr>
          <w:rFonts w:ascii="Times New Roman" w:hAnsi="Times New Roman" w:cs="Times New Roman"/>
          <w:b/>
          <w:i/>
          <w:noProof/>
          <w:sz w:val="24"/>
          <w:szCs w:val="24"/>
        </w:rPr>
      </w:pPr>
    </w:p>
    <w:p w:rsidR="000F7DD2" w:rsidRDefault="00BB345B">
      <w:pPr>
        <w:jc w:val="both"/>
        <w:rPr>
          <w:rFonts w:ascii="Times New Roman" w:hAnsi="Times New Roman" w:cs="Times New Roman"/>
          <w:noProof/>
          <w:sz w:val="20"/>
          <w:lang w:val="fr-BE"/>
        </w:rPr>
      </w:pPr>
      <w:r>
        <w:rPr>
          <w:rFonts w:ascii="Times New Roman" w:hAnsi="Times New Roman"/>
          <w:noProof/>
          <w:sz w:val="20"/>
          <w:lang w:val="fr-BE"/>
        </w:rPr>
        <w:t xml:space="preserve">Les tableaux ci-dessous indiquent la classification fondée sur les cotes z pour les indicateurs pour lesquels une </w:t>
      </w:r>
      <w:r>
        <w:rPr>
          <w:rFonts w:ascii="Times New Roman" w:hAnsi="Times New Roman"/>
          <w:noProof/>
          <w:sz w:val="20"/>
          <w:u w:val="single"/>
          <w:lang w:val="fr-BE"/>
        </w:rPr>
        <w:t>valeur élevée</w:t>
      </w:r>
      <w:r>
        <w:rPr>
          <w:rFonts w:ascii="Times New Roman" w:hAnsi="Times New Roman"/>
          <w:noProof/>
          <w:sz w:val="20"/>
          <w:lang w:val="fr-BE"/>
        </w:rPr>
        <w:t xml:space="preserve"> est considérée comme une </w:t>
      </w:r>
      <w:r>
        <w:rPr>
          <w:rFonts w:ascii="Times New Roman" w:hAnsi="Times New Roman"/>
          <w:noProof/>
          <w:sz w:val="20"/>
          <w:u w:val="single"/>
          <w:lang w:val="fr-BE"/>
        </w:rPr>
        <w:t>bonne performance</w:t>
      </w:r>
      <w:r>
        <w:rPr>
          <w:rFonts w:ascii="Times New Roman" w:hAnsi="Times New Roman"/>
          <w:noProof/>
          <w:sz w:val="20"/>
          <w:lang w:val="fr-BE"/>
        </w:rPr>
        <w:t xml:space="preserve"> (par exemple le taux d’emploi, la participation à l’accueil des enfants, etc.). </w:t>
      </w:r>
    </w:p>
    <w:tbl>
      <w:tblPr>
        <w:tblStyle w:val="TableGrid"/>
        <w:tblW w:w="0" w:type="auto"/>
        <w:tblLook w:val="04A0" w:firstRow="1" w:lastRow="0" w:firstColumn="1" w:lastColumn="0" w:noHBand="0" w:noVBand="1"/>
      </w:tblPr>
      <w:tblGrid>
        <w:gridCol w:w="2044"/>
        <w:gridCol w:w="3564"/>
        <w:gridCol w:w="3680"/>
      </w:tblGrid>
      <w:tr w:rsidR="000F7DD2">
        <w:tc>
          <w:tcPr>
            <w:tcW w:w="2508" w:type="dxa"/>
            <w:shd w:val="clear" w:color="auto" w:fill="00B050"/>
          </w:tcPr>
          <w:p w:rsidR="000F7DD2" w:rsidRDefault="00BB345B">
            <w:pPr>
              <w:rPr>
                <w:rFonts w:ascii="Times New Roman" w:hAnsi="Times New Roman" w:cs="Times New Roman"/>
                <w:noProof/>
                <w:sz w:val="20"/>
                <w:szCs w:val="20"/>
              </w:rPr>
            </w:pPr>
            <w:r>
              <w:rPr>
                <w:rFonts w:ascii="Times New Roman" w:hAnsi="Times New Roman"/>
                <w:b/>
                <w:noProof/>
                <w:sz w:val="20"/>
                <w:szCs w:val="20"/>
              </w:rPr>
              <w:t>Meil</w:t>
            </w:r>
            <w:r>
              <w:rPr>
                <w:rFonts w:ascii="Times New Roman" w:hAnsi="Times New Roman"/>
                <w:b/>
                <w:noProof/>
                <w:sz w:val="20"/>
                <w:szCs w:val="20"/>
              </w:rPr>
              <w:t>leurs éléments</w:t>
            </w:r>
            <w:r>
              <w:rPr>
                <w:rFonts w:ascii="Times New Roman" w:hAnsi="Times New Roman"/>
                <w:noProof/>
                <w:sz w:val="20"/>
                <w:szCs w:val="20"/>
              </w:rPr>
              <w:t xml:space="preserve">  </w:t>
            </w:r>
          </w:p>
        </w:tc>
        <w:tc>
          <w:tcPr>
            <w:tcW w:w="5640" w:type="dxa"/>
            <w:shd w:val="clear" w:color="auto" w:fill="00B05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cote supérieure à 1,0 pour les niveaux et à -1,0 pour les variations</w:t>
            </w:r>
          </w:p>
        </w:tc>
        <w:tc>
          <w:tcPr>
            <w:tcW w:w="5640" w:type="dxa"/>
            <w:shd w:val="clear" w:color="auto" w:fill="00B05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États membres dont les niveaux sont nettement supérieurs à la moyenne de l’UE et dont la situation s’améliore ou ne se détériore pas beaucoup plus vite que la moyenne de </w:t>
            </w:r>
            <w:r>
              <w:rPr>
                <w:rFonts w:ascii="Times New Roman" w:hAnsi="Times New Roman"/>
                <w:noProof/>
                <w:sz w:val="20"/>
                <w:szCs w:val="20"/>
                <w:lang w:val="fr-BE"/>
              </w:rPr>
              <w:t>l’UE</w:t>
            </w:r>
          </w:p>
        </w:tc>
      </w:tr>
      <w:tr w:rsidR="000F7DD2">
        <w:tc>
          <w:tcPr>
            <w:tcW w:w="2508" w:type="dxa"/>
            <w:shd w:val="clear" w:color="auto" w:fill="92D050"/>
          </w:tcPr>
          <w:p w:rsidR="000F7DD2" w:rsidRDefault="00BB345B">
            <w:pPr>
              <w:rPr>
                <w:rFonts w:ascii="Times New Roman" w:hAnsi="Times New Roman" w:cs="Times New Roman"/>
                <w:noProof/>
                <w:sz w:val="20"/>
                <w:szCs w:val="20"/>
              </w:rPr>
            </w:pPr>
            <w:r>
              <w:rPr>
                <w:rFonts w:ascii="Times New Roman" w:hAnsi="Times New Roman"/>
                <w:b/>
                <w:noProof/>
                <w:sz w:val="20"/>
                <w:szCs w:val="20"/>
              </w:rPr>
              <w:t>Mieux que la moyenne</w:t>
            </w:r>
          </w:p>
        </w:tc>
        <w:tc>
          <w:tcPr>
            <w:tcW w:w="5640" w:type="dxa"/>
            <w:shd w:val="clear" w:color="auto" w:fill="92D05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cote comprise entre 1,0 et 0,5 pour les niveaux et supérieure à -1,0 pour les variations </w:t>
            </w:r>
            <w:r>
              <w:rPr>
                <w:rFonts w:ascii="Times New Roman" w:hAnsi="Times New Roman"/>
                <w:noProof/>
                <w:sz w:val="20"/>
                <w:szCs w:val="20"/>
                <w:u w:val="single"/>
                <w:lang w:val="fr-BE"/>
              </w:rPr>
              <w:t>ou</w:t>
            </w:r>
            <w:r>
              <w:rPr>
                <w:rFonts w:ascii="Times New Roman" w:hAnsi="Times New Roman"/>
                <w:noProof/>
                <w:sz w:val="20"/>
                <w:szCs w:val="20"/>
                <w:lang w:val="fr-BE"/>
              </w:rPr>
              <w:t xml:space="preserve"> cote comprise entre -0,5 et 0,5 pour les niveaux et supérieure à 1,0 pour les variations</w:t>
            </w:r>
          </w:p>
        </w:tc>
        <w:tc>
          <w:tcPr>
            <w:tcW w:w="5640" w:type="dxa"/>
            <w:shd w:val="clear" w:color="auto" w:fill="92D05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sont supérieurs à</w:t>
            </w:r>
            <w:r>
              <w:rPr>
                <w:rFonts w:ascii="Times New Roman" w:hAnsi="Times New Roman"/>
                <w:noProof/>
                <w:sz w:val="20"/>
                <w:szCs w:val="20"/>
                <w:lang w:val="fr-BE"/>
              </w:rPr>
              <w:t xml:space="preserve"> la moyenne de l’UE et dont la situation s’améliore ou ne se détériore pas beaucoup plus vite que la moyenne de l’UE</w:t>
            </w:r>
          </w:p>
        </w:tc>
      </w:tr>
      <w:tr w:rsidR="000F7DD2">
        <w:tc>
          <w:tcPr>
            <w:tcW w:w="2508" w:type="dxa"/>
            <w:shd w:val="clear" w:color="auto" w:fill="4F81BD" w:themeFill="accent1"/>
          </w:tcPr>
          <w:p w:rsidR="000F7DD2" w:rsidRDefault="00BB345B">
            <w:pPr>
              <w:rPr>
                <w:rFonts w:ascii="Times New Roman" w:hAnsi="Times New Roman" w:cs="Times New Roman"/>
                <w:noProof/>
                <w:sz w:val="20"/>
                <w:szCs w:val="20"/>
              </w:rPr>
            </w:pPr>
            <w:r>
              <w:rPr>
                <w:rFonts w:ascii="Times New Roman" w:hAnsi="Times New Roman"/>
                <w:b/>
                <w:noProof/>
                <w:sz w:val="20"/>
                <w:szCs w:val="20"/>
              </w:rPr>
              <w:t>Bien, mais à surveiller</w:t>
            </w:r>
          </w:p>
        </w:tc>
        <w:tc>
          <w:tcPr>
            <w:tcW w:w="5640" w:type="dxa"/>
            <w:shd w:val="clear" w:color="auto" w:fill="4F81BD" w:themeFill="accent1"/>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cote supérieure à 0,5 pour les niveaux et inférieure à -1,0 pour les variations </w:t>
            </w:r>
            <w:r>
              <w:rPr>
                <w:rFonts w:ascii="Times New Roman" w:hAnsi="Times New Roman"/>
                <w:i/>
                <w:noProof/>
                <w:sz w:val="20"/>
                <w:szCs w:val="20"/>
                <w:lang w:val="fr-BE"/>
              </w:rPr>
              <w:t>et</w:t>
            </w:r>
            <w:r>
              <w:rPr>
                <w:rFonts w:ascii="Times New Roman" w:hAnsi="Times New Roman"/>
                <w:noProof/>
                <w:sz w:val="20"/>
                <w:szCs w:val="20"/>
                <w:lang w:val="fr-BE"/>
              </w:rPr>
              <w:t xml:space="preserve"> présence d’une variation inféri</w:t>
            </w:r>
            <w:r>
              <w:rPr>
                <w:rFonts w:ascii="Times New Roman" w:hAnsi="Times New Roman"/>
                <w:noProof/>
                <w:sz w:val="20"/>
                <w:szCs w:val="20"/>
                <w:lang w:val="fr-BE"/>
              </w:rPr>
              <w:t>eure à zéro</w:t>
            </w:r>
            <w:r>
              <w:rPr>
                <w:rStyle w:val="FootnoteReference"/>
                <w:rFonts w:cs="Times New Roman"/>
                <w:noProof/>
                <w:sz w:val="20"/>
                <w:szCs w:val="20"/>
              </w:rPr>
              <w:footnoteReference w:id="6"/>
            </w:r>
          </w:p>
        </w:tc>
        <w:tc>
          <w:tcPr>
            <w:tcW w:w="5640" w:type="dxa"/>
            <w:shd w:val="clear" w:color="auto" w:fill="4F81BD" w:themeFill="accent1"/>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sont supérieurs ou nettement supérieurs à la moyenne de l’UE mais dont la situation se détériore beaucoup plus vite que la moyenne de l’UE</w:t>
            </w:r>
          </w:p>
        </w:tc>
      </w:tr>
      <w:tr w:rsidR="000F7DD2">
        <w:tc>
          <w:tcPr>
            <w:tcW w:w="2508" w:type="dxa"/>
          </w:tcPr>
          <w:p w:rsidR="000F7DD2" w:rsidRDefault="00BB345B">
            <w:pPr>
              <w:rPr>
                <w:rFonts w:ascii="Times New Roman" w:hAnsi="Times New Roman" w:cs="Times New Roman"/>
                <w:noProof/>
                <w:sz w:val="20"/>
                <w:szCs w:val="20"/>
                <w:lang w:val="fr-BE"/>
              </w:rPr>
            </w:pPr>
            <w:r>
              <w:rPr>
                <w:rFonts w:ascii="Times New Roman" w:hAnsi="Times New Roman"/>
                <w:b/>
                <w:noProof/>
                <w:sz w:val="20"/>
                <w:szCs w:val="20"/>
                <w:lang w:val="fr-BE"/>
              </w:rPr>
              <w:t>Autour de la moyenne / neutre</w:t>
            </w:r>
          </w:p>
        </w:tc>
        <w:tc>
          <w:tcPr>
            <w:tcW w:w="5640" w:type="dxa"/>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cote comprise entre -0,5 et 0,5 pour les </w:t>
            </w:r>
            <w:r>
              <w:rPr>
                <w:rFonts w:ascii="Times New Roman" w:hAnsi="Times New Roman"/>
                <w:noProof/>
                <w:sz w:val="20"/>
                <w:szCs w:val="20"/>
                <w:lang w:val="fr-BE"/>
              </w:rPr>
              <w:t>niveaux et -1,0 et 1,0 pour les variations</w:t>
            </w:r>
          </w:p>
        </w:tc>
        <w:tc>
          <w:tcPr>
            <w:tcW w:w="5640" w:type="dxa"/>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se situent autour de la moyenne et dont la situation ne s’améliore, ni ne se détériore pas plus vite que la moyenne de l’UE</w:t>
            </w:r>
          </w:p>
        </w:tc>
      </w:tr>
      <w:tr w:rsidR="000F7DD2">
        <w:tc>
          <w:tcPr>
            <w:tcW w:w="2508" w:type="dxa"/>
            <w:shd w:val="clear" w:color="auto" w:fill="FFFF00"/>
          </w:tcPr>
          <w:p w:rsidR="000F7DD2" w:rsidRDefault="00BB345B">
            <w:pPr>
              <w:rPr>
                <w:rFonts w:ascii="Times New Roman" w:hAnsi="Times New Roman" w:cs="Times New Roman"/>
                <w:noProof/>
                <w:sz w:val="20"/>
                <w:szCs w:val="20"/>
                <w:lang w:val="fr-BE"/>
              </w:rPr>
            </w:pPr>
            <w:r>
              <w:rPr>
                <w:rFonts w:ascii="Times New Roman" w:hAnsi="Times New Roman"/>
                <w:b/>
                <w:noProof/>
                <w:sz w:val="20"/>
                <w:szCs w:val="20"/>
                <w:lang w:val="fr-BE"/>
              </w:rPr>
              <w:t>Faible mais en voie d’amélioration</w:t>
            </w:r>
          </w:p>
        </w:tc>
        <w:tc>
          <w:tcPr>
            <w:tcW w:w="5640" w:type="dxa"/>
            <w:shd w:val="clear" w:color="auto" w:fill="FFFF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cote inférieure à -0,5</w:t>
            </w:r>
            <w:r>
              <w:rPr>
                <w:rFonts w:ascii="Times New Roman" w:hAnsi="Times New Roman"/>
                <w:noProof/>
                <w:sz w:val="20"/>
                <w:szCs w:val="20"/>
                <w:lang w:val="fr-BE"/>
              </w:rPr>
              <w:t xml:space="preserve"> pour les niveaux et supérieure à 1,0 pour les variations</w:t>
            </w:r>
          </w:p>
        </w:tc>
        <w:tc>
          <w:tcPr>
            <w:tcW w:w="5640" w:type="dxa"/>
            <w:shd w:val="clear" w:color="auto" w:fill="FFFF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sont inférieurs ou très inférieurs à la moyenne de l’UE mais dont la situation s’améliore beaucoup plus vite que la moyenne de l’UE</w:t>
            </w:r>
          </w:p>
        </w:tc>
      </w:tr>
      <w:tr w:rsidR="000F7DD2">
        <w:tc>
          <w:tcPr>
            <w:tcW w:w="2508" w:type="dxa"/>
            <w:shd w:val="clear" w:color="auto" w:fill="FFC000"/>
          </w:tcPr>
          <w:p w:rsidR="000F7DD2" w:rsidRDefault="00BB345B">
            <w:pPr>
              <w:rPr>
                <w:rFonts w:ascii="Times New Roman" w:hAnsi="Times New Roman" w:cs="Times New Roman"/>
                <w:noProof/>
                <w:sz w:val="20"/>
                <w:szCs w:val="20"/>
              </w:rPr>
            </w:pPr>
            <w:r>
              <w:rPr>
                <w:rFonts w:ascii="Times New Roman" w:hAnsi="Times New Roman"/>
                <w:b/>
                <w:noProof/>
                <w:sz w:val="20"/>
                <w:szCs w:val="20"/>
              </w:rPr>
              <w:t>À surveiller</w:t>
            </w:r>
          </w:p>
        </w:tc>
        <w:tc>
          <w:tcPr>
            <w:tcW w:w="5640" w:type="dxa"/>
            <w:shd w:val="clear" w:color="auto" w:fill="FFC0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 xml:space="preserve">cote comprise entre -0,5 et -1,0 pour les niveaux et inférieure à 1,0 pour les variations </w:t>
            </w:r>
            <w:r>
              <w:rPr>
                <w:rFonts w:ascii="Times New Roman" w:hAnsi="Times New Roman"/>
                <w:noProof/>
                <w:sz w:val="20"/>
                <w:szCs w:val="20"/>
                <w:u w:val="single"/>
                <w:lang w:val="fr-BE"/>
              </w:rPr>
              <w:t>ou</w:t>
            </w:r>
            <w:r>
              <w:rPr>
                <w:rFonts w:ascii="Times New Roman" w:hAnsi="Times New Roman"/>
                <w:noProof/>
                <w:sz w:val="20"/>
                <w:szCs w:val="20"/>
                <w:lang w:val="fr-BE"/>
              </w:rPr>
              <w:t xml:space="preserve"> cote comprise entre -0,5 et 0,5 pour les niveaux et inférieure à -1,0 pour les variations (</w:t>
            </w:r>
            <w:r>
              <w:rPr>
                <w:rFonts w:ascii="Times New Roman" w:hAnsi="Times New Roman"/>
                <w:i/>
                <w:noProof/>
                <w:sz w:val="20"/>
                <w:szCs w:val="20"/>
                <w:lang w:val="fr-BE"/>
              </w:rPr>
              <w:t>et</w:t>
            </w:r>
            <w:r>
              <w:rPr>
                <w:rFonts w:ascii="Times New Roman" w:hAnsi="Times New Roman"/>
                <w:noProof/>
                <w:sz w:val="20"/>
                <w:szCs w:val="20"/>
                <w:lang w:val="fr-BE"/>
              </w:rPr>
              <w:t xml:space="preserve"> présence d’une variation inférieure à zéro</w:t>
            </w:r>
            <w:r>
              <w:rPr>
                <w:rStyle w:val="FootnoteReference"/>
                <w:rFonts w:cs="Times New Roman"/>
                <w:noProof/>
                <w:sz w:val="20"/>
                <w:szCs w:val="20"/>
              </w:rPr>
              <w:footnoteReference w:id="7"/>
            </w:r>
            <w:r>
              <w:rPr>
                <w:rFonts w:ascii="Times New Roman" w:hAnsi="Times New Roman"/>
                <w:noProof/>
                <w:sz w:val="20"/>
                <w:szCs w:val="20"/>
                <w:lang w:val="fr-BE"/>
              </w:rPr>
              <w:t>)</w:t>
            </w:r>
          </w:p>
        </w:tc>
        <w:tc>
          <w:tcPr>
            <w:tcW w:w="5640" w:type="dxa"/>
            <w:shd w:val="clear" w:color="auto" w:fill="FFC0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Cette catégorie rassembl</w:t>
            </w:r>
            <w:r>
              <w:rPr>
                <w:rFonts w:ascii="Times New Roman" w:hAnsi="Times New Roman"/>
                <w:noProof/>
                <w:sz w:val="20"/>
                <w:szCs w:val="20"/>
                <w:lang w:val="fr-BE"/>
              </w:rPr>
              <w:t>e deux cas de figure distincts: i) États membres dont les niveaux sont inférieurs à la moyenne de l’UE et dont la situation se détériore ou ne s’améliore pas suffisamment vite; ii) États membres dont les niveaux se situent dans la moyenne de l’UE mais dont</w:t>
            </w:r>
            <w:r>
              <w:rPr>
                <w:rFonts w:ascii="Times New Roman" w:hAnsi="Times New Roman"/>
                <w:noProof/>
                <w:sz w:val="20"/>
                <w:szCs w:val="20"/>
                <w:lang w:val="fr-BE"/>
              </w:rPr>
              <w:t xml:space="preserve"> la situation se détériore nettement plus vite que la moyenne de l’UE</w:t>
            </w:r>
          </w:p>
        </w:tc>
      </w:tr>
      <w:tr w:rsidR="000F7DD2">
        <w:tc>
          <w:tcPr>
            <w:tcW w:w="2508" w:type="dxa"/>
            <w:shd w:val="clear" w:color="auto" w:fill="FF0000"/>
          </w:tcPr>
          <w:p w:rsidR="000F7DD2" w:rsidRDefault="00BB345B">
            <w:pPr>
              <w:rPr>
                <w:rFonts w:ascii="Times New Roman" w:hAnsi="Times New Roman" w:cs="Times New Roman"/>
                <w:noProof/>
                <w:sz w:val="20"/>
                <w:szCs w:val="20"/>
              </w:rPr>
            </w:pPr>
            <w:r>
              <w:rPr>
                <w:rFonts w:ascii="Times New Roman" w:hAnsi="Times New Roman"/>
                <w:b/>
                <w:noProof/>
                <w:sz w:val="20"/>
                <w:szCs w:val="20"/>
              </w:rPr>
              <w:t>Situations critiques</w:t>
            </w:r>
          </w:p>
        </w:tc>
        <w:tc>
          <w:tcPr>
            <w:tcW w:w="5640" w:type="dxa"/>
            <w:shd w:val="clear" w:color="auto" w:fill="FF00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cote inférieure à 1,0 pour les niveaux et à 1,0 pour les variations</w:t>
            </w:r>
          </w:p>
        </w:tc>
        <w:tc>
          <w:tcPr>
            <w:tcW w:w="5640" w:type="dxa"/>
            <w:shd w:val="clear" w:color="auto" w:fill="FF0000"/>
          </w:tcPr>
          <w:p w:rsidR="000F7DD2" w:rsidRDefault="00BB345B">
            <w:pPr>
              <w:jc w:val="both"/>
              <w:rPr>
                <w:rFonts w:ascii="Times New Roman" w:hAnsi="Times New Roman" w:cs="Times New Roman"/>
                <w:noProof/>
                <w:sz w:val="20"/>
                <w:szCs w:val="20"/>
                <w:lang w:val="fr-BE"/>
              </w:rPr>
            </w:pPr>
            <w:r>
              <w:rPr>
                <w:rFonts w:ascii="Times New Roman" w:hAnsi="Times New Roman"/>
                <w:noProof/>
                <w:sz w:val="20"/>
                <w:szCs w:val="20"/>
                <w:lang w:val="fr-BE"/>
              </w:rPr>
              <w:t>États membres dont les niveaux sont nettement inférieurs à la moyenne de l’UE et dont la situati</w:t>
            </w:r>
            <w:r>
              <w:rPr>
                <w:rFonts w:ascii="Times New Roman" w:hAnsi="Times New Roman"/>
                <w:noProof/>
                <w:sz w:val="20"/>
                <w:szCs w:val="20"/>
                <w:lang w:val="fr-BE"/>
              </w:rPr>
              <w:t>on se détériore ou ne s’améliore pas avec suffisamment de rapidité</w:t>
            </w:r>
          </w:p>
        </w:tc>
      </w:tr>
    </w:tbl>
    <w:p w:rsidR="000F7DD2" w:rsidRDefault="000F7DD2">
      <w:pPr>
        <w:rPr>
          <w:rFonts w:ascii="Times New Roman" w:hAnsi="Times New Roman" w:cs="Times New Roman"/>
          <w:b/>
          <w:i/>
          <w:noProof/>
          <w:sz w:val="24"/>
          <w:szCs w:val="24"/>
          <w:lang w:val="fr-BE"/>
        </w:rPr>
      </w:pPr>
    </w:p>
    <w:p w:rsidR="000F7DD2" w:rsidRDefault="000F7DD2">
      <w:pPr>
        <w:rPr>
          <w:rFonts w:ascii="Times New Roman" w:hAnsi="Times New Roman" w:cs="Times New Roman"/>
          <w:b/>
          <w:i/>
          <w:noProof/>
          <w:sz w:val="24"/>
          <w:szCs w:val="24"/>
          <w:lang w:val="fr-BE"/>
        </w:rPr>
      </w:pPr>
    </w:p>
    <w:p w:rsidR="000F7DD2" w:rsidRDefault="00BB345B">
      <w:pPr>
        <w:rPr>
          <w:rFonts w:ascii="Times New Roman" w:hAnsi="Times New Roman" w:cs="Times New Roman"/>
          <w:b/>
          <w:i/>
          <w:noProof/>
          <w:sz w:val="24"/>
          <w:szCs w:val="24"/>
        </w:rPr>
        <w:sectPr w:rsidR="000F7DD2">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20"/>
          <w:docGrid w:linePitch="360"/>
        </w:sectPr>
      </w:pPr>
      <w:r>
        <w:rPr>
          <w:noProof/>
          <w:lang w:val="fr-BE" w:eastAsia="fr-BE"/>
        </w:rPr>
        <w:drawing>
          <wp:inline distT="0" distB="0" distL="0" distR="0">
            <wp:extent cx="6000750" cy="1379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1986" cy="1379504"/>
                    </a:xfrm>
                    <a:prstGeom prst="rect">
                      <a:avLst/>
                    </a:prstGeom>
                    <a:noFill/>
                    <a:ln>
                      <a:noFill/>
                    </a:ln>
                  </pic:spPr>
                </pic:pic>
              </a:graphicData>
            </a:graphic>
          </wp:inline>
        </w:drawing>
      </w:r>
    </w:p>
    <w:p w:rsidR="000F7DD2" w:rsidRDefault="00BB345B">
      <w:pPr>
        <w:spacing w:after="0"/>
        <w:rPr>
          <w:rFonts w:ascii="Times New Roman" w:hAnsi="Times New Roman" w:cs="Times New Roman"/>
          <w:b/>
          <w:i/>
          <w:noProof/>
          <w:sz w:val="24"/>
          <w:szCs w:val="24"/>
          <w:lang w:val="fr-BE"/>
        </w:rPr>
      </w:pPr>
      <w:r>
        <w:rPr>
          <w:rFonts w:ascii="Times New Roman" w:hAnsi="Times New Roman"/>
          <w:b/>
          <w:i/>
          <w:noProof/>
          <w:lang w:val="fr-BE"/>
        </w:rPr>
        <w:t>Tableau résumé des seuils de démarcation</w:t>
      </w:r>
    </w:p>
    <w:tbl>
      <w:tblPr>
        <w:tblW w:w="13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270"/>
        <w:gridCol w:w="883"/>
        <w:gridCol w:w="1361"/>
        <w:gridCol w:w="1360"/>
        <w:gridCol w:w="2218"/>
        <w:gridCol w:w="1532"/>
        <w:gridCol w:w="1492"/>
      </w:tblGrid>
      <w:tr w:rsidR="000F7DD2">
        <w:trPr>
          <w:trHeight w:val="409"/>
        </w:trPr>
        <w:tc>
          <w:tcPr>
            <w:tcW w:w="4308" w:type="dxa"/>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20"/>
                <w:szCs w:val="20"/>
                <w:lang w:val="fr-BE"/>
              </w:rPr>
            </w:pPr>
          </w:p>
        </w:tc>
        <w:tc>
          <w:tcPr>
            <w:tcW w:w="845" w:type="dxa"/>
            <w:shd w:val="clear" w:color="auto" w:fill="auto"/>
            <w:noWrap/>
            <w:vAlign w:val="center"/>
            <w:hideMark/>
          </w:tcPr>
          <w:p w:rsidR="000F7DD2" w:rsidRDefault="000F7DD2">
            <w:pPr>
              <w:spacing w:after="0" w:line="240" w:lineRule="auto"/>
              <w:jc w:val="center"/>
              <w:rPr>
                <w:rFonts w:ascii="Times New Roman" w:eastAsia="Times New Roman" w:hAnsi="Times New Roman" w:cs="Times New Roman"/>
                <w:b/>
                <w:noProof/>
                <w:color w:val="000000"/>
                <w:sz w:val="20"/>
                <w:szCs w:val="20"/>
                <w:lang w:val="fr-BE"/>
              </w:rPr>
            </w:pP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Très faibles</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Faibles</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Correspondant à la moyenne</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Élevés</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Très élevés</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 xml:space="preserve">Jeunes ayant quitté prématurément le système d’éducation et de formation </w:t>
            </w:r>
          </w:p>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 de la population des 18-24 ans)</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5,3 %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7,3 %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7,3 % et 11,2 %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11,2 %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13,2 %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-0,9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-0,5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-0,5 pp et 0,2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0,2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0,8 pp</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Écart taux d’emploi hommes - femmes (pp)</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5,4 %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8,0 %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8,0 % et 13,2 %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13,2 %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15,8 %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-0,7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-0,3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-0,3 pp et 0,5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0,5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0,8 pp</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Rapport interquintile de revenu (S80/S20)</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3,7</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4,3</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4,3 et 5,5</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5,5</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6,2</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-0,4</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-0,2</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-0,2 et 0,1</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0,1</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0,3</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Risque de pauvreté ou d’exclusion sociale (en %)</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16,4 %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19,1 %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19,1 % et 24,6 %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24,6 %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27,4 %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-2,8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-1,9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-1,9 pp et 0,0</w:t>
            </w:r>
            <w:r>
              <w:rPr>
                <w:rFonts w:ascii="Times New Roman" w:hAnsi="Times New Roman"/>
                <w:noProof/>
                <w:sz w:val="16"/>
                <w:szCs w:val="16"/>
              </w:rPr>
              <w:t xml:space="preserve">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0,0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0,9 pp</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Jeunes NEET (% de la population totale âgée de 15 à 24 ans)</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6,1 %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7,9 %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7,9 % et 11,4 %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11,4 %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13,2 %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-1,5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-1,1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-1,1 pp et -0,3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-0,3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0,1 pp</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 xml:space="preserve">Taux d’emploi (% de la population âgée de 20 à 64 ans) </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68,5 %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71,2 %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71,2 % et 76,6 %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76,6 %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79,3 %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0,7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1,0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1,0 pp et 1,7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1,7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2,0 pp</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 xml:space="preserve">Taux de chômage (% de la population active âgée de 15 à 74 ans) </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2,9 %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4,8 %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4,8 % et 8,4 %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8,4 %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10,2 %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-1,7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-1,4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-1,4 pp et -0,7pp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-0,7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 pp</w:t>
            </w:r>
          </w:p>
        </w:tc>
      </w:tr>
      <w:tr w:rsidR="000F7DD2">
        <w:trPr>
          <w:trHeight w:hRule="exact" w:val="258"/>
        </w:trPr>
        <w:tc>
          <w:tcPr>
            <w:tcW w:w="4308" w:type="dxa"/>
            <w:vMerge w:val="restart"/>
            <w:shd w:val="clear" w:color="auto" w:fill="auto"/>
            <w:vAlign w:val="center"/>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Taux de chômage de longue durée (% de la population active âgée de 15 à 74 ans)</w:t>
            </w:r>
          </w:p>
        </w:tc>
        <w:tc>
          <w:tcPr>
            <w:tcW w:w="845"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0,2 %</w:t>
            </w:r>
          </w:p>
        </w:tc>
        <w:tc>
          <w:tcPr>
            <w:tcW w:w="1360"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1,4 %</w:t>
            </w:r>
          </w:p>
        </w:tc>
        <w:tc>
          <w:tcPr>
            <w:tcW w:w="2218"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1,4 % et 4,0 %</w:t>
            </w:r>
          </w:p>
        </w:tc>
        <w:tc>
          <w:tcPr>
            <w:tcW w:w="153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Plus </w:t>
            </w:r>
            <w:r>
              <w:rPr>
                <w:rFonts w:ascii="Times New Roman" w:hAnsi="Times New Roman"/>
                <w:noProof/>
                <w:sz w:val="16"/>
                <w:szCs w:val="16"/>
              </w:rPr>
              <w:t>de 4,0 %</w:t>
            </w:r>
          </w:p>
        </w:tc>
        <w:tc>
          <w:tcPr>
            <w:tcW w:w="149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5,3 %</w:t>
            </w:r>
          </w:p>
        </w:tc>
      </w:tr>
      <w:tr w:rsidR="000F7DD2">
        <w:trPr>
          <w:trHeight w:hRule="exact" w:val="258"/>
        </w:trPr>
        <w:tc>
          <w:tcPr>
            <w:tcW w:w="4308" w:type="dxa"/>
            <w:vMerge/>
            <w:shd w:val="clear" w:color="auto" w:fill="auto"/>
            <w:vAlign w:val="center"/>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-1,2 pp</w:t>
            </w:r>
          </w:p>
        </w:tc>
        <w:tc>
          <w:tcPr>
            <w:tcW w:w="1360"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-0,9 pp</w:t>
            </w:r>
          </w:p>
        </w:tc>
        <w:tc>
          <w:tcPr>
            <w:tcW w:w="2218"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-0,9 pp et -0,4 pp</w:t>
            </w:r>
          </w:p>
        </w:tc>
        <w:tc>
          <w:tcPr>
            <w:tcW w:w="153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-0,4 pp</w:t>
            </w:r>
          </w:p>
        </w:tc>
        <w:tc>
          <w:tcPr>
            <w:tcW w:w="149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-0,1 pp</w:t>
            </w:r>
          </w:p>
        </w:tc>
      </w:tr>
      <w:tr w:rsidR="000F7DD2">
        <w:trPr>
          <w:trHeight w:hRule="exact" w:val="258"/>
        </w:trPr>
        <w:tc>
          <w:tcPr>
            <w:tcW w:w="4308" w:type="dxa"/>
            <w:vMerge w:val="restart"/>
            <w:shd w:val="clear" w:color="auto" w:fill="auto"/>
            <w:vAlign w:val="center"/>
          </w:tcPr>
          <w:p w:rsidR="000F7DD2" w:rsidRDefault="00BB345B">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RDBM réel par habitant (2008 = 100)</w:t>
            </w:r>
          </w:p>
        </w:tc>
        <w:tc>
          <w:tcPr>
            <w:tcW w:w="845"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93,6</w:t>
            </w:r>
          </w:p>
        </w:tc>
        <w:tc>
          <w:tcPr>
            <w:tcW w:w="1360"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100,1</w:t>
            </w:r>
          </w:p>
        </w:tc>
        <w:tc>
          <w:tcPr>
            <w:tcW w:w="2218"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100,1 et 113,2</w:t>
            </w:r>
          </w:p>
        </w:tc>
        <w:tc>
          <w:tcPr>
            <w:tcW w:w="153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Plus de </w:t>
            </w:r>
            <w:r>
              <w:rPr>
                <w:rFonts w:ascii="Times New Roman" w:hAnsi="Times New Roman"/>
                <w:noProof/>
                <w:sz w:val="16"/>
                <w:szCs w:val="16"/>
              </w:rPr>
              <w:t>113,2</w:t>
            </w:r>
          </w:p>
        </w:tc>
        <w:tc>
          <w:tcPr>
            <w:tcW w:w="149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119,8</w:t>
            </w:r>
          </w:p>
        </w:tc>
      </w:tr>
      <w:tr w:rsidR="000F7DD2">
        <w:trPr>
          <w:trHeight w:hRule="exact" w:val="258"/>
        </w:trPr>
        <w:tc>
          <w:tcPr>
            <w:tcW w:w="4308" w:type="dxa"/>
            <w:vMerge/>
            <w:shd w:val="clear" w:color="auto" w:fill="auto"/>
            <w:vAlign w:val="center"/>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0,0 pp</w:t>
            </w:r>
          </w:p>
        </w:tc>
        <w:tc>
          <w:tcPr>
            <w:tcW w:w="1360"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1,2 pp</w:t>
            </w:r>
          </w:p>
        </w:tc>
        <w:tc>
          <w:tcPr>
            <w:tcW w:w="2218"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1,2 pp et 3,7 pp</w:t>
            </w:r>
          </w:p>
        </w:tc>
        <w:tc>
          <w:tcPr>
            <w:tcW w:w="153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3,7 pp</w:t>
            </w:r>
          </w:p>
        </w:tc>
        <w:tc>
          <w:tcPr>
            <w:tcW w:w="149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4,9 pp</w:t>
            </w:r>
          </w:p>
        </w:tc>
      </w:tr>
      <w:tr w:rsidR="000F7DD2">
        <w:trPr>
          <w:trHeight w:val="341"/>
        </w:trPr>
        <w:tc>
          <w:tcPr>
            <w:tcW w:w="4308" w:type="dxa"/>
            <w:vMerge w:val="restart"/>
            <w:shd w:val="clear" w:color="auto" w:fill="auto"/>
            <w:vAlign w:val="center"/>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 xml:space="preserve">Rémunération nette d’un travailleur à plein temps célibataire percevant le salaire moyen (niveaux en SPA, </w:t>
            </w:r>
            <w:r>
              <w:rPr>
                <w:rFonts w:ascii="Times New Roman" w:hAnsi="Times New Roman"/>
                <w:b/>
                <w:noProof/>
                <w:sz w:val="16"/>
                <w:szCs w:val="16"/>
                <w:lang w:val="fr-BE"/>
              </w:rPr>
              <w:t>variations en monnaie nationale en termes réels)</w:t>
            </w:r>
          </w:p>
        </w:tc>
        <w:tc>
          <w:tcPr>
            <w:tcW w:w="845"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13 381</w:t>
            </w:r>
          </w:p>
        </w:tc>
        <w:tc>
          <w:tcPr>
            <w:tcW w:w="1360"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16 990</w:t>
            </w:r>
          </w:p>
        </w:tc>
        <w:tc>
          <w:tcPr>
            <w:tcW w:w="2218"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16 990 et 24 209</w:t>
            </w:r>
          </w:p>
        </w:tc>
        <w:tc>
          <w:tcPr>
            <w:tcW w:w="153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24 209</w:t>
            </w:r>
          </w:p>
        </w:tc>
        <w:tc>
          <w:tcPr>
            <w:tcW w:w="149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27 819</w:t>
            </w:r>
          </w:p>
        </w:tc>
      </w:tr>
      <w:tr w:rsidR="000F7DD2">
        <w:trPr>
          <w:trHeight w:val="341"/>
        </w:trPr>
        <w:tc>
          <w:tcPr>
            <w:tcW w:w="4308" w:type="dxa"/>
            <w:vMerge/>
            <w:shd w:val="clear" w:color="auto" w:fill="auto"/>
            <w:vAlign w:val="center"/>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-0,1 %</w:t>
            </w:r>
          </w:p>
        </w:tc>
        <w:tc>
          <w:tcPr>
            <w:tcW w:w="1360"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1,2 %</w:t>
            </w:r>
          </w:p>
        </w:tc>
        <w:tc>
          <w:tcPr>
            <w:tcW w:w="2218"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1,2 % et 3,8 %</w:t>
            </w:r>
          </w:p>
        </w:tc>
        <w:tc>
          <w:tcPr>
            <w:tcW w:w="153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3,8 %</w:t>
            </w:r>
          </w:p>
        </w:tc>
        <w:tc>
          <w:tcPr>
            <w:tcW w:w="1492" w:type="dxa"/>
            <w:shd w:val="clear" w:color="auto" w:fill="auto"/>
            <w:noWrap/>
            <w:vAlign w:val="center"/>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5,1 %</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Incidence des transferts sociaux (autres que les pensions) sur la réduction de la pauvreté (%)</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23,4 %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28,7 %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28,7 % et 39,3 %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39,3 %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44,6 %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-3,1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-1,8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entre </w:t>
            </w:r>
            <w:r>
              <w:rPr>
                <w:rFonts w:ascii="Times New Roman" w:hAnsi="Times New Roman"/>
                <w:noProof/>
                <w:sz w:val="16"/>
                <w:szCs w:val="16"/>
              </w:rPr>
              <w:t>-1,8 pp et 0,9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0,9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2,2 pp</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Enfants de moins de 3 ans dans des structures d’accueil formelles (%)</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16,4 %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24,9 %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24,9 % et 41,9 %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41,9 %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50,4 %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Inférieures à -3,8 </w:t>
            </w:r>
            <w:r>
              <w:rPr>
                <w:rFonts w:ascii="Times New Roman" w:hAnsi="Times New Roman"/>
                <w:noProof/>
                <w:sz w:val="16"/>
                <w:szCs w:val="16"/>
              </w:rPr>
              <w:t>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-1,3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-1,3 pp et 3,8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3,8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6,3 pp</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Besoins en soins médicaux non satisfaits déclarés par l’intéressé (%)</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-0,6 %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1,1 %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1,1 % et 4,4 %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4,4 %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6,1 %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-0,8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-0,3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-0,3 pp et 0,7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0,7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1,2 pp</w:t>
            </w:r>
          </w:p>
        </w:tc>
      </w:tr>
      <w:tr w:rsidR="000F7DD2">
        <w:trPr>
          <w:trHeight w:hRule="exact" w:val="258"/>
        </w:trPr>
        <w:tc>
          <w:tcPr>
            <w:tcW w:w="4308" w:type="dxa"/>
            <w:vMerge w:val="restart"/>
            <w:shd w:val="clear" w:color="auto" w:fill="auto"/>
            <w:vAlign w:val="center"/>
            <w:hideMark/>
          </w:tcPr>
          <w:p w:rsidR="000F7DD2" w:rsidRDefault="00BB345B">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sz w:val="16"/>
                <w:szCs w:val="16"/>
                <w:lang w:val="fr-BE"/>
              </w:rPr>
              <w:t>Personnes ayant des compétences numériques générales de base ou plus (en % de la population âgée de 16 à 74 ans)</w:t>
            </w: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Niveaux</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Moins de </w:t>
            </w:r>
            <w:r>
              <w:rPr>
                <w:rFonts w:ascii="Times New Roman" w:hAnsi="Times New Roman"/>
                <w:noProof/>
                <w:sz w:val="16"/>
                <w:szCs w:val="16"/>
              </w:rPr>
              <w:t>43,4 %</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Moins de 50,4 %</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50,4 % et 64,3 %</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64,3 %</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Plus de 71,3 %</w:t>
            </w:r>
          </w:p>
        </w:tc>
      </w:tr>
      <w:tr w:rsidR="000F7DD2">
        <w:trPr>
          <w:trHeight w:hRule="exact" w:val="258"/>
        </w:trPr>
        <w:tc>
          <w:tcPr>
            <w:tcW w:w="4308" w:type="dxa"/>
            <w:vMerge/>
            <w:shd w:val="clear" w:color="auto" w:fill="auto"/>
            <w:vAlign w:val="center"/>
            <w:hideMark/>
          </w:tcPr>
          <w:p w:rsidR="000F7DD2" w:rsidRDefault="000F7DD2">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Variations</w:t>
            </w:r>
          </w:p>
        </w:tc>
        <w:tc>
          <w:tcPr>
            <w:tcW w:w="1361"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-3,0 pp</w:t>
            </w:r>
          </w:p>
        </w:tc>
        <w:tc>
          <w:tcPr>
            <w:tcW w:w="1360"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Inférieures à -0,9 pp</w:t>
            </w:r>
          </w:p>
        </w:tc>
        <w:tc>
          <w:tcPr>
            <w:tcW w:w="2218"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entre -0,9 pp et 3,5 pp</w:t>
            </w:r>
          </w:p>
        </w:tc>
        <w:tc>
          <w:tcPr>
            <w:tcW w:w="153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3,5 pp</w:t>
            </w:r>
          </w:p>
        </w:tc>
        <w:tc>
          <w:tcPr>
            <w:tcW w:w="1492" w:type="dxa"/>
            <w:shd w:val="clear" w:color="auto" w:fill="auto"/>
            <w:noWrap/>
            <w:vAlign w:val="center"/>
            <w:hideMark/>
          </w:tcPr>
          <w:p w:rsidR="000F7DD2" w:rsidRDefault="00BB345B">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Supérieures à 5,6 pp</w:t>
            </w:r>
          </w:p>
        </w:tc>
      </w:tr>
    </w:tbl>
    <w:p w:rsidR="000F7DD2" w:rsidRDefault="000F7DD2">
      <w:pPr>
        <w:spacing w:line="240" w:lineRule="auto"/>
        <w:rPr>
          <w:noProof/>
        </w:rPr>
        <w:sectPr w:rsidR="000F7DD2">
          <w:headerReference w:type="even" r:id="rId33"/>
          <w:headerReference w:type="default" r:id="rId34"/>
          <w:footerReference w:type="even" r:id="rId35"/>
          <w:footerReference w:type="default" r:id="rId36"/>
          <w:headerReference w:type="first" r:id="rId37"/>
          <w:footerReference w:type="first" r:id="rId38"/>
          <w:pgSz w:w="16838" w:h="11906" w:orient="landscape"/>
          <w:pgMar w:top="1417" w:right="1417" w:bottom="1417" w:left="1417" w:header="708" w:footer="708" w:gutter="0"/>
          <w:cols w:space="720"/>
          <w:docGrid w:linePitch="360"/>
        </w:sectPr>
      </w:pPr>
    </w:p>
    <w:p w:rsidR="000F7DD2" w:rsidRDefault="00BB345B">
      <w:pPr>
        <w:jc w:val="both"/>
        <w:rPr>
          <w:rFonts w:ascii="Times New Roman" w:eastAsia="Calibri" w:hAnsi="Times New Roman" w:cs="Times New Roman"/>
          <w:b/>
          <w:noProof/>
          <w:sz w:val="24"/>
          <w:szCs w:val="24"/>
          <w:lang w:val="fr-BE"/>
        </w:rPr>
      </w:pPr>
      <w:r>
        <w:rPr>
          <w:rFonts w:ascii="Times New Roman" w:hAnsi="Times New Roman"/>
          <w:b/>
          <w:noProof/>
          <w:lang w:val="fr-BE"/>
        </w:rPr>
        <w:t>Annexe 5. Tableau synthétique des «tendances en matière d’emploi à surveiller» et nombre d’États membres présentant une détérioration ou une amélioration, recensés par le relevé des résultats en matière d’emploi (EPM) pour 2019</w:t>
      </w:r>
    </w:p>
    <w:p w:rsidR="000F7DD2" w:rsidRDefault="00BB345B">
      <w:pPr>
        <w:spacing w:line="240" w:lineRule="auto"/>
        <w:rPr>
          <w:rFonts w:ascii="Times New Roman" w:hAnsi="Times New Roman" w:cs="Times New Roman"/>
          <w:noProof/>
          <w:sz w:val="24"/>
          <w:szCs w:val="24"/>
        </w:rPr>
      </w:pPr>
      <w:r>
        <w:rPr>
          <w:noProof/>
          <w:lang w:val="fr-BE" w:eastAsia="fr-BE"/>
        </w:rPr>
        <w:drawing>
          <wp:inline distT="0" distB="0" distL="0" distR="0">
            <wp:extent cx="5760720" cy="2996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996866"/>
                    </a:xfrm>
                    <a:prstGeom prst="rect">
                      <a:avLst/>
                    </a:prstGeom>
                    <a:noFill/>
                    <a:ln>
                      <a:noFill/>
                    </a:ln>
                  </pic:spPr>
                </pic:pic>
              </a:graphicData>
            </a:graphic>
          </wp:inline>
        </w:drawing>
      </w:r>
    </w:p>
    <w:p w:rsidR="000F7DD2" w:rsidRDefault="000F7DD2">
      <w:pPr>
        <w:spacing w:line="240" w:lineRule="auto"/>
        <w:rPr>
          <w:noProof/>
        </w:rPr>
      </w:pPr>
    </w:p>
    <w:p w:rsidR="000F7DD2" w:rsidRDefault="00BB345B">
      <w:pPr>
        <w:jc w:val="both"/>
        <w:rPr>
          <w:rFonts w:ascii="Times New Roman" w:hAnsi="Times New Roman" w:cs="Times New Roman"/>
          <w:noProof/>
          <w:sz w:val="20"/>
          <w:lang w:val="fr-BE"/>
        </w:rPr>
      </w:pPr>
      <w:r>
        <w:rPr>
          <w:rFonts w:ascii="Times New Roman" w:hAnsi="Times New Roman"/>
          <w:noProof/>
          <w:sz w:val="20"/>
          <w:lang w:val="fr-BE"/>
        </w:rPr>
        <w:t>Remarque: variations 2017-2018, sauf pour le taux de risque de pauvreté des chômeurs, le piège du chômage et l’écart de rémunération entre hommes et femmes, variations 2016-2017.</w:t>
      </w:r>
    </w:p>
    <w:p w:rsidR="000F7DD2" w:rsidRDefault="000F7DD2">
      <w:pPr>
        <w:spacing w:line="240" w:lineRule="auto"/>
        <w:rPr>
          <w:noProof/>
          <w:lang w:val="fr-BE"/>
        </w:rPr>
      </w:pPr>
    </w:p>
    <w:p w:rsidR="000F7DD2" w:rsidRDefault="00BB345B">
      <w:pPr>
        <w:rPr>
          <w:rFonts w:ascii="Times New Roman" w:eastAsia="Calibri" w:hAnsi="Times New Roman" w:cs="Times New Roman"/>
          <w:b/>
          <w:noProof/>
          <w:sz w:val="24"/>
          <w:szCs w:val="24"/>
          <w:lang w:val="fr-BE"/>
        </w:rPr>
      </w:pPr>
      <w:r>
        <w:rPr>
          <w:noProof/>
          <w:lang w:val="fr-BE"/>
        </w:rPr>
        <w:br w:type="page"/>
      </w:r>
    </w:p>
    <w:p w:rsidR="000F7DD2" w:rsidRDefault="00BB345B">
      <w:pPr>
        <w:jc w:val="both"/>
        <w:rPr>
          <w:rFonts w:ascii="Times New Roman" w:eastAsia="Calibri" w:hAnsi="Times New Roman" w:cs="Times New Roman"/>
          <w:b/>
          <w:noProof/>
          <w:sz w:val="24"/>
          <w:szCs w:val="24"/>
          <w:lang w:val="fr-BE"/>
        </w:rPr>
      </w:pPr>
      <w:r>
        <w:rPr>
          <w:rFonts w:ascii="Times New Roman" w:hAnsi="Times New Roman"/>
          <w:b/>
          <w:noProof/>
          <w:lang w:val="fr-BE"/>
        </w:rPr>
        <w:t>Annexe 6. Tableau synthétique des «tendances sociales à surveiller» et nom</w:t>
      </w:r>
      <w:r>
        <w:rPr>
          <w:rFonts w:ascii="Times New Roman" w:hAnsi="Times New Roman"/>
          <w:b/>
          <w:noProof/>
          <w:lang w:val="fr-BE"/>
        </w:rPr>
        <w:t>bre d’États membres présentant une détérioration ou une amélioration sur 2016 - 2017, recensés par le suivi des résultats dans le domaine de la protection sociale (SPPM) tel que mis à jour en 2019.</w:t>
      </w:r>
    </w:p>
    <w:p w:rsidR="000F7DD2" w:rsidRDefault="00BB345B">
      <w:pPr>
        <w:spacing w:line="240" w:lineRule="auto"/>
        <w:rPr>
          <w:noProof/>
        </w:rPr>
      </w:pPr>
      <w:r>
        <w:rPr>
          <w:noProof/>
          <w:lang w:val="fr-BE" w:eastAsia="fr-BE"/>
        </w:rPr>
        <w:drawing>
          <wp:inline distT="0" distB="0" distL="0" distR="0">
            <wp:extent cx="5634564" cy="549435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8495" cy="5498184"/>
                    </a:xfrm>
                    <a:prstGeom prst="rect">
                      <a:avLst/>
                    </a:prstGeom>
                    <a:noFill/>
                  </pic:spPr>
                </pic:pic>
              </a:graphicData>
            </a:graphic>
          </wp:inline>
        </w:drawing>
      </w:r>
    </w:p>
    <w:p w:rsidR="000F7DD2" w:rsidRDefault="00BB345B">
      <w:pPr>
        <w:jc w:val="both"/>
        <w:rPr>
          <w:rFonts w:ascii="Times New Roman" w:hAnsi="Times New Roman" w:cs="Times New Roman"/>
          <w:iCs/>
          <w:noProof/>
          <w:sz w:val="24"/>
          <w:szCs w:val="24"/>
          <w:lang w:val="fr-BE"/>
        </w:rPr>
      </w:pPr>
      <w:r>
        <w:rPr>
          <w:rFonts w:ascii="Times New Roman" w:hAnsi="Times New Roman"/>
          <w:noProof/>
          <w:sz w:val="20"/>
          <w:lang w:val="fr-BE"/>
        </w:rPr>
        <w:t>Remarque: pour les indicateurs fondés sur les statistiqu</w:t>
      </w:r>
      <w:r>
        <w:rPr>
          <w:rFonts w:ascii="Times New Roman" w:hAnsi="Times New Roman"/>
          <w:noProof/>
          <w:sz w:val="20"/>
          <w:lang w:val="fr-BE"/>
        </w:rPr>
        <w:t>es SRCV-UE, les variations se rapportent en fait généralement à 2015-2016 pour les indicateurs de revenu et d’intensité du travail des ménages. Pour les indicateurs fondés sur l’EFT [taux de chômage de longue durée, jeunes en décrochage scolaire, taux de c</w:t>
      </w:r>
      <w:r>
        <w:rPr>
          <w:rFonts w:ascii="Times New Roman" w:hAnsi="Times New Roman"/>
          <w:noProof/>
          <w:sz w:val="20"/>
          <w:lang w:val="fr-BE"/>
        </w:rPr>
        <w:t>hômage des jeunes, NEET (15-24 ans), taux d’emploi (55-64 ans)], les variations se rapportent à la période 2017-2018 ;</w:t>
      </w:r>
    </w:p>
    <w:sectPr w:rsidR="000F7DD2">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DD2" w:rsidRDefault="00BB345B">
      <w:pPr>
        <w:spacing w:after="0" w:line="240" w:lineRule="auto"/>
      </w:pPr>
      <w:r>
        <w:separator/>
      </w:r>
    </w:p>
  </w:endnote>
  <w:endnote w:type="continuationSeparator" w:id="0">
    <w:p w:rsidR="000F7DD2" w:rsidRDefault="00BB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474900"/>
      <w:docPartObj>
        <w:docPartGallery w:val="Page Numbers (Bottom of Page)"/>
        <w:docPartUnique/>
      </w:docPartObj>
    </w:sdtPr>
    <w:sdtEndPr>
      <w:rPr>
        <w:rFonts w:ascii="Times New Roman" w:hAnsi="Times New Roman" w:cs="Times New Roman"/>
        <w:noProof/>
        <w:sz w:val="24"/>
        <w:szCs w:val="24"/>
      </w:rPr>
    </w:sdtEndPr>
    <w:sdtContent>
      <w:p w:rsidR="000F7DD2" w:rsidRDefault="00BB345B">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24</w:t>
        </w:r>
        <w:r>
          <w:rPr>
            <w:rFonts w:ascii="Times New Roman" w:hAnsi="Times New Roman" w:cs="Times New Roman"/>
            <w:sz w:val="24"/>
            <w:szCs w:val="24"/>
          </w:rPr>
          <w:fldChar w:fldCharType="end"/>
        </w:r>
      </w:p>
    </w:sdtContent>
  </w:sdt>
  <w:p w:rsidR="000F7DD2" w:rsidRDefault="000F7DD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BB345B">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234590"/>
      <w:docPartObj>
        <w:docPartGallery w:val="Page Numbers (Bottom of Page)"/>
        <w:docPartUnique/>
      </w:docPartObj>
    </w:sdtPr>
    <w:sdtEndPr>
      <w:rPr>
        <w:rFonts w:ascii="Times New Roman" w:hAnsi="Times New Roman" w:cs="Times New Roman"/>
        <w:noProof/>
        <w:sz w:val="24"/>
        <w:szCs w:val="24"/>
      </w:rPr>
    </w:sdtEndPr>
    <w:sdtContent>
      <w:p w:rsidR="000F7DD2" w:rsidRDefault="00BB345B">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p>
    </w:sdtContent>
  </w:sdt>
  <w:p w:rsidR="000F7DD2" w:rsidRDefault="000F7D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497916"/>
      <w:docPartObj>
        <w:docPartGallery w:val="Page Numbers (Bottom of Page)"/>
        <w:docPartUnique/>
      </w:docPartObj>
    </w:sdtPr>
    <w:sdtEndPr>
      <w:rPr>
        <w:rFonts w:ascii="Times New Roman" w:hAnsi="Times New Roman" w:cs="Times New Roman"/>
        <w:noProof/>
        <w:sz w:val="24"/>
        <w:szCs w:val="24"/>
      </w:rPr>
    </w:sdtEndPr>
    <w:sdtContent>
      <w:p w:rsidR="000F7DD2" w:rsidRDefault="00BB345B">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23</w:t>
        </w:r>
        <w:r>
          <w:rPr>
            <w:rFonts w:ascii="Times New Roman" w:hAnsi="Times New Roman" w:cs="Times New Roman"/>
            <w:sz w:val="24"/>
            <w:szCs w:val="24"/>
          </w:rPr>
          <w:fldChar w:fldCharType="end"/>
        </w:r>
      </w:p>
    </w:sdtContent>
  </w:sdt>
  <w:p w:rsidR="000F7DD2" w:rsidRDefault="000F7DD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DD2" w:rsidRDefault="00BB345B">
      <w:pPr>
        <w:spacing w:after="0" w:line="240" w:lineRule="auto"/>
      </w:pPr>
      <w:r>
        <w:separator/>
      </w:r>
    </w:p>
  </w:footnote>
  <w:footnote w:type="continuationSeparator" w:id="0">
    <w:p w:rsidR="000F7DD2" w:rsidRDefault="00BB345B">
      <w:pPr>
        <w:spacing w:after="0" w:line="240" w:lineRule="auto"/>
      </w:pPr>
      <w:r>
        <w:continuationSeparator/>
      </w:r>
    </w:p>
  </w:footnote>
  <w:footnote w:id="1">
    <w:p w:rsidR="000F7DD2" w:rsidRDefault="00BB345B">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ab/>
        <w:t xml:space="preserve">Sauf en ce qui concerne le nouvel indicateur «rémunération nette d’un travailleur à plein </w:t>
      </w:r>
      <w:r>
        <w:rPr>
          <w:rFonts w:ascii="Times New Roman" w:hAnsi="Times New Roman"/>
        </w:rPr>
        <w:t>temps célibataire et sans enfant percevant un salaire moyen», pour lequel les moyennes sur trois ans sont utilisées pour lisser les fluctuations à court terme, et ce tant pour les niveaux que pour les variations.</w:t>
      </w:r>
    </w:p>
  </w:footnote>
  <w:footnote w:id="2">
    <w:p w:rsidR="000F7DD2" w:rsidRDefault="00BB345B">
      <w:pPr>
        <w:pStyle w:val="FootnoteText"/>
        <w:rPr>
          <w:rFonts w:ascii="Times New Roman" w:hAnsi="Times New Roman" w:cs="Times New Roman"/>
        </w:rPr>
      </w:pPr>
      <w:r>
        <w:rPr>
          <w:rStyle w:val="FootnoteReference"/>
          <w:rFonts w:cs="Times New Roman"/>
        </w:rPr>
        <w:footnoteRef/>
      </w:r>
      <w:r>
        <w:rPr>
          <w:rFonts w:ascii="Times New Roman" w:hAnsi="Times New Roman"/>
        </w:rPr>
        <w:tab/>
        <w:t xml:space="preserve">Les tests de normalité et de répartition </w:t>
      </w:r>
      <w:r>
        <w:rPr>
          <w:rFonts w:ascii="Times New Roman" w:hAnsi="Times New Roman"/>
        </w:rPr>
        <w:t>en T auxquels il a été procédé ont amené à rejeter toute hypothèse distributionnelle.</w:t>
      </w:r>
    </w:p>
  </w:footnote>
  <w:footnote w:id="3">
    <w:p w:rsidR="000F7DD2" w:rsidRDefault="00BB345B">
      <w:pPr>
        <w:pStyle w:val="FootnoteText"/>
        <w:rPr>
          <w:rFonts w:ascii="Times New Roman" w:hAnsi="Times New Roman" w:cs="Times New Roman"/>
        </w:rPr>
      </w:pPr>
      <w:r>
        <w:rPr>
          <w:rStyle w:val="FootnoteReference"/>
          <w:rFonts w:cs="Times New Roman"/>
        </w:rPr>
        <w:footnoteRef/>
      </w:r>
      <w:r>
        <w:rPr>
          <w:rFonts w:ascii="Times New Roman" w:hAnsi="Times New Roman"/>
        </w:rPr>
        <w:tab/>
        <w:t>Dans une situation normale, les seuils de démarcation retenus correspondent approximativement à 15 %, 30 %, 50 %, 70 % et 85 % de la distribution cumulative.</w:t>
      </w:r>
    </w:p>
  </w:footnote>
  <w:footnote w:id="4">
    <w:p w:rsidR="000F7DD2" w:rsidRDefault="00BB345B">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ab/>
        <w:t xml:space="preserve">Ce </w:t>
      </w:r>
      <w:r>
        <w:rPr>
          <w:rFonts w:ascii="Times New Roman" w:hAnsi="Times New Roman"/>
        </w:rPr>
        <w:t>dernier critère évite à l’État membre présentant un niveau «faible» ou «très faible» d’être rangé dans la catégorie «en voie de détérioration» lorsqu’il présente une variation qui, bien que «beaucoup plus élevée que la moyenne», continue de s’améliorer.</w:t>
      </w:r>
    </w:p>
  </w:footnote>
  <w:footnote w:id="5">
    <w:p w:rsidR="000F7DD2" w:rsidRDefault="00BB345B">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ab/>
      </w:r>
      <w:r>
        <w:rPr>
          <w:rFonts w:ascii="Times New Roman" w:hAnsi="Times New Roman"/>
        </w:rPr>
        <w:t>Ce dernier critère évite à l’État membre présentant un niveau «autour de la moyenne» d’être rangé dans la catégorie «à surveiller» lorsqu’il présente une variation qui, bien que «beaucoup plus élevée que la moyenne», continue de s’améliorer.</w:t>
      </w:r>
    </w:p>
  </w:footnote>
  <w:footnote w:id="6">
    <w:p w:rsidR="000F7DD2" w:rsidRDefault="00BB345B">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ab/>
        <w:t>Ce dernier c</w:t>
      </w:r>
      <w:r>
        <w:rPr>
          <w:rFonts w:ascii="Times New Roman" w:hAnsi="Times New Roman"/>
        </w:rPr>
        <w:t>ritère évite à l’État membre présentant un niveau «élevé» ou «très élevé» d’être rangé dans la catégorie «en voie de détérioration» lorsqu’il présente une variation qui, bien que «beaucoup plus faible que la moyenne», continue de s’améliorer.</w:t>
      </w:r>
    </w:p>
  </w:footnote>
  <w:footnote w:id="7">
    <w:p w:rsidR="000F7DD2" w:rsidRDefault="00BB345B">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ab/>
        <w:t xml:space="preserve">Ce dernier </w:t>
      </w:r>
      <w:r>
        <w:rPr>
          <w:rFonts w:ascii="Times New Roman" w:hAnsi="Times New Roman"/>
        </w:rPr>
        <w:t>critère évite à l’État membre présentant un niveau «autour de la moyenne» d’être rangé dans la catégorie «à surveiller» lorsqu’il présente une variation qui, bien que «beaucoup plus faible que la moyenne», continue de s’améliorer.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D2" w:rsidRDefault="000F7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 la"/>
    <w:docVar w:name="LW_ANNEX_NBR_FIRST" w:val="1"/>
    <w:docVar w:name="LW_ANNEX_NBR_LAST" w:val="6"/>
    <w:docVar w:name="LW_ANNEX_UNIQUE" w:val="0"/>
    <w:docVar w:name="LW_CORRIGENDUM" w:val="&lt;UNUSED&gt;"/>
    <w:docVar w:name="LW_COVERPAGE_EXISTS" w:val="True"/>
    <w:docVar w:name="LW_COVERPAGE_GUID" w:val="08387696-0600-44EA-9217-6E2A4BCECC48"/>
    <w:docVar w:name="LW_COVERPAGE_TYPE" w:val="1"/>
    <w:docVar w:name="LW_CROSSREFERENCE" w:val="&lt;UNUSED&gt;"/>
    <w:docVar w:name="LW_DocType" w:val="NORMAL"/>
    <w:docVar w:name="LW_EMISSION" w:val="17.12.2019"/>
    <w:docVar w:name="LW_EMISSION_ISODATE" w:val="2019-12-17"/>
    <w:docVar w:name="LW_EMISSION_LOCATION" w:val="BRX"/>
    <w:docVar w:name="LW_EMISSION_PREFIX" w:val="Bruxelles, le "/>
    <w:docVar w:name="LW_EMISSION_SUFFIX" w:val=" "/>
    <w:docVar w:name="LW_ID_DOCTYPE_NONLW" w:val="CP-039"/>
    <w:docVar w:name="LW_LANGUE" w:val="FR"/>
    <w:docVar w:name="LW_LEVEL_OF_SENSITIVITY" w:val="Standard treatment"/>
    <w:docVar w:name="LW_NOM.INST" w:val="COMMISSION EUROPÉENNE"/>
    <w:docVar w:name="LW_NOM.INST_JOINTDOC" w:val="&lt;EMPTY&gt;"/>
    <w:docVar w:name="LW_OBJETACTEPRINCIPAL.CP" w:val="&lt;FMT:Font=Calibri&gt;accompagnant la communication de la Commission&lt;/FMT&gt;_x000d__x000d__x000b_sur la stratégie annuelle 2020 pour une croissance durable_x000d__x000d__x000b_"/>
    <w:docVar w:name="LW_PART_NBR" w:val="&lt;UNUSED&gt;"/>
    <w:docVar w:name="LW_PART_NBR_TOTAL" w:val="&lt;UNUSED&gt;"/>
    <w:docVar w:name="LW_REF.INST.NEW" w:val="COM"/>
    <w:docVar w:name="LW_REF.INST.NEW_ADOPTED" w:val="final"/>
    <w:docVar w:name="LW_REF.INST.NEW_TEXT" w:val="(2019) 6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ES_x000b_"/>
    <w:docVar w:name="LW_TYPEACTEPRINCIPAL.CP" w:val="PROPOSITION DE RAPPORT CONJOINT SUR L'EMPLOI DE LA COMMISSION ET DU CONSEIL"/>
  </w:docVars>
  <w:rsids>
    <w:rsidRoot w:val="000F7DD2"/>
    <w:rsid w:val="000F7DD2"/>
    <w:rsid w:val="00BB3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4676130D-5B2B-496A-A098-970C4C9A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lang w:val="el-GR" w:eastAsia="el-GR" w:bidi="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el-GR" w:eastAsia="el-GR" w:bidi="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z w:val="24"/>
      <w:szCs w:val="28"/>
      <w:lang w:val="el-GR"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sz w:val="32"/>
      <w:szCs w:val="28"/>
      <w:lang w:val="el-GR"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z w:val="24"/>
      <w:szCs w:val="28"/>
      <w:lang w:val="el-GR"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sz w:val="32"/>
      <w:szCs w:val="28"/>
      <w:lang w:val="el-GR" w:eastAsia="el-GR" w:bidi="el-G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sz w:val="28"/>
      <w:szCs w:val="28"/>
      <w:lang w:val="el-GR" w:eastAsia="el-GR" w:bidi="el-G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lang w:val="el-GR"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lang w:val="el-GR"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rPr>
      <w:lang w:val="el-GR"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rPr>
      <w:lang w:val="el-GR" w:eastAsia="el-GR" w:bidi="el-G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aliases w:val="caption"/>
    <w:basedOn w:val="Normal"/>
    <w:next w:val="Normal"/>
    <w:unhideWhenUsed/>
    <w:qFormat/>
    <w:rPr>
      <w:rFonts w:ascii="Calibri" w:eastAsia="Times New Roman" w:hAnsi="Calibri" w:cs="Times New Roman"/>
      <w:b/>
      <w:bCs/>
      <w:sz w:val="18"/>
      <w:szCs w:val="18"/>
      <w:lang w:eastAsia="en-GB"/>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6100">
      <w:bodyDiv w:val="1"/>
      <w:marLeft w:val="0"/>
      <w:marRight w:val="0"/>
      <w:marTop w:val="0"/>
      <w:marBottom w:val="0"/>
      <w:divBdr>
        <w:top w:val="none" w:sz="0" w:space="0" w:color="auto"/>
        <w:left w:val="none" w:sz="0" w:space="0" w:color="auto"/>
        <w:bottom w:val="none" w:sz="0" w:space="0" w:color="auto"/>
        <w:right w:val="none" w:sz="0" w:space="0" w:color="auto"/>
      </w:divBdr>
    </w:div>
    <w:div w:id="608665227">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61758684">
      <w:bodyDiv w:val="1"/>
      <w:marLeft w:val="0"/>
      <w:marRight w:val="0"/>
      <w:marTop w:val="0"/>
      <w:marBottom w:val="0"/>
      <w:divBdr>
        <w:top w:val="none" w:sz="0" w:space="0" w:color="auto"/>
        <w:left w:val="none" w:sz="0" w:space="0" w:color="auto"/>
        <w:bottom w:val="none" w:sz="0" w:space="0" w:color="auto"/>
        <w:right w:val="none" w:sz="0" w:space="0" w:color="auto"/>
      </w:divBdr>
    </w:div>
    <w:div w:id="1203857457">
      <w:bodyDiv w:val="1"/>
      <w:marLeft w:val="0"/>
      <w:marRight w:val="0"/>
      <w:marTop w:val="0"/>
      <w:marBottom w:val="0"/>
      <w:divBdr>
        <w:top w:val="none" w:sz="0" w:space="0" w:color="auto"/>
        <w:left w:val="none" w:sz="0" w:space="0" w:color="auto"/>
        <w:bottom w:val="none" w:sz="0" w:space="0" w:color="auto"/>
        <w:right w:val="none" w:sz="0" w:space="0" w:color="auto"/>
      </w:divBdr>
    </w:div>
    <w:div w:id="19186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5.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3.emf"/><Relationship Id="rId37" Type="http://schemas.openxmlformats.org/officeDocument/2006/relationships/header" Target="header9.xml"/><Relationship Id="rId40" Type="http://schemas.openxmlformats.org/officeDocument/2006/relationships/image" Target="media/image15.png"/><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19702-9386-4AB8-8098-F241AAC6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7427</Words>
  <Characters>32680</Characters>
  <Application>Microsoft Office Word</Application>
  <DocSecurity>0</DocSecurity>
  <Lines>4085</Lines>
  <Paragraphs>4010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LUCIDI Federico (EMPL)</dc:creator>
  <cp:keywords/>
  <dc:description/>
  <cp:lastModifiedBy>HEILEMANN Stefanie (SG)</cp:lastModifiedBy>
  <cp:revision>12</cp:revision>
  <cp:lastPrinted>2019-12-11T10:17:00Z</cp:lastPrinted>
  <dcterms:created xsi:type="dcterms:W3CDTF">2019-12-17T10:11:00Z</dcterms:created>
  <dcterms:modified xsi:type="dcterms:W3CDTF">2019-12-17T15:14:00Z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6</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 Build 20190717</vt:lpwstr>
  </property>
  <property fmtid="{D5CDD505-2E9C-101B-9397-08002B2CF9AE}" pid="11" name="Created using">
    <vt:lpwstr>LW 7.0, Build 20190717</vt:lpwstr>
  </property>
</Properties>
</file>