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E4942DB-E12F-4457-80DC-D745B9C971A7" style="width:450.75pt;height:393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rFonts w:eastAsia="Arial Unicode MS"/>
          <w:noProof/>
        </w:rPr>
      </w:pPr>
      <w:r>
        <w:t>1.</w:t>
      </w:r>
      <w:r>
        <w:tab/>
      </w:r>
      <w:r>
        <w:rPr>
          <w:noProof/>
        </w:rPr>
        <w:t>Αντικείμενο της πρότασης</w:t>
      </w:r>
    </w:p>
    <w:p>
      <w:pPr>
        <w:autoSpaceDE w:val="0"/>
        <w:autoSpaceDN w:val="0"/>
        <w:adjustRightInd w:val="0"/>
        <w:spacing w:after="240"/>
        <w:rPr>
          <w:noProof/>
          <w:szCs w:val="24"/>
        </w:rPr>
      </w:pPr>
      <w:r>
        <w:rPr>
          <w:noProof/>
        </w:rPr>
        <w:t>Η παρούσα πρόταση αφορά την απόφαση για τον καθορισμό της θέσης που πρέπει να ληφθεί εξ ονόματος της Ευρωπαϊκής Ένωσης, κατά την 63η σύνοδο της Επιτροπής για τα Ναρκωτικά όσον αφορά την καταχώριση ουσιών στα παραρτήματα της ενιαίας σύμβασης των Ηνωμένων Εθνών (ΗΕ) για τα ναρκωτικά του 1961, όπως τροποποιήθηκε από το πρωτόκολλο του 1972, και της σύμβασης των ΗΕ για τις ψυχοτρόπους ουσίες του 1971. Η 63η σύνοδος της Επιτροπής για τα Ναρκωτικά έχει προγραμματιστεί να διεξαχθεί από τις 2 έως τις 6 Μαρτίου 2020.</w:t>
      </w:r>
    </w:p>
    <w:p>
      <w:pPr>
        <w:pStyle w:val="ManualHeading1"/>
        <w:rPr>
          <w:noProof/>
        </w:rPr>
      </w:pPr>
      <w:r>
        <w:t>2.</w:t>
      </w:r>
      <w:r>
        <w:tab/>
      </w:r>
      <w:r>
        <w:rPr>
          <w:noProof/>
        </w:rPr>
        <w:t>Πλαίσιο της πρότασης</w:t>
      </w:r>
    </w:p>
    <w:p>
      <w:pPr>
        <w:pStyle w:val="ManualHeading2"/>
        <w:rPr>
          <w:noProof/>
          <w:u w:color="000000"/>
          <w:bdr w:val="nil"/>
        </w:rPr>
      </w:pPr>
      <w:r>
        <w:rPr>
          <w:noProof/>
          <w:u w:color="000000"/>
          <w:bdr w:val="nil"/>
        </w:rPr>
        <w:t xml:space="preserve">2.1. </w:t>
      </w:r>
      <w:r>
        <w:rPr>
          <w:noProof/>
          <w:u w:color="000000"/>
          <w:bdr w:val="nil"/>
        </w:rPr>
        <w:tab/>
        <w:t>Η ενιαία σύμβαση των Ηνωμένων Εθνών για τα ναρκωτικά του 1961, όπως τροποποιήθηκε από το πρωτόκολλο του 1972, και η σύμβαση των Ηνωμένων Εθνών για τις ψυχοτρόπους ουσίες του 1971</w:t>
      </w:r>
    </w:p>
    <w:p>
      <w:pPr>
        <w:autoSpaceDE w:val="0"/>
        <w:autoSpaceDN w:val="0"/>
        <w:adjustRightInd w:val="0"/>
        <w:spacing w:after="240"/>
        <w:rPr>
          <w:noProof/>
          <w:szCs w:val="24"/>
        </w:rPr>
      </w:pPr>
      <w:r>
        <w:rPr>
          <w:noProof/>
        </w:rPr>
        <w:t>Η ενιαία σύμβαση των Ηνωμένων Εθνών (ΗΕ) για τα ναρκωτικά του 1961, όπως τροποποιήθηκε από το πρωτόκολλο του 1972 (εφεξής «σύμβαση για τα ναρκωτικά»)</w:t>
      </w:r>
      <w:r>
        <w:rPr>
          <w:rStyle w:val="FootnoteReference"/>
          <w:noProof/>
        </w:rPr>
        <w:footnoteReference w:id="1"/>
      </w:r>
      <w:r>
        <w:rPr>
          <w:noProof/>
        </w:rPr>
        <w:t>, αποσκοπεί στην καταπολέμηση της κατάχρησης ναρκωτικών μέσω συντονισμένης διεθνούς δράσης. Υπάρχουν δύο μορφές παρέμβασης και ελέγχου που εφαρμόζονται από κοινού. Πρώτον, επιδιώκεται ο περιορισμός της κατοχής, της χρήσης, της εμπορίας, της διανομής, της εισαγωγής, της εξαγωγής, της παρασκευής και της παραγωγής ναρκωτικών αποκλειστικά για ιατρικούς ή επιστημονικούς σκοπούς. Δεύτερον, καταπολεμάται η παράνομη διακίνηση ναρκωτικών μέσω διεθνούς συνεργασίας ώστε να αποτρέπονται και να αποθαρρύνονται οι διακινητές ναρκωτικών.</w:t>
      </w:r>
    </w:p>
    <w:p>
      <w:pPr>
        <w:autoSpaceDE w:val="0"/>
        <w:autoSpaceDN w:val="0"/>
        <w:adjustRightInd w:val="0"/>
        <w:spacing w:after="240"/>
        <w:rPr>
          <w:noProof/>
          <w:szCs w:val="24"/>
        </w:rPr>
      </w:pPr>
      <w:r>
        <w:rPr>
          <w:noProof/>
        </w:rPr>
        <w:t>Η σύμβαση των ΗΕ για τις ψυχοτρόπους ουσίες του 1971 (εφεξής «σύμβαση για τις ψυχοτρόπους ουσίες»)</w:t>
      </w:r>
      <w:r>
        <w:rPr>
          <w:rStyle w:val="FootnoteReference"/>
          <w:noProof/>
        </w:rPr>
        <w:footnoteReference w:id="2"/>
      </w:r>
      <w:r>
        <w:rPr>
          <w:noProof/>
        </w:rPr>
        <w:t xml:space="preserve"> καθιέρωσε ένα διεθνές σύστημα ελέγχου των ψυχοτρόπων ουσιών. Ανταποκρίθηκε στη διαφοροποίηση και τη διεύρυνση του φάσματος των ναρκωτικών ουσιών και εισήγαγε ελέγχους σε μια σειρά συνθετικών ναρκωτικών βάσει, αφενός, της πιθανότητας κατάχρησής τους και, αφετέρου, της θεραπευτικής τους αξίας.</w:t>
      </w:r>
    </w:p>
    <w:p>
      <w:pPr>
        <w:autoSpaceDE w:val="0"/>
        <w:autoSpaceDN w:val="0"/>
        <w:adjustRightInd w:val="0"/>
        <w:spacing w:after="240"/>
        <w:rPr>
          <w:noProof/>
          <w:szCs w:val="24"/>
        </w:rPr>
      </w:pPr>
      <w:r>
        <w:rPr>
          <w:noProof/>
        </w:rPr>
        <w:t xml:space="preserve">Όλα τα κράτη μέλη της ΕΕ είναι συμβαλλόμενα μέρη των συμβάσεων, η δε Ένωση δεν είναι. </w:t>
      </w:r>
    </w:p>
    <w:p>
      <w:pPr>
        <w:pStyle w:val="ManualHeading2"/>
        <w:rPr>
          <w:noProof/>
        </w:rPr>
      </w:pPr>
      <w:r>
        <w:rPr>
          <w:noProof/>
        </w:rPr>
        <w:t>2.2.</w:t>
      </w:r>
      <w:r>
        <w:rPr>
          <w:noProof/>
        </w:rPr>
        <w:tab/>
        <w:t xml:space="preserve">Η Επιτροπή για τα Ναρκωτικά </w:t>
      </w:r>
    </w:p>
    <w:p>
      <w:pPr>
        <w:autoSpaceDE w:val="0"/>
        <w:autoSpaceDN w:val="0"/>
        <w:adjustRightInd w:val="0"/>
        <w:spacing w:after="240"/>
        <w:rPr>
          <w:noProof/>
          <w:szCs w:val="24"/>
        </w:rPr>
      </w:pPr>
      <w:r>
        <w:rPr>
          <w:noProof/>
        </w:rPr>
        <w:t>Η Επιτροπή για τα Ναρκωτικά (Commission on Narcotic Drugs, CND) είναι επιτροπή του Οικονομικού και Κοινωνικού Συμβουλίου των ΗΕ (ECOSOC), τα δε καθήκοντα και οι εξουσίες της ορίζονται, μεταξύ άλλων, στις δύο συμβάσεις. Αποτελείται από 53 κράτη μέλη των ΗΕ τα οποία έχουν εκλεγεί από το ECOSOC. Τον Μάρτιο του 2020, μέλη της CND με δικαίωμα ψήφου θα είναι 13 κράτη μέλη της ΕΕ</w:t>
      </w:r>
      <w:r>
        <w:rPr>
          <w:rStyle w:val="FootnoteReference"/>
          <w:noProof/>
        </w:rPr>
        <w:footnoteReference w:id="3"/>
      </w:r>
      <w:r>
        <w:rPr>
          <w:noProof/>
        </w:rPr>
        <w:t xml:space="preserve">. Η Ένωση έχει καθεστώς παρατηρητή στη CND. </w:t>
      </w:r>
    </w:p>
    <w:p>
      <w:pPr>
        <w:pStyle w:val="ManualHeading2"/>
        <w:rPr>
          <w:noProof/>
        </w:rPr>
      </w:pPr>
      <w:r>
        <w:rPr>
          <w:noProof/>
        </w:rPr>
        <w:lastRenderedPageBreak/>
        <w:t>2.3.</w:t>
      </w:r>
      <w:r>
        <w:rPr>
          <w:noProof/>
        </w:rPr>
        <w:tab/>
        <w:t>Η προβλεπόμενη πράξη της Επιτροπής για τα Ναρκωτικά</w:t>
      </w:r>
    </w:p>
    <w:p>
      <w:pPr>
        <w:autoSpaceDE w:val="0"/>
        <w:autoSpaceDN w:val="0"/>
        <w:adjustRightInd w:val="0"/>
        <w:spacing w:after="240"/>
        <w:rPr>
          <w:noProof/>
          <w:szCs w:val="24"/>
        </w:rPr>
      </w:pPr>
      <w:r>
        <w:rPr>
          <w:noProof/>
        </w:rPr>
        <w:t xml:space="preserve">Η CND τροποποιεί σε τακτική βάση τον κατάλογο ουσιών που προσαρτάται στις συμβάσεις, βάσει συστάσεων του Παγκόσμιου Οργανισμού Υγείας (ΠΟΥ), σε διαβούλευση με την οικεία επιτροπή εμπειρογνωμόνων για την τοξικομανία (ECDD). </w:t>
      </w:r>
    </w:p>
    <w:p>
      <w:pPr>
        <w:autoSpaceDE w:val="0"/>
        <w:autoSpaceDN w:val="0"/>
        <w:adjustRightInd w:val="0"/>
        <w:spacing w:after="240"/>
        <w:rPr>
          <w:noProof/>
          <w:szCs w:val="24"/>
        </w:rPr>
      </w:pPr>
      <w:r>
        <w:rPr>
          <w:noProof/>
        </w:rPr>
        <w:t>Στις 24 Ιανουαρίου 2019, ο ΠΟΥ υπέβαλε στον Γενικό Γραμματέα των ΗΕ</w:t>
      </w:r>
      <w:r>
        <w:rPr>
          <w:rStyle w:val="FootnoteReference"/>
          <w:noProof/>
        </w:rPr>
        <w:footnoteReference w:id="4"/>
      </w:r>
      <w:r>
        <w:rPr>
          <w:noProof/>
        </w:rPr>
        <w:t xml:space="preserve"> έξι συστάσεις που εκδόθηκαν κατόπιν της κριτικής εξέτασης που διενεργήθηκε κατά την 41η συνεδρίαση της ECDD ως προς την κάνναβη και τις σχετικές προς αυτήν ουσίες. </w:t>
      </w:r>
    </w:p>
    <w:p>
      <w:pPr>
        <w:autoSpaceDE w:val="0"/>
        <w:autoSpaceDN w:val="0"/>
        <w:adjustRightInd w:val="0"/>
        <w:spacing w:after="240"/>
        <w:rPr>
          <w:noProof/>
        </w:rPr>
      </w:pPr>
      <w:r>
        <w:rPr>
          <w:noProof/>
        </w:rPr>
        <w:t xml:space="preserve">Η ημερήσια διάταξη της 63ης συνόδου της CND, που θα διεξαχθεί στη Βιέννη από τις 2 έως τις 6 Μαρτίου 2020, ενδέχεται να περιλαμβάνει τη λήψη αποφάσεων σχετικά με την καταχώριση αυτών των ουσιών στα παραρτήματα των συμβάσεων. </w:t>
      </w:r>
    </w:p>
    <w:p>
      <w:pPr>
        <w:pStyle w:val="ManualHeading1"/>
        <w:rPr>
          <w:rFonts w:eastAsia="Arial Unicode MS"/>
          <w:noProof/>
        </w:rPr>
      </w:pPr>
      <w:r>
        <w:t>3.</w:t>
      </w:r>
      <w:r>
        <w:tab/>
      </w:r>
      <w:r>
        <w:rPr>
          <w:noProof/>
        </w:rPr>
        <w:t>Θέση που πρέπει να ληφθεί εξ ονόματος της Ενωσης</w:t>
      </w:r>
    </w:p>
    <w:p>
      <w:pPr>
        <w:autoSpaceDE w:val="0"/>
        <w:autoSpaceDN w:val="0"/>
        <w:adjustRightInd w:val="0"/>
        <w:spacing w:after="240"/>
        <w:rPr>
          <w:noProof/>
          <w:szCs w:val="24"/>
        </w:rPr>
      </w:pPr>
      <w:r>
        <w:rPr>
          <w:noProof/>
        </w:rPr>
        <w:t>Οι αλλαγές στα παραρτήματα των συμβάσεων έχουν άμεσες επιπτώσεις στο πεδίο εφαρμογής του δικαίου της Ένωσης στον τομέα του ελέγχου των ναρκωτικών για όλα τα κράτη μέλη. Το άρθρο 1 παράγραφος 1 της απόφασης-πλαισίου 2004/757/ΔΕΥ του Συμβουλίου, της 25ης Οκτωβρίου 2004, για τη θέσπιση ελάχιστων διατάξεων σχετικά με τα στοιχεία της αντικειμενικής υπόστασης των εγκλημάτων και τις ποινές που ισχύουν στον τομέα της παράνομης διακίνησης ναρκωτικών</w:t>
      </w:r>
      <w:r>
        <w:rPr>
          <w:rStyle w:val="FootnoteReference"/>
          <w:noProof/>
        </w:rPr>
        <w:footnoteReference w:id="5"/>
      </w:r>
      <w:r>
        <w:rPr>
          <w:noProof/>
        </w:rPr>
        <w:t xml:space="preserve"> (εφεξής «απόφαση-πλαίσιο») ορίζει ότι, για τους σκοπούς της απόφασης-πλαισίου, ως «ναρκωτικό» νοούνται όλες οι ουσίες τις οποίες καλύπτουν είτε η σύμβαση για τα ναρκωτικά είτε η σύμβαση για τις ψυχοτρόπους ουσίες, καθώς και όλες οι ουσίες που περιλαμβάνονται στο παράρτημα της απόφασης-πλαισίου. Επομένως, η απόφαση-πλαίσιο εφαρμόζεται σε ουσίες που περιλαμβάνονται στα παραρτήματα της σύμβασης για τα ναρκωτικά και της σύμβασης για τις ψυχοτρόπους ουσίες. Ως εκ τούτου, τυχόν αλλαγή στα παραρτήματα που προσαρτώνται στις εν λόγω συμβάσεις επηρεάζει άμεσα τους κοινούς κανόνες της ΕΕ και μεταβάλλει το πεδίο εφαρμογής τους, σύμφωνα με το άρθρο 3 παράγραφος 2 της Συνθήκης για τη λειτουργία της Ευρωπαϊκής Ένωσης (ΣΛΕΕ). Αυτό ισχύει ανεξάρτητα από το αν η συγκεκριμένη ουσία είχε ήδη υπαχθεί σε έλεγχο σε ολόκληρη την Ένωση.</w:t>
      </w:r>
    </w:p>
    <w:p>
      <w:pPr>
        <w:autoSpaceDE w:val="0"/>
        <w:autoSpaceDN w:val="0"/>
        <w:adjustRightInd w:val="0"/>
        <w:rPr>
          <w:noProof/>
        </w:rPr>
      </w:pPr>
      <w:r>
        <w:rPr>
          <w:noProof/>
        </w:rPr>
        <w:t>Η κάνναβη και οι σχετικές προς αυτήν ουσίες, που αποτέλεσαν αντικείμενο κριτικής εξέτασης κατά την 41η συνεδρίαση της ECDD και των έξι συστάσεων του ΠΟΥ στις 24 Ιανουαρίου 2019, επί του παρόντος υπάγονται σε έλεγχο σε διεθνές επίπεδο στο πλαίσιο είτε της σύμβασης για τα ναρκωτικά είτε της σύμβασης για τις ψυχοτρόπους ουσίες:</w:t>
      </w:r>
    </w:p>
    <w:p>
      <w:pPr>
        <w:pStyle w:val="Tiret0"/>
        <w:numPr>
          <w:ilvl w:val="0"/>
          <w:numId w:val="10"/>
        </w:numPr>
        <w:rPr>
          <w:noProof/>
        </w:rPr>
      </w:pPr>
      <w:r>
        <w:rPr>
          <w:noProof/>
        </w:rPr>
        <w:t xml:space="preserve">η </w:t>
      </w:r>
      <w:r>
        <w:rPr>
          <w:b/>
          <w:noProof/>
        </w:rPr>
        <w:t>«κάνναβη και η ρητίνη κάνναβης»</w:t>
      </w:r>
      <w:r>
        <w:rPr>
          <w:noProof/>
        </w:rPr>
        <w:t xml:space="preserve"> περιλαμβάνονται στο παράρτημα I της σύμβασης για τα ναρκωτικά. Επίσης, η «</w:t>
      </w:r>
      <w:r>
        <w:rPr>
          <w:i/>
          <w:noProof/>
        </w:rPr>
        <w:t>κάνναβη και η ρητίνη κάνναβης</w:t>
      </w:r>
      <w:r>
        <w:rPr>
          <w:noProof/>
        </w:rPr>
        <w:t>» περιλαμβάνονται και στο παράρτημα IV της σύμβασης για τα ναρκωτικά στο οποίο παρατίθενται οι ουσίες που θεωρούνται ιδιαιτέρως επικίνδυνες·</w:t>
      </w:r>
    </w:p>
    <w:p>
      <w:pPr>
        <w:pStyle w:val="Tiret0"/>
        <w:rPr>
          <w:b/>
          <w:noProof/>
        </w:rPr>
      </w:pPr>
      <w:r>
        <w:rPr>
          <w:noProof/>
        </w:rPr>
        <w:t xml:space="preserve">η </w:t>
      </w:r>
      <w:r>
        <w:rPr>
          <w:b/>
          <w:noProof/>
        </w:rPr>
        <w:t xml:space="preserve">δροναβινόλη (Δ-9-τετραϋδροκανναβινόλη) </w:t>
      </w:r>
      <w:r>
        <w:rPr>
          <w:noProof/>
        </w:rPr>
        <w:t>περιλαμβάνεται στο παράρτημα IΙ της σύμβασης για τις ψυχοτρόπους ουσίες·</w:t>
      </w:r>
    </w:p>
    <w:p>
      <w:pPr>
        <w:pStyle w:val="Tiret0"/>
        <w:rPr>
          <w:noProof/>
        </w:rPr>
      </w:pPr>
      <w:r>
        <w:rPr>
          <w:noProof/>
        </w:rPr>
        <w:lastRenderedPageBreak/>
        <w:t xml:space="preserve">η </w:t>
      </w:r>
      <w:r>
        <w:rPr>
          <w:b/>
          <w:noProof/>
        </w:rPr>
        <w:t>τετραϋδροκανναβινόλη</w:t>
      </w:r>
      <w:r>
        <w:rPr>
          <w:noProof/>
        </w:rPr>
        <w:t xml:space="preserve"> (ισομερή της Δ-9-</w:t>
      </w:r>
      <w:r>
        <w:rPr>
          <w:noProof/>
        </w:rPr>
        <w:cr/>
      </w:r>
      <w:r>
        <w:rPr>
          <w:noProof/>
        </w:rPr>
        <w:br/>
        <w:t xml:space="preserve">τετραϋδροκανναβινόλης) περιλαμβάνεται στο παράρτημα Ι της σύμβασης για τις ψυχοτρόπους ουσίες· </w:t>
      </w:r>
    </w:p>
    <w:p>
      <w:pPr>
        <w:pStyle w:val="Tiret0"/>
        <w:rPr>
          <w:noProof/>
        </w:rPr>
      </w:pPr>
      <w:r>
        <w:rPr>
          <w:noProof/>
        </w:rPr>
        <w:t xml:space="preserve">τα </w:t>
      </w:r>
      <w:r>
        <w:rPr>
          <w:b/>
          <w:noProof/>
        </w:rPr>
        <w:t>«εκχυλίσματα και βάμματα κάνναβης»</w:t>
      </w:r>
      <w:r>
        <w:rPr>
          <w:noProof/>
        </w:rPr>
        <w:t xml:space="preserve"> περιλαμβάνονται στο παράρτημα I της σύμβασης για τα ναρκωτικά·</w:t>
      </w:r>
    </w:p>
    <w:p>
      <w:pPr>
        <w:pStyle w:val="Tiret0"/>
        <w:rPr>
          <w:noProof/>
        </w:rPr>
      </w:pPr>
      <w:r>
        <w:rPr>
          <w:noProof/>
        </w:rPr>
        <w:t xml:space="preserve">τα </w:t>
      </w:r>
      <w:r>
        <w:rPr>
          <w:b/>
          <w:noProof/>
        </w:rPr>
        <w:t xml:space="preserve">«παρασκευάσματα κανναβιδιόλης» </w:t>
      </w:r>
      <w:r>
        <w:rPr>
          <w:noProof/>
        </w:rPr>
        <w:t>υπάγονται σε έλεγχο στο πλαίσιο του στοιχείου «εκχυλίσματα και βάμματα κάνναβης» στο παράρτημα I της σύμβασης για τα ναρκωτικά·</w:t>
      </w:r>
    </w:p>
    <w:p>
      <w:pPr>
        <w:pStyle w:val="Tiret0"/>
        <w:rPr>
          <w:b/>
          <w:noProof/>
        </w:rPr>
      </w:pPr>
      <w:r>
        <w:rPr>
          <w:noProof/>
        </w:rPr>
        <w:t xml:space="preserve">τα </w:t>
      </w:r>
      <w:r>
        <w:rPr>
          <w:b/>
          <w:noProof/>
        </w:rPr>
        <w:t xml:space="preserve">«φαρμακευτικά παρασκευάσματα κάνναβης και δροναβινόλης» </w:t>
      </w:r>
      <w:r>
        <w:rPr>
          <w:noProof/>
        </w:rPr>
        <w:t>υπάγονται σε έλεγχο ως παρασκευάσματα με βάση την κάνναβη σύμφωνα με το παράρτημα I της ενιαίας σύμβασης για τα ναρκωτικά ή ως παρασκευάσματα με χρήση συνθετικής Δ-9-τετραϋδροκανναβινόλης, σύμφωνα με το παράρτημα ΙΙ της σύμβασης για τις ψυχοτρόπους ουσίες.</w:t>
      </w:r>
    </w:p>
    <w:p>
      <w:pPr>
        <w:rPr>
          <w:noProof/>
          <w:szCs w:val="24"/>
        </w:rPr>
      </w:pPr>
      <w:r>
        <w:rPr>
          <w:noProof/>
        </w:rPr>
        <w:t>Η πρόταση της Επιτροπής για τη θέση της Ένωσης βασίζεται στα διαθέσιμα έγγραφα για τις συνεδριάσεις της επιτροπής εμπειρογνωμόνων του ΠΟΥ για την τοξικομανία και τις απαντήσεις που δόθηκαν στην 4η και στην 5η ενδιάμεση συνεδρίαση της CND στις 24 Ιουνίου και στις 23 Σεπτεμβρίου 2019 από τον ΠΟΥ, το Διεθνές Όργανο Ελέγχου των Ναρκωτικών (INCB) και το Γραφείο των Ηνωμένων Εθνών για τον Έλεγχο των Ναρκωτικών και την Πρόληψη του Εγκλήματος (UNODC), στο πλαίσιο των αντίστοιχων εντολών τους</w:t>
      </w:r>
      <w:r>
        <w:rPr>
          <w:rStyle w:val="FootnoteReference"/>
          <w:noProof/>
        </w:rPr>
        <w:footnoteReference w:id="6"/>
      </w:r>
      <w:r>
        <w:rPr>
          <w:noProof/>
        </w:rPr>
        <w:t xml:space="preserve">. Επίσης, λαμβάνει υπόψη τις ανταλλαγές απόψεων με τα κράτη μέλη στο πλαίσιο της Οριζόντιας Ομάδας για τα Ναρκωτικά και το έργο του Ευρωπαϊκού Κέντρου Παρακολούθησης Ναρκωτικών και Τοξικομανίας (EMCDDA) στον τομέα αυτό. </w:t>
      </w:r>
    </w:p>
    <w:p>
      <w:pPr>
        <w:rPr>
          <w:noProof/>
          <w:szCs w:val="24"/>
        </w:rPr>
      </w:pPr>
      <w:r>
        <w:rPr>
          <w:noProof/>
        </w:rPr>
        <w:t xml:space="preserve">Η πρόταση της Επιτροπής για τη θέση της Ένωσης προτείνει τη στήριξη ορισμένων μόνο από τις συστάσεις του ΠΟΥ, οι οποίες αποτυπώνουν την εξέλιξη των επιστημονικών γνώσεων ως προς τις οικείες ουσίες και δεν επιφέρουν σημαντική αλλαγή στον έλεγχο των ουσιών αυτών. </w:t>
      </w:r>
    </w:p>
    <w:p>
      <w:pPr>
        <w:rPr>
          <w:noProof/>
          <w:szCs w:val="24"/>
        </w:rPr>
      </w:pPr>
      <w:r>
        <w:rPr>
          <w:noProof/>
        </w:rPr>
        <w:t xml:space="preserve">Αντιθέτως, ορισμένες από τις συστάσεις χαρακτηρίζονται από έλλειψη σαφήνειας ως προς τις νομικές και πρακτικές επιπτώσεις και συνέπειές τους όσον αφορά τη θέσπιση ή μη νέων μέτρων ελέγχου. Ως εκ τούτου, η πρόταση της Επιτροπής για τη θέση της Ένωσης είναι να αντιταχθεί στις εν λόγω συστάσεις. Εναλλακτικά, ως εφεδρική επιλογή, η πρόταση της Επιτροπής είναι να μην υπάρξει συμμετοχή στην ψηφοφορία επί των συστάσεων αυτών και να ζητηθεί περαιτέρω αξιολόγηση από τον ΠΟΥ. </w:t>
      </w:r>
    </w:p>
    <w:p>
      <w:pPr>
        <w:autoSpaceDE w:val="0"/>
        <w:autoSpaceDN w:val="0"/>
        <w:adjustRightInd w:val="0"/>
        <w:spacing w:after="240"/>
        <w:rPr>
          <w:noProof/>
          <w:szCs w:val="24"/>
        </w:rPr>
      </w:pPr>
      <w:r>
        <w:rPr>
          <w:noProof/>
        </w:rPr>
        <w:t>Το Συμβούλιο είναι αναγκαίο να καθορίσει τη θέση της Ένωσης για τη συνεδρίαση της CND, όταν θα κληθεί να αποφασίσει σχετικά με την καταχώριση των ουσιών στα παραρτήματα. Η θέση αυτή, λόγω των περιορισμών που συνεπάγεται το καθεστώς παρατηρητή της Ένωσης, θα πρέπει να διατυπωθεί από τα κράτη μέλη τα οποία θα είναι μέλη της CND τον Μάρτιο του 2020, ενεργώντας από κοινού προς το συμφέρον της Ένωσης στο πλαίσιο της CND. Η Ένωση δεν είναι συμβαλλόμενο μέρος στις εν λόγω συμβάσεις, αλλά έχει αποκλειστική αρμοδιότητα στον τομέα αυτό.</w:t>
      </w:r>
    </w:p>
    <w:p>
      <w:pPr>
        <w:autoSpaceDE w:val="0"/>
        <w:autoSpaceDN w:val="0"/>
        <w:adjustRightInd w:val="0"/>
        <w:spacing w:after="240"/>
        <w:rPr>
          <w:noProof/>
          <w:szCs w:val="24"/>
        </w:rPr>
      </w:pPr>
      <w:r>
        <w:rPr>
          <w:noProof/>
        </w:rPr>
        <w:t xml:space="preserve">Για τον σκοπό αυτό, η Επιτροπή προτείνει θέση της Ένωσης, η οποία θα διατυπωθεί από τα κράτη μέλη που θα είναι μέλη της CND τον Μάρτιο του 2020, εξ ονόματος της Ευρωπαϊκής Ένωσης, κατά την 63η σύνοδο της CND όσον αφορά την καταχώριση ουσιών στα παραρτήματα της σύμβασης για τα ναρκωτικά και της σύμβασης για τις ψυχοτρόπους ουσίες. </w:t>
      </w:r>
      <w:r>
        <w:rPr>
          <w:noProof/>
        </w:rPr>
        <w:lastRenderedPageBreak/>
        <w:t>Είναι η τέταρτη φορά που η Επιτροπή υποβάλλει τέτοια πρόταση για θέση της Ένωσης</w:t>
      </w:r>
      <w:r>
        <w:rPr>
          <w:rStyle w:val="FootnoteReference"/>
          <w:noProof/>
        </w:rPr>
        <w:footnoteReference w:id="7"/>
      </w:r>
      <w:r>
        <w:rPr>
          <w:noProof/>
        </w:rPr>
        <w:t>. Το Συμβούλιο ενέκρινε τις θέσεις της Ένωσης</w:t>
      </w:r>
      <w:r>
        <w:rPr>
          <w:rStyle w:val="FootnoteReference"/>
          <w:noProof/>
        </w:rPr>
        <w:footnoteReference w:id="8"/>
      </w:r>
      <w:r>
        <w:rPr>
          <w:noProof/>
        </w:rPr>
        <w:t>, επιτρέποντας έτσι στην ΕΕ να εκφράσει κοινή άποψη στις προηγούμενες συνεδριάσεις της CND σχετικά με τη διεθνή καταχώριση, δεδομένου ότι τα κράτη μέλη που συμμετέχουν στη CND υπερψήφισαν την καταχώριση στα παραρτήματα σύμφωνα με την εγκριθείσα θέση της Ένωσης.</w:t>
      </w:r>
    </w:p>
    <w:p>
      <w:pPr>
        <w:pStyle w:val="ManualHeading1"/>
        <w:rPr>
          <w:noProof/>
        </w:rPr>
      </w:pPr>
      <w:r>
        <w:t>4.</w:t>
      </w:r>
      <w:r>
        <w:tab/>
      </w:r>
      <w:r>
        <w:rPr>
          <w:noProof/>
        </w:rPr>
        <w:t>Νομική βάση</w:t>
      </w:r>
    </w:p>
    <w:p>
      <w:pPr>
        <w:pStyle w:val="ManualHeading2"/>
        <w:rPr>
          <w:noProof/>
        </w:rPr>
      </w:pPr>
      <w:r>
        <w:t>4.1.</w:t>
      </w:r>
      <w:r>
        <w:tab/>
      </w:r>
      <w:r>
        <w:rPr>
          <w:noProof/>
        </w:rPr>
        <w:t>Διαδικαστική νομική βάση</w:t>
      </w:r>
    </w:p>
    <w:p>
      <w:pPr>
        <w:rPr>
          <w:noProof/>
        </w:rPr>
      </w:pPr>
      <w:r>
        <w:rPr>
          <w:noProof/>
        </w:rPr>
        <w:t>Το άρθρο 218 παράγραφος 9 της Συνθήκης για τη λειτουργία της Ευρωπαϊκής Ένωσης (ΣΛΕΕ) προβλέπει την έκδοση αποφάσεων για τον καθορισμό «</w:t>
      </w:r>
      <w:r>
        <w:rPr>
          <w:i/>
          <w:noProof/>
        </w:rPr>
        <w:t>των θέσεων που θα πρέπει να ληφθούν, εξ ονόματος της Ένωσης, σε όργανο που συνιστάται από δεδομένη συμφωνία, όταν το εν λόγω όργανο καλείται να θεσπίσει πράξεις που παράγουν έννομα αποτελέσματα, με εξαίρεση τις πράξεις που συμπληρώνουν ή τροποποιούν το θεσμικό πλαίσιο της συμφωνίας</w:t>
      </w:r>
      <w:r>
        <w:rPr>
          <w:noProof/>
        </w:rPr>
        <w:t>».</w:t>
      </w:r>
    </w:p>
    <w:p>
      <w:pPr>
        <w:rPr>
          <w:noProof/>
        </w:rPr>
      </w:pPr>
      <w:r>
        <w:rPr>
          <w:noProof/>
        </w:rPr>
        <w:t>Το άρθρο 218 παράγραφος 9 της ΣΛΕΕ εφαρμόζεται ανεξάρτητα από το αν η Ένωση είναι μέλος του σχετικού οργάνου ή συμβαλλόμενο μέρος στη σχετική συμφωνία</w:t>
      </w:r>
      <w:r>
        <w:rPr>
          <w:rStyle w:val="FootnoteReference"/>
          <w:noProof/>
        </w:rPr>
        <w:footnoteReference w:id="9"/>
      </w:r>
      <w:r>
        <w:rPr>
          <w:noProof/>
        </w:rPr>
        <w:t>. Η έννοια των «</w:t>
      </w:r>
      <w:r>
        <w:rPr>
          <w:i/>
          <w:noProof/>
        </w:rPr>
        <w:t>πράξεων που παράγουν έννομα αποτελέσματα</w:t>
      </w:r>
      <w:r>
        <w:rPr>
          <w:noProof/>
        </w:rPr>
        <w:t>» περιλαμβάνει πράξεις που παράγουν έννομα αποτελέσματα δυνάμει των κανόνων του διεθνούς δικαίου που διέπουν το συγκεκριμένο όργανο. Περιλαμβάνει επίσης πράξεις που δεν έχουν δεσμευτική ισχύ βάσει του διεθνούς δικαίου, αλλά «</w:t>
      </w:r>
      <w:r>
        <w:rPr>
          <w:i/>
          <w:noProof/>
        </w:rPr>
        <w:t>επηρεάζουν με καθοριστικό τρόπο το περιεχόμενο των ρυθμίσεων που θεσπίζει ο νομοθέτης της Ένωσης</w:t>
      </w:r>
      <w:r>
        <w:rPr>
          <w:noProof/>
        </w:rPr>
        <w:t>»</w:t>
      </w:r>
      <w:r>
        <w:rPr>
          <w:rStyle w:val="FootnoteReference"/>
          <w:noProof/>
        </w:rPr>
        <w:footnoteReference w:id="10"/>
      </w:r>
      <w:r>
        <w:rPr>
          <w:noProof/>
        </w:rPr>
        <w:t>.</w:t>
      </w:r>
    </w:p>
    <w:p>
      <w:pPr>
        <w:rPr>
          <w:noProof/>
        </w:rPr>
      </w:pPr>
      <w:r>
        <w:rPr>
          <w:noProof/>
        </w:rPr>
        <w:t>Η CND είναι «όργανο που συνιστάται από δεδομένη συμφωνία» κατά την έννοια του εν λόγω άρθρου, δεδομένου ότι πρόκειται για όργανο που έχει συσταθεί από το ECOSOC —όργανο των Ηνωμένων Εθνών— και στο οποίο έχουν ανατεθεί συγκεκριμένα καθήκοντα βάσει της σύμβασης για τα ναρκωτικά και της σύμβασης για τις ψυχοτρόπους ουσίες.</w:t>
      </w:r>
    </w:p>
    <w:p>
      <w:pPr>
        <w:rPr>
          <w:noProof/>
        </w:rPr>
      </w:pPr>
      <w:r>
        <w:rPr>
          <w:noProof/>
        </w:rPr>
        <w:t>Οι αποφάσεις καταχώρισης που λαμβάνονται από τη CND συνιστούν «πράξεις που παράγουν έννομα αποτελέσματα» κατά την έννοια του άρθρου 218 παράγραφος 9 της ΣΛΕΕ. Σύμφωνα με τη σύμβαση για τα ναρκωτικά και τη σύμβαση για τις ψυχοτρόπους ουσίες, οι αποφάσεις της CND καθίστανται αυτομάτως δεσμευτικές, εκτός αν συμβαλλόμενο μέρος υποβάλει την απόφαση προς επανεξέταση στο ECOSOC εντός της οριζόμενης προθεσμίας</w:t>
      </w:r>
      <w:r>
        <w:rPr>
          <w:rStyle w:val="FootnoteReference"/>
          <w:noProof/>
        </w:rPr>
        <w:footnoteReference w:id="11"/>
      </w:r>
      <w:r>
        <w:rPr>
          <w:noProof/>
        </w:rPr>
        <w:t>. Οι αποφάσεις του ECOSOC επί του ζητήματος είναι οριστικές. Οι αποφάσεις καταχώρισης που λαμβάνονται από τη CND παράγουν επίσης έννομα αποτελέσματα στην έννομη τάξη της ΕΕ δυνάμει του ενωσιακού δικαίου —δεδομένου ότι επηρεάζουν με καθοριστικό τρόπο το περιεχόμενο της νομοθεσίας της ΕΕ— ήτοι της απόφασης-πλαισίου 2004/757/ΔΕΥ του Συμβουλίου. Οι αλλαγές στα παραρτήματα των συμβάσεων έχουν άμεσες επιπτώσεις στο πεδίο εφαρμογής της εν λόγω νομικής πράξης της ΕΕ.</w:t>
      </w:r>
    </w:p>
    <w:p>
      <w:pPr>
        <w:rPr>
          <w:noProof/>
        </w:rPr>
      </w:pPr>
      <w:r>
        <w:rPr>
          <w:noProof/>
        </w:rPr>
        <w:t>Η προβλεπόμενη πράξη δεν συμπληρώνει ούτε τροποποιεί το θεσμικό πλαίσιο της συμφωνίας.</w:t>
      </w:r>
    </w:p>
    <w:p>
      <w:pPr>
        <w:rPr>
          <w:noProof/>
        </w:rPr>
      </w:pPr>
      <w:r>
        <w:rPr>
          <w:noProof/>
        </w:rPr>
        <w:lastRenderedPageBreak/>
        <w:t>Συνεπώς, η διαδικαστική νομική βάση για την προτεινόμενη απόφαση είναι το άρθρο 218 παράγραφος 9 της ΣΛΕΕ.</w:t>
      </w:r>
    </w:p>
    <w:p>
      <w:pPr>
        <w:pStyle w:val="ManualHeading2"/>
        <w:rPr>
          <w:noProof/>
        </w:rPr>
      </w:pPr>
      <w:r>
        <w:t>4.2.</w:t>
      </w:r>
      <w:r>
        <w:tab/>
      </w:r>
      <w:r>
        <w:rPr>
          <w:noProof/>
        </w:rPr>
        <w:t>Ουσιαστική νομική βάση</w:t>
      </w:r>
    </w:p>
    <w:p>
      <w:pPr>
        <w:rPr>
          <w:noProof/>
        </w:rPr>
      </w:pPr>
      <w:r>
        <w:rPr>
          <w:noProof/>
        </w:rPr>
        <w:t xml:space="preserve">Η ουσιαστική νομική βάση για την έκδοση απόφασης βάσει του άρθρου 218 παράγραφος 9 της ΣΛΕΕ εξαρτάται πρωτίστως από τον στόχο και το περιεχόμενο της προβλεπόμενης πράξης σε σχέση με την οποία λαμβάνεται θέση εξ ονόματος της Ένωσης. </w:t>
      </w:r>
    </w:p>
    <w:p>
      <w:pPr>
        <w:autoSpaceDE w:val="0"/>
        <w:autoSpaceDN w:val="0"/>
        <w:adjustRightInd w:val="0"/>
        <w:spacing w:after="240"/>
        <w:rPr>
          <w:noProof/>
          <w:szCs w:val="24"/>
        </w:rPr>
      </w:pPr>
      <w:r>
        <w:rPr>
          <w:noProof/>
        </w:rPr>
        <w:t>Ο κύριος στόχος και το περιεχόμενο της προβλεπόμενης πράξης αφορούν την παράνομη εμπορία ναρκωτικών.</w:t>
      </w:r>
    </w:p>
    <w:p>
      <w:pPr>
        <w:autoSpaceDE w:val="0"/>
        <w:autoSpaceDN w:val="0"/>
        <w:adjustRightInd w:val="0"/>
        <w:spacing w:after="240"/>
        <w:rPr>
          <w:noProof/>
          <w:szCs w:val="24"/>
        </w:rPr>
      </w:pPr>
      <w:r>
        <w:rPr>
          <w:noProof/>
        </w:rPr>
        <w:t xml:space="preserve">Ως εκ τούτου, ουσιαστική νομική βάση της προτεινόμενης απόφασης είναι το άρθρο 83 παράγραφος 1 της ΣΛΕΕ, το οποίο χαρακτηρίζει την παράνομη εμπορία ναρκωτικών ως ένα από τα αδικήματα με ιδιαίτερη διασυνοριακή διάσταση και εξουσιοδοτεί το Ευρωπαϊκό Κοινοβούλιο και το Συμβούλιο να θεσπίζουν ελάχιστους κανόνες για τον ορισμό των ποινικών αδικημάτων και των κυρώσεων στον τομέα της παράνομης εμπορίας ναρκωτικών. </w:t>
      </w:r>
    </w:p>
    <w:p>
      <w:pPr>
        <w:pStyle w:val="ManualHeading2"/>
        <w:rPr>
          <w:noProof/>
        </w:rPr>
      </w:pPr>
      <w:r>
        <w:t>4.3.</w:t>
      </w:r>
      <w:r>
        <w:tab/>
      </w:r>
      <w:r>
        <w:rPr>
          <w:noProof/>
        </w:rPr>
        <w:t>Μεταβλητή γεωμετρία</w:t>
      </w:r>
    </w:p>
    <w:p>
      <w:pPr>
        <w:autoSpaceDE w:val="0"/>
        <w:autoSpaceDN w:val="0"/>
        <w:adjustRightInd w:val="0"/>
        <w:spacing w:after="240"/>
        <w:rPr>
          <w:noProof/>
          <w:szCs w:val="24"/>
        </w:rPr>
      </w:pPr>
      <w:r>
        <w:rPr>
          <w:noProof/>
        </w:rPr>
        <w:t>Σύμφωνα με το άρθρο 10 παράγραφος 4 του Πρωτοκόλλου (αριθ. 36) σχετικά με τις μεταβατικές διατάξεις το οποίο είναι προσαρτημένο στις Συνθήκες, το Ηνωμένο Βασίλειο κοινοποίησε ότι δεν αποδέχεται τις πλήρεις εξουσίες της Επιτροπής και του Δικαστηρίου της Ευρωπαϊκής Ένωσης όσον αφορά τις πράξεις στον τομέα της αστυνομικής και δικαστικής συνεργασίας σε ποινικές υποθέσεις που εκδόθηκαν πριν από την έναρξη ισχύος της Συνθήκης της Λισαβόνας. Κατά συνέπεια, η απόφαση-πλαίσιο 2004/757/ΔΕΥ του Συμβουλίου έχει παύσει να ισχύει για το Ηνωμένο Βασίλειο από την 1η Δεκεμβρίου 2014</w:t>
      </w:r>
      <w:r>
        <w:rPr>
          <w:rStyle w:val="FootnoteReference"/>
          <w:noProof/>
        </w:rPr>
        <w:footnoteReference w:id="12"/>
      </w:r>
      <w:r>
        <w:rPr>
          <w:noProof/>
        </w:rPr>
        <w:t>.</w:t>
      </w:r>
      <w:r>
        <w:rPr>
          <w:noProof/>
          <w:vertAlign w:val="superscript"/>
        </w:rPr>
        <w:t xml:space="preserve"> </w:t>
      </w:r>
    </w:p>
    <w:p>
      <w:pPr>
        <w:autoSpaceDE w:val="0"/>
        <w:autoSpaceDN w:val="0"/>
        <w:adjustRightInd w:val="0"/>
        <w:spacing w:after="240"/>
        <w:rPr>
          <w:noProof/>
          <w:szCs w:val="24"/>
        </w:rPr>
      </w:pPr>
      <w:r>
        <w:rPr>
          <w:noProof/>
        </w:rPr>
        <w:t>Δεδομένου ότι οι αποφάσεις καταχώρισης στα παραρτήματα οι οποίες λαμβάνονται από τη CND δεν επηρεάζουν τους κοινούς κανόνες στον τομέα της παράνομης εμπορίας ναρκωτικών από τους οποίους δεσμεύεται το Ηνωμένο Βασίλειο, το Ηνωμένο Βασίλειο δεν συμμετέχει στην έκδοση απόφασης του Συμβουλίου για τον καθορισμό της θέσης που πρέπει να ληφθεί εξ ονόματος της Ένωσης κατά τη λήψη των εν λόγω αποφάσεων καταχώρισης στα παραρτήματα</w:t>
      </w:r>
      <w:r>
        <w:rPr>
          <w:rStyle w:val="FootnoteReference"/>
          <w:noProof/>
        </w:rPr>
        <w:footnoteReference w:id="13"/>
      </w:r>
      <w:r>
        <w:rPr>
          <w:noProof/>
        </w:rPr>
        <w:t xml:space="preserve">. </w:t>
      </w:r>
    </w:p>
    <w:p>
      <w:pPr>
        <w:autoSpaceDE w:val="0"/>
        <w:autoSpaceDN w:val="0"/>
        <w:adjustRightInd w:val="0"/>
        <w:spacing w:after="240"/>
        <w:rPr>
          <w:noProof/>
          <w:szCs w:val="24"/>
        </w:rPr>
      </w:pPr>
      <w:r>
        <w:rPr>
          <w:noProof/>
        </w:rPr>
        <w:t xml:space="preserve">Η Δανία δεσμεύεται από την απόφαση-πλαίσιο 2004/757/ΔΕΥ του Συμβουλίου, όπως ίσχυε έως τις 21 Νοεμβρίου 2018, το άρθρο 1 της οποίας ορίζει ως «ναρκωτικά» όλες τις ουσίες τις οποίες καλύπτει είτε η σύμβαση για τα ναρκωτικά είτε η σύμβαση για τις ψυχοτρόπους ουσίες. </w:t>
      </w:r>
    </w:p>
    <w:p>
      <w:pPr>
        <w:autoSpaceDE w:val="0"/>
        <w:autoSpaceDN w:val="0"/>
        <w:adjustRightInd w:val="0"/>
        <w:spacing w:after="240"/>
        <w:rPr>
          <w:noProof/>
          <w:szCs w:val="24"/>
        </w:rPr>
      </w:pPr>
      <w:r>
        <w:rPr>
          <w:noProof/>
        </w:rPr>
        <w:t xml:space="preserve">Δεδομένου ότι οι αποφάσεις καταχώρισης στα παραρτήματα οι οποίες λαμβάνονται από τη CND επηρεάζουν τους κοινούς κανόνες στον τομέα της παράνομης εμπορίας ναρκωτικών </w:t>
      </w:r>
      <w:r>
        <w:rPr>
          <w:noProof/>
        </w:rPr>
        <w:lastRenderedPageBreak/>
        <w:t>από τους οποίους δεσμεύεται η Δανία, η Δανία συμμετέχει στην έκδοση απόφασης του Συμβουλίου για τον καθορισμό της θέσης που πρέπει να ληφθεί εξ ονόματος της Ένωσης κατά τη λήψη των εν λόγω αποφάσεων καταχώρισης.</w:t>
      </w:r>
    </w:p>
    <w:p>
      <w:pPr>
        <w:pStyle w:val="ManualHeading2"/>
        <w:rPr>
          <w:noProof/>
        </w:rPr>
      </w:pPr>
      <w:r>
        <w:t>4.4.</w:t>
      </w:r>
      <w:r>
        <w:tab/>
      </w:r>
      <w:r>
        <w:rPr>
          <w:noProof/>
        </w:rPr>
        <w:t>Συμπέρασμα</w:t>
      </w:r>
    </w:p>
    <w:p>
      <w:pPr>
        <w:autoSpaceDE w:val="0"/>
        <w:autoSpaceDN w:val="0"/>
        <w:adjustRightInd w:val="0"/>
        <w:spacing w:after="240"/>
        <w:rPr>
          <w:noProof/>
          <w:szCs w:val="24"/>
        </w:rPr>
      </w:pPr>
      <w:r>
        <w:rPr>
          <w:noProof/>
        </w:rPr>
        <w:t>Νομική βάση της παρούσας πρότασης αποτελεί το άρθρο 83 παράγραφος 1, σε συνδυασμό με το άρθρο 218 παράγραφος 9 της ΣΛΕΕ.</w:t>
      </w:r>
    </w:p>
    <w:p>
      <w:pPr>
        <w:pStyle w:val="ManualHeading1"/>
        <w:rPr>
          <w:noProof/>
        </w:rPr>
      </w:pPr>
      <w:r>
        <w:t>5.</w:t>
      </w:r>
      <w:r>
        <w:tab/>
      </w:r>
      <w:r>
        <w:rPr>
          <w:noProof/>
        </w:rPr>
        <w:t>ΔΗΜΟΣΙΟΝΟΜΙΚΕΣ ΕΠΙΠΤΩΣΕΙΣ</w:t>
      </w:r>
    </w:p>
    <w:p>
      <w:pPr>
        <w:autoSpaceDE w:val="0"/>
        <w:autoSpaceDN w:val="0"/>
        <w:adjustRightInd w:val="0"/>
        <w:spacing w:after="240"/>
        <w:rPr>
          <w:noProof/>
          <w:szCs w:val="24"/>
        </w:rPr>
      </w:pPr>
      <w:r>
        <w:rPr>
          <w:noProof/>
        </w:rPr>
        <w:t>Δεν υπάρχουν δημοσιονομικές επιπτώσεις.</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2019/0274 (NLE)</w:t>
      </w:r>
    </w:p>
    <w:p>
      <w:pPr>
        <w:pStyle w:val="Statut"/>
        <w:rPr>
          <w:noProof/>
        </w:rPr>
      </w:pPr>
      <w:r>
        <w:rPr>
          <w:noProof/>
        </w:rPr>
        <w:t>Πρόταση</w:t>
      </w:r>
    </w:p>
    <w:p>
      <w:pPr>
        <w:pStyle w:val="Typedudocument"/>
        <w:rPr>
          <w:noProof/>
        </w:rPr>
      </w:pPr>
      <w:r>
        <w:rPr>
          <w:noProof/>
        </w:rPr>
        <w:t>ΑΠΟΦΑΣΗ ΤΟΥ ΣΥΜΒΟΥΛΙΟΥ</w:t>
      </w:r>
    </w:p>
    <w:p>
      <w:pPr>
        <w:pStyle w:val="Titreobjet"/>
        <w:rPr>
          <w:noProof/>
        </w:rPr>
      </w:pPr>
      <w:r>
        <w:rPr>
          <w:noProof/>
        </w:rPr>
        <w:t>για τη θέση που πρέπει να ληφθεί, εξ ονόματος της Ευρωπαϊκής Ένωσης, κατά την εξηκοστή τρίτη σύνοδο της Επιτροπής για τα Ναρκωτικά όσον αφορά την καταχώριση ουσιών στα παραρτήματα της ενιαίας σύμβασης για τα ναρκωτικά του 1961, όπως τροποποιήθηκε από το πρωτόκολλο του 1972, και της σύμβασης για τις ψυχοτρόπους ουσίες του 1971</w:t>
      </w:r>
    </w:p>
    <w:p>
      <w:pPr>
        <w:pStyle w:val="Institutionquiagit"/>
        <w:rPr>
          <w:b/>
          <w:noProof/>
        </w:rPr>
      </w:pPr>
      <w:r>
        <w:rPr>
          <w:b/>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83 παράγραφος 1 σε συνδυασμό με το άρθρο 218 παράγραφος 9,</w:t>
      </w:r>
    </w:p>
    <w:p>
      <w:pPr>
        <w:rPr>
          <w:noProof/>
        </w:rPr>
      </w:pPr>
      <w:r>
        <w:rPr>
          <w:noProof/>
        </w:rPr>
        <w:t>Έχοντας υπόψη την πρόταση της Ευρωπαϊκής Επιτροπής,</w:t>
      </w:r>
    </w:p>
    <w:p>
      <w:pPr>
        <w:rPr>
          <w:noProof/>
        </w:rPr>
      </w:pPr>
      <w:r>
        <w:rPr>
          <w:noProof/>
        </w:rPr>
        <w:t>Εκτιμώντας τα ακόλουθα:</w:t>
      </w:r>
    </w:p>
    <w:p>
      <w:pPr>
        <w:pStyle w:val="ManualConsidrant"/>
        <w:rPr>
          <w:noProof/>
        </w:rPr>
      </w:pPr>
      <w:r>
        <w:t>(1)</w:t>
      </w:r>
      <w:r>
        <w:tab/>
      </w:r>
      <w:r>
        <w:rPr>
          <w:noProof/>
        </w:rPr>
        <w:t>Η ενιαία σύμβαση των Ηνωμένων Εθνών (ΗΕ) για τα ναρκωτικά του 1961, όπως τροποποιήθηκε από το πρωτόκολλο του 1972</w:t>
      </w:r>
      <w:r>
        <w:rPr>
          <w:rStyle w:val="FootnoteReference"/>
          <w:noProof/>
        </w:rPr>
        <w:footnoteReference w:id="14"/>
      </w:r>
      <w:r>
        <w:rPr>
          <w:noProof/>
        </w:rPr>
        <w:t xml:space="preserve"> (εφεξής «σύμβαση για τα ναρκωτικά»), τέθηκε σε ισχύ στις 8 Αυγούστου 1975. </w:t>
      </w:r>
    </w:p>
    <w:p>
      <w:pPr>
        <w:pStyle w:val="ManualConsidrant"/>
        <w:rPr>
          <w:noProof/>
        </w:rPr>
      </w:pPr>
      <w:r>
        <w:t>(2)</w:t>
      </w:r>
      <w:r>
        <w:tab/>
      </w:r>
      <w:r>
        <w:rPr>
          <w:noProof/>
        </w:rPr>
        <w:t>Δυνάμει του άρθρου 3 της σύμβασης για τα ναρκωτικά, η Επιτροπή για τα Ναρκωτικά δύναται να αποφασίζει την προσθήκη ουσιών στα παραρτήματα της εν λόγω σύμβασης. Μπορεί να πραγματοποιεί αλλαγές στα παραρτήματα μόνο σύμφωνα με τις συστάσεις του Παγκόσμιου Οργανισμού Υγείας (ΠΟΥ), αλλά μπορεί επίσης να αποφασίζει να μην πραγματοποιεί τις αλλαγές που προτείνει ο ΠΟΥ.</w:t>
      </w:r>
    </w:p>
    <w:p>
      <w:pPr>
        <w:pStyle w:val="ManualConsidrant"/>
        <w:rPr>
          <w:noProof/>
        </w:rPr>
      </w:pPr>
      <w:r>
        <w:t>(3)</w:t>
      </w:r>
      <w:r>
        <w:tab/>
      </w:r>
      <w:r>
        <w:rPr>
          <w:noProof/>
        </w:rPr>
        <w:t>Η σύμβαση των ΗΕ για τις ψυχοτρόπους ουσίες του 1971 (εφεξής «σύμβαση για τις ψυχοτρόπους ουσίες»)</w:t>
      </w:r>
      <w:r>
        <w:rPr>
          <w:rStyle w:val="FootnoteReference"/>
          <w:noProof/>
        </w:rPr>
        <w:footnoteReference w:id="15"/>
      </w:r>
      <w:r>
        <w:rPr>
          <w:noProof/>
        </w:rPr>
        <w:t xml:space="preserve"> τέθηκε σε ισχύ στις 16 Αυγούστου 1976.</w:t>
      </w:r>
    </w:p>
    <w:p>
      <w:pPr>
        <w:pStyle w:val="ManualConsidrant"/>
        <w:rPr>
          <w:noProof/>
        </w:rPr>
      </w:pPr>
      <w:r>
        <w:t>(4)</w:t>
      </w:r>
      <w:r>
        <w:tab/>
      </w:r>
      <w:r>
        <w:rPr>
          <w:noProof/>
        </w:rPr>
        <w:t xml:space="preserve">Δυνάμει του άρθρου 2 της σύμβασης για τις ψυχοτρόπους ουσίες, η Επιτροπή για τα Ναρκωτικά δύναται να αποφασίζει την προσθήκη ή αφαίρεση ουσιών από τα παραρτήματα της εν λόγω σύμβασης βάσει των συστάσεων του ΠΟΥ. Διαθέτει ευρεία διακριτική ευχέρεια να λαμβάνει υπόψη οικονομικούς, κοινωνικούς, νομικούς, διοικητικούς και άλλους παράγοντες, αλλά δεν μπορεί να ενεργεί αυθαίρετα. </w:t>
      </w:r>
    </w:p>
    <w:p>
      <w:pPr>
        <w:pStyle w:val="ManualConsidrant"/>
        <w:rPr>
          <w:noProof/>
        </w:rPr>
      </w:pPr>
      <w:r>
        <w:t>(5)</w:t>
      </w:r>
      <w:r>
        <w:tab/>
      </w:r>
      <w:r>
        <w:rPr>
          <w:noProof/>
        </w:rPr>
        <w:t>Οι αλλαγές στα παραρτήματα και των δύο συμβάσεων έχουν άμεσες επιπτώσεις στο πεδίο εφαρμογής του δικαίου της Ένωσης στον τομέα του ελέγχου των ναρκωτικών. Η απόφαση-πλαίσιο 2004/757/ΔΕΥ του Συμβουλίου</w:t>
      </w:r>
      <w:r>
        <w:rPr>
          <w:rStyle w:val="FootnoteReference"/>
          <w:noProof/>
        </w:rPr>
        <w:footnoteReference w:id="16"/>
      </w:r>
      <w:r>
        <w:rPr>
          <w:noProof/>
        </w:rPr>
        <w:t xml:space="preserve"> εφαρμόζεται στις ουσίες που παρατίθενται στα παραρτήματα των εν λόγω συμβάσεων. Ως εκ τούτου, οποιαδήποτε αλλαγή στα παραρτήματα που προσαρτώνται στις συμβάσεις επηρεάζει άμεσα τους κοινούς κανόνες της Ένωσης και μεταβάλλει το πεδίο εφαρμογής τους, σύμφωνα με </w:t>
      </w:r>
      <w:r>
        <w:rPr>
          <w:noProof/>
        </w:rPr>
        <w:lastRenderedPageBreak/>
        <w:t>το άρθρο 3 παράγραφος 2 της Συνθήκης για τη λειτουργία της Ευρωπαϊκής Ένωσης (ΣΛΕΕ).</w:t>
      </w:r>
    </w:p>
    <w:p>
      <w:pPr>
        <w:pStyle w:val="ManualConsidrant"/>
        <w:rPr>
          <w:noProof/>
        </w:rPr>
      </w:pPr>
      <w:r>
        <w:t>(6)</w:t>
      </w:r>
      <w:r>
        <w:tab/>
      </w:r>
      <w:r>
        <w:rPr>
          <w:noProof/>
        </w:rPr>
        <w:t xml:space="preserve">Η Επιτροπή για τα Ναρκωτικά, κατά την εξηκοστή τρίτη σύνοδό της από 2 έως 6 Μαρτίου 2020 στη Βιέννη, πρόκειται να λάβει αποφάσεις σχετικά με την κάνναβη και τις σχετικές προς αυτήν ουσίες που υπάγονται ήδη σε έλεγχο βάσει της σύμβασης για τα ναρκωτικά ή της σύμβασης για τις ψυχοτρόπους ουσίες. </w:t>
      </w:r>
    </w:p>
    <w:p>
      <w:pPr>
        <w:pStyle w:val="ManualConsidrant"/>
        <w:rPr>
          <w:noProof/>
        </w:rPr>
      </w:pPr>
      <w:r>
        <w:t>(7)</w:t>
      </w:r>
      <w:r>
        <w:tab/>
      </w:r>
      <w:r>
        <w:rPr>
          <w:noProof/>
        </w:rPr>
        <w:t>Η Ένωση δεν είναι συμβαλλόμενο μέρος στις σχετικές συμβάσεις των ΗΕ. Έχει καθεστώς παρατηρητή στην Επιτροπή για τα Ναρκωτικά, στην οποία, τον Μάρτιο του 2020, θα είναι μέλη με δικαίωμα ψήφου δεκατρία κράτη μέλη</w:t>
      </w:r>
      <w:r>
        <w:rPr>
          <w:rStyle w:val="FootnoteReference"/>
          <w:noProof/>
        </w:rPr>
        <w:footnoteReference w:id="17"/>
      </w:r>
      <w:r>
        <w:rPr>
          <w:noProof/>
        </w:rPr>
        <w:t xml:space="preserve">. Ως εκ τούτου, απαιτείται το Συμβούλιο να εξουσιοδοτήσει τα κράτη μέλη να εκφράσουν τη θέση της Ένωσης σχετικά με την καταχώριση ουσιών βάσει της σύμβασης για τα ναρκωτικά και της σύμβασης για τις ψυχοτρόπους ουσίες, δεδομένου ότι οι αποφάσεις σχετικά με τη διεθνή καταχώριση ουσιών στις συμβάσεις εμπίπτουν στην αποκλειστική αρμοδιότητα της Ένωσης. </w:t>
      </w:r>
    </w:p>
    <w:p>
      <w:pPr>
        <w:pStyle w:val="ManualConsidrant"/>
        <w:rPr>
          <w:noProof/>
        </w:rPr>
      </w:pPr>
      <w:r>
        <w:t>(8)</w:t>
      </w:r>
      <w:r>
        <w:tab/>
      </w:r>
      <w:r>
        <w:rPr>
          <w:noProof/>
        </w:rPr>
        <w:t>Στις 24 Ιανουαρίου 2019</w:t>
      </w:r>
      <w:r>
        <w:rPr>
          <w:rStyle w:val="FootnoteReference"/>
          <w:noProof/>
        </w:rPr>
        <w:footnoteReference w:id="18"/>
      </w:r>
      <w:r>
        <w:rPr>
          <w:noProof/>
        </w:rPr>
        <w:t>, ο ΠΟΥ υπέβαλε έξι συστάσεις οι οποίες εκδόθηκαν κατόπιν της κριτικής εξέτασης που διενεργήθηκε κατά την 41η συνεδρίαση της επιτροπής εμπειρογνωμόνων του ΠΟΥ για την τοξικομανία (εφεξής «επιτροπή εμπειρογνωμόνων του ΠΟΥ») ως προς την κάνναβη και τις σχετικές προς αυτήν ουσίες. Οι συστάσεις αυτές δεν αποσκοπούν στην έγκριση της χρήσης κάνναβης ή σχετικών προς αυτήν ουσιών για ψυχαγωγικούς σκοπούς.</w:t>
      </w:r>
    </w:p>
    <w:p>
      <w:pPr>
        <w:pStyle w:val="ManualConsidrant"/>
        <w:rPr>
          <w:noProof/>
        </w:rPr>
      </w:pPr>
      <w:r>
        <w:t>(9)</w:t>
      </w:r>
      <w:r>
        <w:tab/>
      </w:r>
      <w:r>
        <w:rPr>
          <w:noProof/>
        </w:rPr>
        <w:t xml:space="preserve">Σύμφωνα με την αξιολόγηση της επιτροπής εμπειρογνωμόνων του ΠΟΥ, </w:t>
      </w:r>
      <w:r>
        <w:rPr>
          <w:b/>
          <w:noProof/>
        </w:rPr>
        <w:t>η κάνναβη και η ρητίνη κάνναβης</w:t>
      </w:r>
      <w:r>
        <w:rPr>
          <w:noProof/>
        </w:rPr>
        <w:t xml:space="preserve"> δεν είναι ιδιαιτέρως ικανές να έχουν βλαπτικά αποτελέσματα παρόμοια με τα αποτελέσματα των άλλων ουσιών στο παράρτημα IV της σύμβασης για τα ναρκωτικά. Επιπλέον, τα παρασκευάσματα κάνναβης έχει αποδειχθεί ότι έχουν θεραπευτικές δυνατότητες για την αντιμετώπιση του πόνου και άλλων παθολογικών καταστάσεων, όπως η επιληψία και η σπαστικότητα που συνδέεται με τη σκλήρυνση κατά πλάκας. </w:t>
      </w:r>
    </w:p>
    <w:p>
      <w:pPr>
        <w:pStyle w:val="ManualConsidrant"/>
        <w:rPr>
          <w:noProof/>
        </w:rPr>
      </w:pPr>
      <w:r>
        <w:t>(10)</w:t>
      </w:r>
      <w:r>
        <w:tab/>
      </w:r>
      <w:r>
        <w:rPr>
          <w:noProof/>
        </w:rPr>
        <w:t>Ο ΠΟΥ έκρινε ότι η κάνναβη και η ρητίνη κάνναβης πρέπει να καταχωριστούν σε ένα επίπεδο ελέγχου που να αποτρέπει μεν τη βλάβη που προκαλείται από τη χρήση κάνναβης αλλά που ταυτοχρόνως δεν θα λειτουργεί ως φραγμός στην πρόσβαση και στην έρευνα και την ανάπτυξη των σχετικών με την κάνναβη παρασκευασμάτων για ιατρική χρήση. Ως εκ τούτου, ο ΠΟΥ κατέληξε στο συμπέρασμα ότι η συμπερίληψη της κάνναβης και της ρητίνης κάνναβης στο παράρτημα IV δεν συνάδει με τα κριτήρια για την καταχώριση ενός φαρμάκου στο παράρτημα αυτό.</w:t>
      </w:r>
    </w:p>
    <w:p>
      <w:pPr>
        <w:pStyle w:val="ManualConsidrant"/>
        <w:rPr>
          <w:noProof/>
        </w:rPr>
      </w:pPr>
      <w:r>
        <w:t>(11)</w:t>
      </w:r>
      <w:r>
        <w:tab/>
      </w:r>
      <w:r>
        <w:rPr>
          <w:noProof/>
        </w:rPr>
        <w:t xml:space="preserve">Η σύσταση αυτή δεν συνεπάγεται μεταβολή στο επίπεδο του διεθνούς ελέγχου της κάνναβης και της ρητίνης κάνναβης, δεδομένου ότι θα συνεχίσουν να περιλαμβάνονται στο παράρτημα I της σύμβασης για τα ναρκωτικά. Η σύσταση λαμβάνει δεόντως υπόψη τις επιστημονικές εξελίξεις στον τομέα από τον χρόνο της πρώτης εισαγωγής της κάνναβης και της ρητίνης κάνναβης στη σύμβαση για τα ναρκωτικά. Η διαγραφή της κάνναβης και της ρητίνης κάνναβης από το παράρτημα IV της σύμβασης για τα ναρκωτικά θα ήταν επωφελής για την προώθηση της συλλογικής γνώσης τόσο όσον αφορά τη θεραπευτική της χρησιμότητα όσο και ως προς τυχόν βλάβες που συνδέονται με αυτήν.  </w:t>
      </w:r>
    </w:p>
    <w:p>
      <w:pPr>
        <w:pStyle w:val="ManualConsidrant"/>
        <w:rPr>
          <w:noProof/>
        </w:rPr>
      </w:pPr>
      <w:r>
        <w:lastRenderedPageBreak/>
        <w:t>(12)</w:t>
      </w:r>
      <w:r>
        <w:tab/>
      </w:r>
      <w:r>
        <w:rPr>
          <w:noProof/>
        </w:rPr>
        <w:t xml:space="preserve">Συνεπώς, τα κράτη μέλη θα πρέπει να λάβουν θέση υπέρ της διαγραφής της κάνναβης και της ρητίνης κάνναβης από το παράρτημα IV της σύμβασης για τα ναρκωτικά. </w:t>
      </w:r>
    </w:p>
    <w:p>
      <w:pPr>
        <w:pStyle w:val="ManualConsidrant"/>
        <w:rPr>
          <w:noProof/>
        </w:rPr>
      </w:pPr>
      <w:r>
        <w:t>(13)</w:t>
      </w:r>
      <w:r>
        <w:tab/>
      </w:r>
      <w:r>
        <w:rPr>
          <w:noProof/>
        </w:rPr>
        <w:t xml:space="preserve">Σύμφωνα με την αξιολόγηση της επιτροπής εμπειρογνωμόνων του ΠΟΥ, </w:t>
      </w:r>
      <w:r>
        <w:rPr>
          <w:b/>
          <w:noProof/>
        </w:rPr>
        <w:t>η Δ-9-τετραϋδροκανναβινόλη και το δραστικό στερεοϊσομερές της, η δροναβινόλη</w:t>
      </w:r>
      <w:r>
        <w:rPr>
          <w:noProof/>
        </w:rPr>
        <w:t xml:space="preserve">, ιδίως σε παράνομης προέλευσης μορφές υψηλής καθαρότητας, μπορεί να επιφέρει βλαπτικά αποτελέσματα, εξάρτηση και πιθανότητα κατάχρησης τουλάχιστον εξίσου με την κάνναβη, η οποία περιλαμβάνεται στο παράρτημα I της σύμβασης για τα ναρκωτικά. Κανονικά, μια ουσία που έχει παρόμοια ροπή κατάχρησης και παρόμοια βλαπτικά αποτελέσματα με ήδη καταχωρισμένη ουσία στο πλαίσιο της σύμβασης για τα ναρκωτικά καταχωρίζεται και αυτή με τον ίδιο τρόπο. Δεδομένου ότι η Δ-9-τετραϋδροκανναβινόλη έχει παρόμοια ροπή κατάχρησης με την κάνναβη και παρόμοια βλαπτικά αποτελέσματα, πληροί τα κριτήρια καταχώρισης στο παράρτημα I της σύμβασης για τα ναρκωτικά. </w:t>
      </w:r>
    </w:p>
    <w:p>
      <w:pPr>
        <w:pStyle w:val="ManualConsidrant"/>
        <w:rPr>
          <w:noProof/>
        </w:rPr>
      </w:pPr>
      <w:r>
        <w:t>(14)</w:t>
      </w:r>
      <w:r>
        <w:tab/>
      </w:r>
      <w:r>
        <w:rPr>
          <w:noProof/>
        </w:rPr>
        <w:t>Επιπλέον, ο ΠΟΥ έκρινε ότι η τοποθέτηση της Δ-9-τετραϋδροκανναβινόλης στο πλαίσιο της ίδιας σύμβασης και του ίδιου παραρτήματος με την κάνναβη, ήτοι στο παράρτημα Ι της σύμβασης για τα ναρκωτικά, θα διευκόλυνε σε μεγάλο βαθμό την εφαρμογή των μέτρων ελέγχου των συμβάσεων στα κράτη μέλη. Ως εκ τούτου, ο ΠΟΥ συνέστησε να προστεθεί η Δ-9-τετραϋδροκανναβινόλη και το δραστικό στερεοϊσομερές της, η δροναβινόλη, στο παράρτημα Ι της σύμβασης για τα ναρκωτικά και, εφόσον εγκριθεί η εν λόγω σύσταση, να διαγραφεί από το παράρτημα ΙΙ της σύμβασης για τις ψυχοτρόπους ουσίες.</w:t>
      </w:r>
    </w:p>
    <w:p>
      <w:pPr>
        <w:pStyle w:val="ManualConsidrant"/>
        <w:rPr>
          <w:noProof/>
        </w:rPr>
      </w:pPr>
      <w:r>
        <w:t>(15)</w:t>
      </w:r>
      <w:r>
        <w:tab/>
      </w:r>
      <w:r>
        <w:rPr>
          <w:noProof/>
        </w:rPr>
        <w:t>Η σύσταση αυτή δεν συνεπάγεται μεταβολή στο επίπεδο του διεθνούς ελέγχου της Δ-9-τετραϋδροκανναβινόλης και του δραστικού στερεοϊσομερούς της, της δροναβινόλης. Θα μπορούσε επίσης να διευκολύνει την εφαρμογή των μέτρων ελέγχου στα κράτη μέλη.</w:t>
      </w:r>
    </w:p>
    <w:p>
      <w:pPr>
        <w:pStyle w:val="ManualConsidrant"/>
        <w:rPr>
          <w:noProof/>
        </w:rPr>
      </w:pPr>
      <w:r>
        <w:t>(16)</w:t>
      </w:r>
      <w:r>
        <w:tab/>
      </w:r>
      <w:r>
        <w:rPr>
          <w:noProof/>
        </w:rPr>
        <w:t>Συνεπώς, τα κράτη μέλη θα πρέπει να λάβουν θέση υπέρ της προσθήκης της Δ-9-τετραϋδροκανναβινόλης και του δραστικού στερεοϊσομερούς της, της δροναβινόλης, στο παράρτημα Ι της σύμβασης για τα ναρκωτικά και, εφόσον εγκριθεί η εν λόγω σύσταση, υπέρ της διαγραφής τους από το παράρτημα ΙΙ της σύμβασης για τις ψυχοτρόπους ουσίες. Εναλλακτικά, θα πρέπει να μην τεθεί σε ψηφοφορία η σύσταση και να ζητηθεί περαιτέρω αξιολόγηση από τον ΠΟΥ.</w:t>
      </w:r>
    </w:p>
    <w:p>
      <w:pPr>
        <w:pStyle w:val="ManualConsidrant"/>
        <w:rPr>
          <w:noProof/>
        </w:rPr>
      </w:pPr>
      <w:r>
        <w:t>(17)</w:t>
      </w:r>
      <w:r>
        <w:tab/>
      </w:r>
      <w:r>
        <w:rPr>
          <w:noProof/>
        </w:rPr>
        <w:t xml:space="preserve">Σύμφωνα με την αξιολόγηση της επιτροπής εμπειρογνωμόνων του ΠΟΥ, </w:t>
      </w:r>
      <w:r>
        <w:rPr>
          <w:b/>
          <w:noProof/>
        </w:rPr>
        <w:t>η τετραϋδροκανναβινόλη (ισομερή της Δ-9-τετραϋδροκανναβινόλης)</w:t>
      </w:r>
      <w:r>
        <w:rPr>
          <w:noProof/>
        </w:rPr>
        <w:t xml:space="preserve">, η οποία περιλαμβάνεται στο παράρτημα Ι της σύμβασης για τις ψυχοτρόπους ουσίες, δεν έχει ροπή κατάχρησης και βλαπτικά αποτελέσματα παρόμοια με της Δ-9-τετραϋδροκανναβινόλης αλλά, λόγω της χημικής ομοιότητας των έξι ισομερών με την Δ-9-τετραϋδροκανναβινόλη, είναι πολύ δύσκολη η διάκριση μεταξύ οποιουδήποτε εξ αυτών των έξι ισομερών και της Δ-9-τετραϋδροκανναβινόλης με τις συνήθεις μεθόδους χημικής ανάλυσης. Επίσης, η τοποθέτηση των έξι αυτών ισομερών στο πλαίσιο της ίδιας σύμβασης και του ίδιου παραρτήματος με την Δ-9-τετραϋδροκανναβινόλη, ήτοι στο παράρτημα Ι της σύμβασης για τα ναρκωτικά, θα διευκόλυνε την εφαρμογή του διεθνούς ελέγχου της Δ-9-τετραϋδροκανναβινόλης και θα συνέδραμε τα κράτη μέλη στην εφαρμογή μέτρων ελέγχου σε επίπεδο χώρας. Ως εκ τούτου, ο ΠΟΥ συνέστησε να προστεθεί η τετραϋδροκανναβινόλη (ισομερή της Δ-9-τετραϋδροκανναβινόλης) στο παράρτημα I της σύμβασης για τα ναρκωτικά, υπό την αίρεση της έγκρισης από την Επιτροπή για τα Ναρκωτικά (CND) της σύστασης για την προσθήκη της δροναβινόλης και των στερεοϊσομερών της (Δ-9-τετραϋδροκανναβινόλη) στο παράρτημα I της σύμβασης για τα ναρκωτικά και, </w:t>
      </w:r>
      <w:r>
        <w:rPr>
          <w:noProof/>
        </w:rPr>
        <w:lastRenderedPageBreak/>
        <w:t>εφόσον εγκριθεί η εν λόγω σύσταση, η τετραϋδροκανναβινόλη να διαγραφεί από το παράρτημα Ι της σύμβασης για τις ψυχοτρόπους ουσίες.</w:t>
      </w:r>
    </w:p>
    <w:p>
      <w:pPr>
        <w:pStyle w:val="ManualConsidrant"/>
        <w:rPr>
          <w:noProof/>
        </w:rPr>
      </w:pPr>
      <w:r>
        <w:t>(18)</w:t>
      </w:r>
      <w:r>
        <w:tab/>
      </w:r>
      <w:r>
        <w:rPr>
          <w:noProof/>
        </w:rPr>
        <w:t>Η σύσταση αυτή δεν συνεπάγεται μεταβολή στο επίπεδο του διεθνούς ελέγχου της τετραϋδροκανναβινόλης (ισομερή της Δ-9-τετραϋδροκανναβινόλης). Θα μπορούσε επίσης να διευκολύνει την εφαρμογή των μέτρων ελέγχου στα κράτη μέλη.</w:t>
      </w:r>
    </w:p>
    <w:p>
      <w:pPr>
        <w:pStyle w:val="ManualConsidrant"/>
        <w:rPr>
          <w:noProof/>
        </w:rPr>
      </w:pPr>
      <w:r>
        <w:t>(19)</w:t>
      </w:r>
      <w:r>
        <w:tab/>
      </w:r>
      <w:r>
        <w:rPr>
          <w:noProof/>
        </w:rPr>
        <w:t>Συνεπώς, τα κράτη μέλη θα πρέπει να λάβουν θέση υπέρ της προσθήκης της τετραϋδροκανναβινόλης (ισομερή της Δ-9-τετραϋδροκανναβινόλης) στο παράρτημα I της σύμβασης για τα ναρκωτικά, υπό την αίρεση της έγκρισης από τη CND της σύστασης για την προσθήκη της δροναβινόλης και των στερεοϊσομερών της (Δ-9-τετραϋδροκανναβινόλη) στο παράρτημα I της σύμβασης για τα ναρκωτικά και, εφόσον εγκριθεί η εν λόγω σύσταση, υπέρ της διαγραφής της τετραϋδροκανναβινόλης από το παράρτημα Ι της σύμβασης για τις ψυχοτρόπους ουσίες. Εναλλακτικά, θα πρέπει να μην τεθεί σε ψηφοφορία η σύσταση και να ζητηθεί περαιτέρω αξιολόγηση από τον ΠΟΥ.</w:t>
      </w:r>
    </w:p>
    <w:p>
      <w:pPr>
        <w:pStyle w:val="ManualConsidrant"/>
        <w:rPr>
          <w:noProof/>
        </w:rPr>
      </w:pPr>
      <w:r>
        <w:t>(20)</w:t>
      </w:r>
      <w:r>
        <w:tab/>
      </w:r>
      <w:r>
        <w:rPr>
          <w:noProof/>
        </w:rPr>
        <w:t xml:space="preserve">Σύμφωνα με την αξιολόγηση της επιτροπής εμπειρογνωμόνων του ΠΟΥ, η μεταβλητότητα των ψυχοδραστικών ιδιοτήτων των </w:t>
      </w:r>
      <w:r>
        <w:rPr>
          <w:b/>
          <w:noProof/>
        </w:rPr>
        <w:t>εκχυλισμάτων και των βαμμάτων κάνναβης</w:t>
      </w:r>
      <w:r>
        <w:rPr>
          <w:noProof/>
        </w:rPr>
        <w:t xml:space="preserve">, όπως αναφέρονται στη σύμβαση για τα ναρκωτικά, οφείλεται κυρίως στις διαφορετικές συγκεντρώσεις Δ-9-τετραϋδροκανναβινόλης στα εν λόγω εκχυλίσματα και βάμματα. Ορισμένα εκχυλίσματα και βάμματα κάνναβης χωρίς ψυχοδραστικές ιδιότητες και, ιδίως, μεταξύ άλλων, η κανναβιδιόλη, έχουν πολλά υποσχόμενες θεραπευτικές εφαρμογές. Το γεγονός ότι διαφορετικά παρασκευάσματα με διαφορετικές συγκεντρώσεις Δ-9-τετραϋδροκανναβινόλης ελέγχονται στο πλαίσιο της ίδιας καταχώρισης με τίτλο «Εκχυλίσματα και βάμματα» και στο πλαίσιο του ίδιου παραρτήματος, συνιστά πρόκληση για τις αρμόδιες αρχές που εφαρμόζουν μέτρα ελέγχου στις οικείες χώρες. Επιπλέον, ο ορισμός των παρασκευασμάτων βάσει της σύμβασης για τα ναρκωτικά μπορεί να καλύπτει όλα τα προϊόντα που αποτελούν «εκχυλίσματα και βάμματα» κάνναβης υπό την έννοια των «παρασκευασμάτων» κάνναβης, καθώς και υπό την έννοια των «παρασκευασμάτων» δροναβινόλης και των στερεοϊσομερών της, αν ακολουθηθεί η σύσταση της CND για μεταφορά της δροναβινόλης στο παράρτημα Ι της σύμβασης για τα ναρκωτικά. Ως εκ τούτου, ο ΠΟΥ συνέστησε τη διαγραφή των εκχυλισμάτων και των βαμμάτων από το παράρτημα I της σύμβασης για τα ναρκωτικά. </w:t>
      </w:r>
    </w:p>
    <w:p>
      <w:pPr>
        <w:pStyle w:val="ManualConsidrant"/>
        <w:rPr>
          <w:noProof/>
        </w:rPr>
      </w:pPr>
      <w:r>
        <w:t>(21)</w:t>
      </w:r>
      <w:r>
        <w:tab/>
      </w:r>
      <w:r>
        <w:rPr>
          <w:noProof/>
        </w:rPr>
        <w:t>Εντούτοις, παρά τις διευκρινίσεις που παρέσχε ο ΠΟΥ μετά την έκδοσή της, η εν λόγω σύσταση δεν φαίνεται να δικαιολογείται επαρκώς για λόγους δημόσιας υγείας και είναι δύσκολο να εκτιμηθούν πλήρως οι επιπτώσεις της, μεταξύ άλλων όσον αφορά την πληρότητα του διεθνούς συστήματος ελέγχου.</w:t>
      </w:r>
    </w:p>
    <w:p>
      <w:pPr>
        <w:pStyle w:val="ManualConsidrant"/>
        <w:rPr>
          <w:noProof/>
        </w:rPr>
      </w:pPr>
      <w:r>
        <w:t>(22)</w:t>
      </w:r>
      <w:r>
        <w:tab/>
      </w:r>
      <w:r>
        <w:rPr>
          <w:noProof/>
        </w:rPr>
        <w:t>Συνεπώς, τα κράτη μέλη θα πρέπει να λάβουν θέση υπέρ του να μην τεθεί σε ψηφοφορία η σύσταση και να ζητηθεί περαιτέρω αξιολόγηση από τον ΠΟΥ.</w:t>
      </w:r>
    </w:p>
    <w:p>
      <w:pPr>
        <w:pStyle w:val="ManualConsidrant"/>
        <w:rPr>
          <w:noProof/>
        </w:rPr>
      </w:pPr>
      <w:r>
        <w:t>(23)</w:t>
      </w:r>
      <w:r>
        <w:tab/>
      </w:r>
      <w:r>
        <w:rPr>
          <w:noProof/>
        </w:rPr>
        <w:t xml:space="preserve">Σύμφωνα με την αξιολόγηση της επιτροπής εμπειρογνωμόνων του ΠΟΥ, η </w:t>
      </w:r>
      <w:r>
        <w:rPr>
          <w:b/>
          <w:noProof/>
        </w:rPr>
        <w:t>κανναβιδιόλη</w:t>
      </w:r>
      <w:r>
        <w:rPr>
          <w:noProof/>
        </w:rPr>
        <w:t xml:space="preserve"> ανιχνεύεται μεν στην κάνναβη και στη ρητίνη κάνναβης, αλλά δεν διαθέτει ψυχοδραστικές ιδιότητες, ούτε ροπή κατάχρησης ή πιθανότητα εξάρτησης. Ως ουσία δεν έχει σημαντικά βλαπτικά αποτελέσματα. Επιπλέον, έχει αποδειχθεί ότι η κανναβιδιόλη είναι αποτελεσματική στη διαχείριση ορισμένων διαταραχών παιδικής επιληψίας ανθεκτικών στις θεραπευτικές αγωγές. </w:t>
      </w:r>
    </w:p>
    <w:p>
      <w:pPr>
        <w:pStyle w:val="ManualConsidrant"/>
        <w:rPr>
          <w:noProof/>
        </w:rPr>
      </w:pPr>
      <w:r>
        <w:t>(24)</w:t>
      </w:r>
      <w:r>
        <w:tab/>
      </w:r>
      <w:r>
        <w:rPr>
          <w:noProof/>
        </w:rPr>
        <w:t>Ο ΠΟΥ επισήμανε ότι τα φάρμακα χωρίς ψυχοδραστικές επιδράσεις που παράγονται ως παρασκευάσματα του φυτού της κάνναβης περιέχουν ίχνη Δ-9-τετραϋδροκανναβινόλης και αναγνώρισε ότι η χημική ανάλυση της Δ-9-</w:t>
      </w:r>
      <w:r>
        <w:rPr>
          <w:noProof/>
        </w:rPr>
        <w:lastRenderedPageBreak/>
        <w:t>τετραϋδροκανναβινόλης με ακρίβεια της τάξεως του 0,15 % μπορεί να είναι δυσχερής για ορισμένα κράτη μέλη. Ως εκ τούτου, ο ΠΟΥ συνέστησε την προσθήκη υποσημείωσης στο παράρτημα I της σύμβασης για τα ναρκωτικά, ως εξής: «Παρασκευάσματα που περιέχουν κυρίως κανναβιδιόλη και δεν περιέχουν περισσότερο από 0,2 % Δ-9-τετραϋδροκανναβινόλη δεν υπάγονται σε διεθνή έλεγχο.»</w:t>
      </w:r>
    </w:p>
    <w:p>
      <w:pPr>
        <w:pStyle w:val="ManualConsidrant"/>
        <w:rPr>
          <w:noProof/>
        </w:rPr>
      </w:pPr>
      <w:r>
        <w:t>(25)</w:t>
      </w:r>
      <w:r>
        <w:tab/>
      </w:r>
      <w:r>
        <w:rPr>
          <w:noProof/>
        </w:rPr>
        <w:t xml:space="preserve">Ωστόσο, η σύσταση αυτή θα έχει ως αποτέλεσμα να μειωθεί το τρέχον επίπεδο ελέγχου για τα εν λόγω παρασκευάσματα, η θέσπιση ορίου περιεκτικότητας τετραϋδροκανναβινόλης για παρασκευάσματα που περιέχουν κυρίως κανναβιδιόλη δεν υποστηρίζεται από επιστημονικά στοιχεία, και η διατύπωση της σύστασης δεν αποκλείει πιθανές αποκλίνουσες ερμηνείες όσον αφορά τον τρόπο υπολογισμού του εν λόγω ορίου. Η διαφοροποιημένη μεταχείριση της κανναβιδιόλης σε σύγκριση με άλλα κανναβινοειδή δεν δικαιολογείται και δεν συνάδει με την υφιστάμενη διάρθρωση των παραρτημάτων των συμβάσεων. </w:t>
      </w:r>
    </w:p>
    <w:p>
      <w:pPr>
        <w:pStyle w:val="ManualConsidrant"/>
        <w:rPr>
          <w:noProof/>
        </w:rPr>
      </w:pPr>
      <w:r>
        <w:t>(26)</w:t>
      </w:r>
      <w:r>
        <w:tab/>
      </w:r>
      <w:r>
        <w:rPr>
          <w:noProof/>
        </w:rPr>
        <w:t>Συνεπώς, τα κράτη μέλη θα πρέπει να λάβουν θέση υπέρ του να μην τεθεί σε ψηφοφορία η σύσταση και να ζητηθεί περαιτέρω αξιολόγηση από τον ΠΟΥ.</w:t>
      </w:r>
    </w:p>
    <w:p>
      <w:pPr>
        <w:pStyle w:val="ManualConsidrant"/>
        <w:rPr>
          <w:noProof/>
        </w:rPr>
      </w:pPr>
      <w:r>
        <w:t>(27)</w:t>
      </w:r>
      <w:r>
        <w:tab/>
      </w:r>
      <w:r>
        <w:rPr>
          <w:noProof/>
        </w:rPr>
        <w:t>Σύμφωνα με την αξιολόγηση της επιτροπής εμπειρογνωμόνων του ΠΟΥ, τα φάρμακα που περιέχουν Δ-9-τετραϋδροκανναβινόλη δεν συνδέονται με προβλήματα κατάχρησης και εξάρτησης και δεν εκτρέπονται για μη ιατρική χρήση. Επιπλέον, ο ΠΟΥ αναγνώρισε ότι τα εν λόγω παρασκευάσματα είναι απίθανο να αποτελέσουν αντικείμενο κατάχρησης και ότι δεν υπάρχουν στοιχεία που να αποδεικνύουν την ύπαρξη πραγματικής κατάχρησης ή βλαπτικών αποτελεσμάτων σε βαθμό που να δικαιολογεί το τρέχον επίπεδο ελέγχου του παραρτήματος I της σύμβασης για τα ναρκωτικά ή το επίπεδο ελέγχου του παραρτήματος ΙΙ της σύμβασης για τις ψυχοτρόπους ουσίες. Ως εκ τούτου, ο ΠΟΥ συνέστησε να προστεθούν στο παράρτημα III της σύμβασης για τα ναρκωτικά «</w:t>
      </w:r>
      <w:r>
        <w:rPr>
          <w:b/>
          <w:noProof/>
        </w:rPr>
        <w:t>τα παρασκευάσματα που παράγονται είτε δια χημικής σύνθεσης είτε ως παρασκεύασμα κάνναβης</w:t>
      </w:r>
      <w:r>
        <w:rPr>
          <w:noProof/>
        </w:rPr>
        <w:t xml:space="preserve">, τα οποία αναμειγνύονται φαρμακευτικά με ένα ή περισσότερα άλλα συστατικά και κατά τρόπο που η Δ-9-τετραϋδροκανναβινόλη δεν μπορεί να ανακτηθεί με άμεσα διαθέσιμα μέσα ή σε ποσότητα που αποτελεί κίνδυνο για τη δημόσια υγεία». </w:t>
      </w:r>
    </w:p>
    <w:p>
      <w:pPr>
        <w:pStyle w:val="ManualConsidrant"/>
        <w:rPr>
          <w:noProof/>
        </w:rPr>
      </w:pPr>
      <w:r>
        <w:t>(28)</w:t>
      </w:r>
      <w:r>
        <w:tab/>
      </w:r>
      <w:r>
        <w:rPr>
          <w:noProof/>
        </w:rPr>
        <w:t>Ωστόσο, η σύσταση αυτή μπορεί να συνεπάγεται πρόσθετο κανονιστικό φόρτο για τα κράτη μέλη. Επιπλέον, η διατύπωση της σύστασης περί «φαρμακευτικών» παρασκευασμάτων δεν βασίζεται σε ορισμένο όρο της σύμβασης για τα ναρκωτικά και μπορεί να μην είναι συμβατή με την ορολογία της ΕΕ, όπως προβλέπεται στην οδηγία 2001/83 του Ευρωπαϊκού Κοινοβουλίου και του Συμβουλίου, της 6ης Νοεμβρίου 2001, περί κοινοτικού κώδικος για τα φάρμακα που προορίζονται για ανθρώπινη χρήση</w:t>
      </w:r>
      <w:r>
        <w:rPr>
          <w:rStyle w:val="FootnoteReference"/>
          <w:noProof/>
        </w:rPr>
        <w:footnoteReference w:id="19"/>
      </w:r>
      <w:r>
        <w:rPr>
          <w:noProof/>
        </w:rPr>
        <w:t xml:space="preserve">. </w:t>
      </w:r>
    </w:p>
    <w:p>
      <w:pPr>
        <w:pStyle w:val="ManualConsidrant"/>
        <w:rPr>
          <w:noProof/>
        </w:rPr>
      </w:pPr>
      <w:r>
        <w:t>(29)</w:t>
      </w:r>
      <w:r>
        <w:tab/>
      </w:r>
      <w:r>
        <w:rPr>
          <w:noProof/>
        </w:rPr>
        <w:t>Συνεπώς, τα κράτη μέλη θα πρέπει να λάβουν θέση κατά της ψήφισης της σύστασης να προστεθούν στο παράρτημα III της σύμβασης για τα ναρκωτικά «τα παρασκευάσματα που παράγονται είτε δια χημικής σύνθεσης είτε ως παρασκεύασμα κάνναβης, τα οποία αναμειγνύονται φαρμακευτικά με ένα ή περισσότερα άλλα συστατικά και κατά τρόπο που η Δ-9-τετραϋδροκανναβινόλη (δροναβινόλη) δεν μπορεί να ανακτηθεί με άμεσα διαθέσιμα μέσα ή σε ποσότητα που αποτελεί κίνδυνο για τη δημόσια υγεία». Εναλλακτικά, θα πρέπει να μην τεθεί σε ψηφοφορία η εν λόγω σύσταση και να ζητηθεί περαιτέρω αξιολόγηση από τον ΠΟΥ.</w:t>
      </w:r>
    </w:p>
    <w:p>
      <w:pPr>
        <w:pStyle w:val="ManualConsidrant"/>
        <w:rPr>
          <w:noProof/>
        </w:rPr>
      </w:pPr>
      <w:r>
        <w:t>(30)</w:t>
      </w:r>
      <w:r>
        <w:tab/>
      </w:r>
      <w:r>
        <w:rPr>
          <w:noProof/>
        </w:rPr>
        <w:t xml:space="preserve">Ενδείκνυται να καθοριστεί η θέση που πρέπει να ληφθεί εξ ονόματος της Ένωσης στο πλαίσιο της Επιτροπής για τα Ναρκωτικά, δεδομένου ότι οι αποφάσεις που αφορούν </w:t>
      </w:r>
      <w:r>
        <w:rPr>
          <w:noProof/>
        </w:rPr>
        <w:lastRenderedPageBreak/>
        <w:t>τις διαφορετικές αποφάσεις καταχώρισης στα παραρτήματα για την κάνναβη και τις σχετικές προς αυτήν ουσίες θα μπορούν να επηρεάσουν με καθοριστικό τρόπο το περιεχόμενο της νομοθεσίας της Ένωσης, ιδίως δε την απόφαση-πλαίσιο 2004/757/ΔΕΥ.</w:t>
      </w:r>
    </w:p>
    <w:p>
      <w:pPr>
        <w:pStyle w:val="ManualConsidrant"/>
        <w:rPr>
          <w:noProof/>
        </w:rPr>
      </w:pPr>
      <w:r>
        <w:t>(31)</w:t>
      </w:r>
      <w:r>
        <w:tab/>
      </w:r>
      <w:r>
        <w:rPr>
          <w:noProof/>
        </w:rPr>
        <w:t>Η θέση της Ένωσης πρέπει να εκφραστεί από τα κράτη μέλη που συμμετέχουν στην Επιτροπή για τα Ναρκωτικά, τα οποία ενεργούν από κοινού.</w:t>
      </w:r>
    </w:p>
    <w:p>
      <w:pPr>
        <w:pStyle w:val="ManualConsidrant"/>
        <w:rPr>
          <w:noProof/>
        </w:rPr>
      </w:pPr>
      <w:r>
        <w:t>(32)</w:t>
      </w:r>
      <w:r>
        <w:tab/>
      </w:r>
      <w:r>
        <w:rPr>
          <w:noProof/>
        </w:rPr>
        <w:t xml:space="preserve">Η Δανία δεσμεύεται από την απόφαση-πλαίσιο 2004/757/ΔΕΥ ως είχε έως τις 21 Νοεμβρίου 2018 και, ως εκ τούτου, συμμετέχει στην έκδοση και στην εφαρμογή της παρούσας απόφασης. </w:t>
      </w:r>
    </w:p>
    <w:p>
      <w:pPr>
        <w:pStyle w:val="ManualConsidrant"/>
        <w:rPr>
          <w:noProof/>
        </w:rPr>
      </w:pPr>
      <w:r>
        <w:t>(33)</w:t>
      </w:r>
      <w:r>
        <w:tab/>
      </w:r>
      <w:r>
        <w:rPr>
          <w:noProof/>
        </w:rPr>
        <w:t>Η Ιρλανδία δεσμεύεται από την απόφαση-πλαίσιο 2004/757/ΔΕΥ και, ως εκ τούτου, συμμετέχει στην έκδοση και στην εφαρμογή της παρούσας απόφασης.</w:t>
      </w:r>
    </w:p>
    <w:p>
      <w:pPr>
        <w:pStyle w:val="ManualConsidrant"/>
        <w:rPr>
          <w:noProof/>
        </w:rPr>
      </w:pPr>
      <w:r>
        <w:t>(34)</w:t>
      </w:r>
      <w:r>
        <w:tab/>
      </w:r>
      <w:r>
        <w:rPr>
          <w:noProof/>
        </w:rPr>
        <w:t>Το Ηνωμένο Βασίλειο δεν δεσμεύεται από την απόφαση-πλαίσιο 2004/757/ΔΕΥ και, ως εκ τούτου, δεν συμμετέχει στην έκδοση της παρούσας απόφασης και δεν δεσμεύεται από αυτήν ούτε υπόκειται στην εφαρμογή της,</w:t>
      </w:r>
    </w:p>
    <w:p>
      <w:pPr>
        <w:pStyle w:val="Formuledadoption"/>
        <w:rPr>
          <w:noProof/>
        </w:rPr>
      </w:pPr>
      <w:r>
        <w:rPr>
          <w:noProof/>
        </w:rPr>
        <w:t>ΕΞΕΔΩΣΕ ΤΗΝ ΠΑΡΟΥΣΑ ΑΠΟΦΑΣΗ:</w:t>
      </w:r>
    </w:p>
    <w:p>
      <w:pPr>
        <w:pStyle w:val="Titrearticle"/>
        <w:rPr>
          <w:noProof/>
        </w:rPr>
      </w:pPr>
      <w:r>
        <w:rPr>
          <w:noProof/>
        </w:rPr>
        <w:t>Άρθρο 1</w:t>
      </w:r>
    </w:p>
    <w:p>
      <w:pPr>
        <w:rPr>
          <w:bCs/>
          <w:noProof/>
          <w:szCs w:val="24"/>
        </w:rPr>
      </w:pPr>
      <w:r>
        <w:rPr>
          <w:noProof/>
        </w:rPr>
        <w:t>Η θέση που πρέπει να ληφθεί εξ ονόματος της Ένωσης κατά την εξηκοστή τρίτη σύνοδο της Επιτροπής για τα Ναρκωτικά, που θα διεξαχθεί από τις 2 έως τις 6 Μαρτίου 2020, όταν το όργανο αυτό κληθεί να λάβει αποφάσεις σχετικά με την προσθήκη ουσιών στα παραρτήματα της ενιαίας σύμβασης των Ηνωμένων Εθνών για τα ναρκωτικά του 1961, όπως τροποποιήθηκε από το πρωτόκολλο του 1972, και της σύμβασης των Ηνωμένων Εθνών για τις ψυχοτρόπους ουσίες του 1971, ορίζεται στο παράρτημα της παρούσας απόφασης.</w:t>
      </w:r>
    </w:p>
    <w:p>
      <w:pPr>
        <w:pStyle w:val="Titrearticle"/>
        <w:rPr>
          <w:noProof/>
        </w:rPr>
      </w:pPr>
      <w:r>
        <w:rPr>
          <w:noProof/>
        </w:rPr>
        <w:t>Άρθρο 2</w:t>
      </w:r>
    </w:p>
    <w:p>
      <w:pPr>
        <w:rPr>
          <w:bCs/>
          <w:noProof/>
          <w:szCs w:val="24"/>
        </w:rPr>
      </w:pPr>
      <w:r>
        <w:rPr>
          <w:noProof/>
        </w:rPr>
        <w:t>Η θέση που αναφέρεται στο άρθρο 1 εκφράζεται από τα κράτη μέλη που συμμετέχουν στην Επιτροπή Ναρκωτικών, τα οποία ενεργούν από κοινού.</w:t>
      </w:r>
    </w:p>
    <w:p>
      <w:pPr>
        <w:pStyle w:val="Titrearticle"/>
        <w:keepNext w:val="0"/>
        <w:rPr>
          <w:noProof/>
        </w:rPr>
      </w:pPr>
      <w:r>
        <w:rPr>
          <w:noProof/>
        </w:rPr>
        <w:t xml:space="preserve">Άρθρο 3 </w:t>
      </w:r>
    </w:p>
    <w:p>
      <w:pPr>
        <w:rPr>
          <w:noProof/>
        </w:rPr>
      </w:pPr>
      <w:r>
        <w:rPr>
          <w:noProof/>
        </w:rPr>
        <w:t>Η παρούσα απόφαση απευθύνεται στα κράτη μέλη σύμφωνα με τις Συνθήκες.</w:t>
      </w:r>
    </w:p>
    <w:p>
      <w:pPr>
        <w:rPr>
          <w:noProof/>
        </w:rPr>
      </w:pP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Ο/Η Πρόεδρος</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Ηνωμένα Έθνη, σειρά Συνθηκών, τόμος 978, αριθ. 14152.</w:t>
      </w:r>
    </w:p>
  </w:footnote>
  <w:footnote w:id="2">
    <w:p>
      <w:pPr>
        <w:pStyle w:val="FootnoteText"/>
      </w:pPr>
      <w:r>
        <w:rPr>
          <w:rStyle w:val="FootnoteReference"/>
        </w:rPr>
        <w:footnoteRef/>
      </w:r>
      <w:r>
        <w:tab/>
        <w:t>Ηνωμένα Έθνη, σειρά Συνθηκών, τόμος 1019, αριθ. 14956.</w:t>
      </w:r>
    </w:p>
  </w:footnote>
  <w:footnote w:id="3">
    <w:p>
      <w:pPr>
        <w:pStyle w:val="FootnoteText"/>
      </w:pPr>
      <w:r>
        <w:rPr>
          <w:rStyle w:val="FootnoteReference"/>
        </w:rPr>
        <w:footnoteRef/>
      </w:r>
      <w:r>
        <w:tab/>
        <w:t>Από 1ης Ιανουαρίου 2020, μέλη της CND με δικαίωμα ψήφου θα είναι τα ακόλουθα 13 κράτη μέλη: Αυστρία, Βέλγιο, Γαλλία, Γερμανία, Ηνωμένο Βασίλειο, Ισπανία, Ιταλία, Κάτω Χώρες, Κροατία, Ουγγαρία, Πολωνία, Σουηδία και Τσεχική Δημοκρατία.</w:t>
      </w:r>
    </w:p>
  </w:footnote>
  <w:footnote w:id="4">
    <w:p>
      <w:pPr>
        <w:pStyle w:val="FootnoteText"/>
        <w:rPr>
          <w:lang w:val="en-US"/>
        </w:rPr>
      </w:pPr>
      <w:r>
        <w:rPr>
          <w:rStyle w:val="FootnoteReference"/>
        </w:rPr>
        <w:footnoteRef/>
      </w:r>
      <w:r>
        <w:rPr>
          <w:lang w:val="en-US"/>
        </w:rPr>
        <w:tab/>
        <w:t>https://www.who.int/medicines/access/controlled- substances/UNSG_letter_ECDD41_recommendations_cannabis_24Jan19.pdf?ua=1</w:t>
      </w:r>
    </w:p>
  </w:footnote>
  <w:footnote w:id="5">
    <w:p>
      <w:pPr>
        <w:pStyle w:val="FootnoteText"/>
      </w:pPr>
      <w:r>
        <w:rPr>
          <w:rStyle w:val="FootnoteReference"/>
        </w:rPr>
        <w:footnoteRef/>
      </w:r>
      <w:r>
        <w:tab/>
        <w:t xml:space="preserve">ΕΕ L 335 της 11.11.2004, σ. 8, όπως τροποποιήθηκε από την οδηγία (ΕΕ) 2017/2103 του Ευρωπαϊκού Κοινοβουλίου και του Συμβουλίου, της 15ης Νοεμβρίου 2017, για την τροποποίηση της απόφασης-πλαισίου 2004/757/ΔΕΥ του Συμβουλίου, με σκοπό να περιληφθούν στον ορισμό των ναρκωτικών νέες ψυχοδραστικές ουσίες, και για την κατάργηση της απόφασης 2005/387/ΔΕΥ του Συμβουλίου, ΕΕ L 305 της 21.11.2017, σ. 12. </w:t>
      </w:r>
    </w:p>
  </w:footnote>
  <w:footnote w:id="6">
    <w:p>
      <w:pPr>
        <w:pStyle w:val="FootnoteText"/>
      </w:pPr>
      <w:r>
        <w:rPr>
          <w:rStyle w:val="FootnoteReference"/>
        </w:rPr>
        <w:footnoteRef/>
      </w:r>
      <w:r>
        <w:tab/>
        <w:t xml:space="preserve">Βλ. τη συλλογή όλων των ερωτήσεων και απαντήσεων έως τις 26 Νοεμβρίου στη διεύθυνση </w:t>
      </w:r>
      <w:hyperlink r:id="rId1" w:history="1">
        <w:r>
          <w:rPr>
            <w:rStyle w:val="Hyperlink"/>
          </w:rPr>
          <w:t>https://www.unodc.org/documents/commissions/CND/Scheduling_Resource_Material/Cannabis/Consultations_with_WHO_Questions_and_Answers_26_November_2019.pdf</w:t>
        </w:r>
      </w:hyperlink>
    </w:p>
  </w:footnote>
  <w:footnote w:id="7">
    <w:p>
      <w:pPr>
        <w:pStyle w:val="FootnoteText"/>
      </w:pPr>
      <w:r>
        <w:rPr>
          <w:rStyle w:val="FootnoteReference"/>
        </w:rPr>
        <w:footnoteRef/>
      </w:r>
      <w:r>
        <w:rPr>
          <w:lang w:val="en-US"/>
        </w:rPr>
        <w:tab/>
        <w:t xml:space="preserve">COM(2017) 72 final, COM(2018) 31 final, COM(2018) 862 final. </w:t>
      </w:r>
      <w:r>
        <w:t>Σημειωτέον ότι η Επιτροπή υποβάλλει παράλληλα χωριστή πρόταση σχετικά με την καταχώριση νέων ψυχοδραστικών ουσιών.</w:t>
      </w:r>
    </w:p>
  </w:footnote>
  <w:footnote w:id="8">
    <w:p>
      <w:pPr>
        <w:pStyle w:val="FootnoteText"/>
      </w:pPr>
      <w:r>
        <w:rPr>
          <w:rStyle w:val="FootnoteReference"/>
        </w:rPr>
        <w:footnoteRef/>
      </w:r>
      <w:r>
        <w:tab/>
        <w:t>Εγκρίθηκαν από το Συμβούλιο στις 7 Μαρτίου 2017, στις 27 Φεβρουαρίου 2018 και στις 5 Μαρτίου 2019 αντίστοιχα.</w:t>
      </w:r>
    </w:p>
  </w:footnote>
  <w:footnote w:id="9">
    <w:p>
      <w:pPr>
        <w:pStyle w:val="FootnoteText"/>
      </w:pPr>
      <w:r>
        <w:rPr>
          <w:rStyle w:val="FootnoteReference"/>
        </w:rPr>
        <w:footnoteRef/>
      </w:r>
      <w:r>
        <w:tab/>
        <w:t xml:space="preserve">Απόφαση του Δικαστηρίου της 7ης Οκτωβρίου 2014, Γερμανία κατά Συμβουλίου, C-399/12, ECLI:EU:C:2014:2258, σκέψη 64. </w:t>
      </w:r>
    </w:p>
  </w:footnote>
  <w:footnote w:id="10">
    <w:p>
      <w:pPr>
        <w:pStyle w:val="FootnoteText"/>
      </w:pPr>
      <w:r>
        <w:rPr>
          <w:rStyle w:val="FootnoteReference"/>
        </w:rPr>
        <w:footnoteRef/>
      </w:r>
      <w:r>
        <w:tab/>
        <w:t xml:space="preserve">Απόφαση του Δικαστηρίου, της 7ης Οκτωβρίου 2014, Γερμανία κατά Συμβουλίου, C-399/12, ECLI:EU:C:2014:2258, σκέψεις 61 έως 64. </w:t>
      </w:r>
    </w:p>
  </w:footnote>
  <w:footnote w:id="11">
    <w:p>
      <w:pPr>
        <w:pStyle w:val="FootnoteText"/>
      </w:pPr>
      <w:r>
        <w:rPr>
          <w:rStyle w:val="FootnoteReference"/>
        </w:rPr>
        <w:footnoteRef/>
      </w:r>
      <w:r>
        <w:tab/>
        <w:t>Άρθρο 3 παράγραφος 7 της σύμβασης για τα ναρκωτικά, άρθρο 2 παράγραφος 7 της σύμβασης για τις ψυχοτρόπους ουσίες.</w:t>
      </w:r>
    </w:p>
  </w:footnote>
  <w:footnote w:id="12">
    <w:p>
      <w:pPr>
        <w:pStyle w:val="FootnoteText"/>
      </w:pPr>
      <w:r>
        <w:rPr>
          <w:rStyle w:val="FootnoteReference"/>
        </w:rPr>
        <w:footnoteRef/>
      </w:r>
      <w:r>
        <w:tab/>
        <w:t>Βλ. σημείο 29 του καταλόγου πράξεων της Ένωσης που εκδόθηκαν πριν την έναρξη ισχύος της Συνθήκης της Λισαβόνας στον τομέα της αστυνομικής συνεργασίας και της δικαστικής συνεργασίας σε ποινικές υποθέσεις οι οποίες παύουν να εφαρμόζονται στο Ηνωμένο Βασίλειο από την 1η Δεκεμβρίου 2014 σύμφωνα με τη δεύτερη πρόταση του άρθρου 10 παράγρ. 4 του Πρωτοκόλλου (αριθ. 36) σχετικά με τις μεταβατικές διατάξεις (ΕΕ C 430 της 1.12.2014, σ. 17).</w:t>
      </w:r>
    </w:p>
  </w:footnote>
  <w:footnote w:id="13">
    <w:p>
      <w:pPr>
        <w:pStyle w:val="FootnoteText"/>
      </w:pPr>
      <w:r>
        <w:rPr>
          <w:rStyle w:val="FootnoteReference"/>
        </w:rPr>
        <w:footnoteRef/>
      </w:r>
      <w:r>
        <w:tab/>
        <w:t>Η παρούσα πρόταση αφορά τον καθορισμό της θέσης που πρέπει να ληφθεί εξ ονόματος της Ένωσης σε συνεδρίαση που θα πραγματοποιηθεί μετά την αποχώρηση του Ηνωμένου Βασιλείου από την Ένωση, εκτός εάν το Ηνωμένο Βασίλειο ζητήσει τέταρτη παράταση της προθεσμίας που προβλέπεται δυνάμει του άρθρου 50 της Συνθήκης και το Ευρωπαϊκό Συμβούλιο (άρθρο 50) συμφωνήσει ομόφωνα. Κατά τον χρόνο ωστόσο που η Επιτροπή εκδίδει την πρότασή της, το Ηνωμένο Βασίλειο είναι κράτος μέλος. Ως εκ τούτου, επί παραδείγματι, οι αναφορές σε ορισμένα «κράτη μέλη» που είναι μέλη της Επιτροπής για τα Ναρκωτικά κ.λπ. περιλαμβάνουν και το Ηνωμένο Βασίλειο.</w:t>
      </w:r>
    </w:p>
  </w:footnote>
  <w:footnote w:id="14">
    <w:p>
      <w:pPr>
        <w:pStyle w:val="FootnoteText"/>
      </w:pPr>
      <w:r>
        <w:rPr>
          <w:rStyle w:val="FootnoteReference"/>
        </w:rPr>
        <w:footnoteRef/>
      </w:r>
      <w:r>
        <w:tab/>
        <w:t>Ηνωμένα Έθνη, σειρά Συνθηκών, τόμος 978, αριθ. 14152.</w:t>
      </w:r>
    </w:p>
  </w:footnote>
  <w:footnote w:id="15">
    <w:p>
      <w:pPr>
        <w:pStyle w:val="FootnoteText"/>
      </w:pPr>
      <w:r>
        <w:rPr>
          <w:rStyle w:val="FootnoteReference"/>
        </w:rPr>
        <w:footnoteRef/>
      </w:r>
      <w:r>
        <w:tab/>
        <w:t>Ηνωμένα Έθνη, σειρά Συνθηκών, τόμος 1019, αριθ. 14956.</w:t>
      </w:r>
    </w:p>
  </w:footnote>
  <w:footnote w:id="16">
    <w:p>
      <w:pPr>
        <w:pStyle w:val="FootnoteText"/>
      </w:pPr>
      <w:r>
        <w:rPr>
          <w:rStyle w:val="FootnoteReference"/>
        </w:rPr>
        <w:footnoteRef/>
      </w:r>
      <w:r>
        <w:tab/>
        <w:t>Απόφαση-πλαίσιο 2004/757/ΔΕΥ του Συμβουλίου, της 25ης Οκτωβρίου 2004, για τη θέσπιση ελάχιστων διατάξεων σχετικά με τα στοιχεία της αντικειμενικής υπόστασης των εγκλημάτων και τις ποινές που ισχύουν στον τομέα της παράνομης διακίνησης ναρκωτικών (ΕΕ L 335 της 11.11.2004, σ. 8).</w:t>
      </w:r>
    </w:p>
  </w:footnote>
  <w:footnote w:id="17">
    <w:p>
      <w:pPr>
        <w:pStyle w:val="FootnoteText"/>
      </w:pPr>
      <w:r>
        <w:rPr>
          <w:rStyle w:val="FootnoteReference"/>
        </w:rPr>
        <w:footnoteRef/>
      </w:r>
      <w:r>
        <w:tab/>
        <w:t xml:space="preserve">Από 1ης Ιανουαρίου 2020, μέλη της CND με δικαίωμα ψήφου θα είναι τα ακόλουθα 13 κράτη μέλη: Αυστρία, Βέλγιο, Γαλλία, Γερμανία, Ηνωμένο Βασίλειο, Ισπανία, Ιταλία, Κάτω Χώρες, Κροατία, Ουγγαρία, Πολωνία, Σουηδία και Τσεχική Δημοκρατία. </w:t>
      </w:r>
    </w:p>
  </w:footnote>
  <w:footnote w:id="18">
    <w:p>
      <w:pPr>
        <w:pStyle w:val="FootnoteText"/>
      </w:pPr>
      <w:r>
        <w:rPr>
          <w:rStyle w:val="FootnoteReference"/>
        </w:rPr>
        <w:footnoteRef/>
      </w:r>
      <w:r>
        <w:tab/>
      </w:r>
      <w:hyperlink r:id="rId2" w:history="1">
        <w:r>
          <w:rPr>
            <w:rStyle w:val="Hyperlink"/>
          </w:rPr>
          <w:t>https://www.who.int/medicines/access/controlled-substances/UNSG_letter_ECDD41_recommendations_cannabis_24Jan19.pdf?ua=1</w:t>
        </w:r>
      </w:hyperlink>
      <w:r>
        <w:t xml:space="preserve"> </w:t>
      </w:r>
    </w:p>
  </w:footnote>
  <w:footnote w:id="19">
    <w:p>
      <w:pPr>
        <w:pStyle w:val="FootnoteText"/>
      </w:pPr>
      <w:r>
        <w:rPr>
          <w:rStyle w:val="FootnoteReference"/>
        </w:rPr>
        <w:footnoteRef/>
      </w:r>
      <w:r>
        <w:tab/>
        <w:t>ΕΕ L 311 της 28.11.2001, σ. 67-128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F3A1F9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07FED5B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75864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F707DE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16432F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7B4F73C"/>
    <w:lvl w:ilvl="0">
      <w:start w:val="1"/>
      <w:numFmt w:val="decimal"/>
      <w:pStyle w:val="ListNumber"/>
      <w:lvlText w:val="%1."/>
      <w:lvlJc w:val="left"/>
      <w:pPr>
        <w:tabs>
          <w:tab w:val="num" w:pos="360"/>
        </w:tabs>
        <w:ind w:left="360" w:hanging="360"/>
      </w:pPr>
    </w:lvl>
  </w:abstractNum>
  <w:abstractNum w:abstractNumId="7">
    <w:nsid w:val="FFFFFF89"/>
    <w:multiLevelType w:val="singleLevel"/>
    <w:tmpl w:val="1B5AB56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7"/>
  </w:num>
  <w:num w:numId="6">
    <w:abstractNumId w:val="5"/>
  </w:num>
  <w:num w:numId="7">
    <w:abstractNumId w:val="6"/>
  </w:num>
  <w:num w:numId="8">
    <w:abstractNumId w:val="2"/>
  </w:num>
  <w:num w:numId="9">
    <w:abstractNumId w:val="0"/>
  </w:num>
  <w:num w:numId="10">
    <w:abstractNumId w:val="18"/>
    <w:lvlOverride w:ilvl="0">
      <w:startOverride w:val="1"/>
    </w:lvlOverride>
  </w:num>
  <w:num w:numId="11">
    <w:abstractNumId w:val="21"/>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12-18 11:55:0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E4942DB-E12F-4457-80DC-D745B9C971A7"/>
    <w:docVar w:name="LW_COVERPAGE_TYPE" w:val="1"/>
    <w:docVar w:name="LW_CROSSREFERENCE" w:val="&lt;UNUSED&gt;"/>
    <w:docVar w:name="LW_DocType" w:val="COM"/>
    <w:docVar w:name="LW_EMISSION" w:val="12.12.2019"/>
    <w:docVar w:name="LW_EMISSION_ISODATE" w:val="2019-12-12"/>
    <w:docVar w:name="LW_EMISSION_LOCATION" w:val="BRX"/>
    <w:docVar w:name="LW_EMISSION_PREFIX" w:val="Βρυξέλλες,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274"/>
    <w:docVar w:name="LW_REF.II.NEW.CP_YEAR" w:val="2019"/>
    <w:docVar w:name="LW_REF.INST.NEW" w:val="COM"/>
    <w:docVar w:name="LW_REF.INST.NEW_ADOPTED" w:val="final"/>
    <w:docVar w:name="LW_REF.INST.NEW_TEXT" w:val="(2019) 6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928?\u961?\u972?\u964?\u945?\u963?\u951?"/>
    <w:docVar w:name="LW_SUPERTITRE" w:val="&lt;UNUSED&gt;"/>
    <w:docVar w:name="LW_TITRE.OBJ.CP" w:val="\u947?\u953?\u945? \u964?\u951? \u952?\u941?\u963?\u951? \u960?\u959?\u965? \u960?\u961?\u941?\u960?\u949?\u953? \u957?\u945? \u955?\u951?\u966?\u952?\u949?\u943?, \u949?\u958? \u959?\u957?\u972?\u956?\u945?\u964?\u959?\u962? \u964?\u951?\u962? \u917?\u965?\u961?\u969?\u960?\u945?\u970?\u954?\u942?\u962? \u904?\u957?\u969?\u963?\u951?\u962?, \u954?\u945?\u964?\u940? \u964?\u951?\u957? \u949?\u958?\u951?\u954?\u959?\u963?\u964?\u942? \u964?\u961?\u943?\u964?\u951? \u963?\u973?\u957?\u959?\u948?\u959? \u964?\u951?\u962? \u917?\u960?\u953?\u964?\u961?\u959?\u960?\u942?\u962? \u947?\u953?\u945? \u964?\u945? \u925?\u945?\u961?\u954?\u969?\u964?\u953?\u954?\u940? \u972?\u963?\u959?\u957? \u945?\u966?\u959?\u961?\u940? \u964?\u951?\u957? \u954?\u945?\u964?\u945?\u967?\u974?\u961?\u953?\u963?\u951? \u959?\u965?\u963?\u953?\u974?\u957? \u963?\u964?\u945? \u960?\u945?\u961?\u945?\u961?\u964?\u942?\u956?\u945?\u964?\u945? \u964?\u951?\u962? \u949?\u957?\u953?\u945?\u943?\u945?\u962? \u963?\u973?\u956?\u946?\u945?\u963?\u951?\u962? \u947?\u953?\u945? \u964?\u945? \u957?\u945?\u961?\u954?\u969?\u964?\u953?\u954?\u940? \u964?\u959?\u965? 1961, \u972?\u960?\u969?\u962? \u964?\u961?\u959?\u960?\u959?\u960?\u959?\u953?\u942?\u952?\u951?\u954?\u949? \u945?\u960?\u972? \u964?\u959? \u960?\u961?\u969?\u964?\u972?\u954?\u959?\u955?\u955?\u959? \u964?\u959?\u965? 1972, \u954?\u945?\u953? \u964?\u951?\u962? \u963?\u973?\u956?\u946?\u945?\u963?\u951?\u962? \u947?\u953?\u945? \u964?\u953?\u962? \u968?\u965?\u967?\u959?\u964?\u961?\u972?\u960?\u959?\u965?\u962? \u959?\u965?\u963?\u943?\u949?\u962? \u964?\u959?\u965? 1971"/>
    <w:docVar w:name="LW_TYPE.DOC.CP" w:val="\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pPr>
      <w:numPr>
        <w:numId w:val="2"/>
      </w:numPr>
    </w:pPr>
    <w:rPr>
      <w:lang w:eastAsia="en-GB"/>
    </w:rPr>
  </w:style>
  <w:style w:type="paragraph" w:styleId="ListBullet4">
    <w:name w:val="List Bullet 4"/>
    <w:basedOn w:val="Normal"/>
    <w:pPr>
      <w:numPr>
        <w:numId w:val="3"/>
      </w:numPr>
    </w:pPr>
    <w:rPr>
      <w:lang w:eastAsia="en-GB"/>
    </w:rPr>
  </w:style>
  <w:style w:type="character" w:styleId="Emphasis">
    <w:name w:val="Emphasis"/>
    <w:basedOn w:val="DefaultParagraphFont"/>
    <w:uiPriority w:val="20"/>
    <w:qFormat/>
    <w:rPr>
      <w:i/>
      <w:iCs/>
    </w:rPr>
  </w:style>
  <w:style w:type="paragraph" w:styleId="ListBullet3">
    <w:name w:val="List Bullet 3"/>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character" w:styleId="Hyperlink">
    <w:name w:val="Hyperlink"/>
    <w:basedOn w:val="DefaultParagraphFont"/>
    <w:uiPriority w:val="99"/>
    <w:unhideWhenUsed/>
    <w:rPr>
      <w:color w:val="0000FF"/>
      <w:u w:val="single"/>
    </w:rPr>
  </w:style>
  <w:style w:type="paragraph" w:customStyle="1" w:styleId="Normalny1">
    <w:name w:val="Normalny1"/>
    <w:basedOn w:val="Normal"/>
    <w:pPr>
      <w:spacing w:before="100" w:beforeAutospacing="1" w:after="100" w:afterAutospacing="1"/>
      <w:jc w:val="left"/>
    </w:pPr>
    <w:rPr>
      <w:rFonts w:eastAsia="Times New Roman"/>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pPr>
      <w:numPr>
        <w:numId w:val="2"/>
      </w:numPr>
    </w:pPr>
    <w:rPr>
      <w:lang w:eastAsia="en-GB"/>
    </w:rPr>
  </w:style>
  <w:style w:type="paragraph" w:styleId="ListBullet4">
    <w:name w:val="List Bullet 4"/>
    <w:basedOn w:val="Normal"/>
    <w:pPr>
      <w:numPr>
        <w:numId w:val="3"/>
      </w:numPr>
    </w:pPr>
    <w:rPr>
      <w:lang w:eastAsia="en-GB"/>
    </w:rPr>
  </w:style>
  <w:style w:type="character" w:styleId="Emphasis">
    <w:name w:val="Emphasis"/>
    <w:basedOn w:val="DefaultParagraphFont"/>
    <w:uiPriority w:val="20"/>
    <w:qFormat/>
    <w:rPr>
      <w:i/>
      <w:iCs/>
    </w:rPr>
  </w:style>
  <w:style w:type="paragraph" w:styleId="ListBullet3">
    <w:name w:val="List Bullet 3"/>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character" w:styleId="Hyperlink">
    <w:name w:val="Hyperlink"/>
    <w:basedOn w:val="DefaultParagraphFont"/>
    <w:uiPriority w:val="99"/>
    <w:unhideWhenUsed/>
    <w:rPr>
      <w:color w:val="0000FF"/>
      <w:u w:val="single"/>
    </w:rPr>
  </w:style>
  <w:style w:type="paragraph" w:customStyle="1" w:styleId="Normalny1">
    <w:name w:val="Normalny1"/>
    <w:basedOn w:val="Normal"/>
    <w:pPr>
      <w:spacing w:before="100" w:beforeAutospacing="1" w:after="100" w:afterAutospacing="1"/>
      <w:jc w:val="left"/>
    </w:pPr>
    <w:rPr>
      <w:rFonts w:eastAsia="Times New Roman"/>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who.int/medicines/access/controlled-substances/UNSG_letter_ECDD41_recommendations_cannabis_24Jan19.pdf?ua=1" TargetMode="External"/><Relationship Id="rId1" Type="http://schemas.openxmlformats.org/officeDocument/2006/relationships/hyperlink" Target="https://www.unodc.org/documents/commissions/CND/Scheduling_Resource_Material/Cannabis/Consultations_with_WHO_Questions_and_Answers_26_November_201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31EB7BB-F807-4272-8402-A8D2D6DE4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13</Pages>
  <Words>4657</Words>
  <Characters>26085</Characters>
  <Application>Microsoft Office Word</Application>
  <DocSecurity>0</DocSecurity>
  <Lines>449</Lines>
  <Paragraphs>118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2019-11-25T15:33:00Z</cp:lastPrinted>
  <dcterms:created xsi:type="dcterms:W3CDTF">2019-12-17T12:48:00Z</dcterms:created>
  <dcterms:modified xsi:type="dcterms:W3CDTF">2019-12-18T10:55:00Z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