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9A5C8F3-3BFE-4E0A-A959-35E04DCA16BC" style="width:450.35pt;height:393.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rFonts w:eastAsia="Arial Unicode MS"/>
          <w:noProof/>
        </w:rPr>
      </w:pPr>
      <w:r>
        <w:t>1.</w:t>
      </w:r>
      <w:r>
        <w:tab/>
      </w:r>
      <w:r>
        <w:rPr>
          <w:noProof/>
        </w:rPr>
        <w:t>Forslagets genstand</w:t>
      </w:r>
    </w:p>
    <w:p>
      <w:pPr>
        <w:autoSpaceDE w:val="0"/>
        <w:autoSpaceDN w:val="0"/>
        <w:adjustRightInd w:val="0"/>
        <w:spacing w:after="240"/>
        <w:rPr>
          <w:noProof/>
          <w:szCs w:val="24"/>
        </w:rPr>
      </w:pPr>
      <w:r>
        <w:rPr>
          <w:noProof/>
        </w:rPr>
        <w:t>Dette forslag vedrører en afgørelse om fastlæggelse af den holdning, der skal indtages på Unionens vegne på det 63. møde i Narkotikakommissionen for så vidt angår optagelsen af stoffer i bilagene til FN's enkeltkonventionen af 1961 angående narkotiske midler, som ændret ved 1972-protokollen, og FN-konventionen af 1971 om psykotrope stoffer. Det 63. møde i Narkotikakommissionen skal finde sted fra den 2.-6. marts 2020.</w:t>
      </w:r>
    </w:p>
    <w:p>
      <w:pPr>
        <w:pStyle w:val="ManualHeading1"/>
        <w:rPr>
          <w:noProof/>
        </w:rPr>
      </w:pPr>
      <w:r>
        <w:t>2.</w:t>
      </w:r>
      <w:r>
        <w:tab/>
      </w:r>
      <w:r>
        <w:rPr>
          <w:noProof/>
        </w:rPr>
        <w:t>Baggrund for forslaget</w:t>
      </w:r>
    </w:p>
    <w:p>
      <w:pPr>
        <w:pStyle w:val="ManualHeading2"/>
        <w:rPr>
          <w:noProof/>
          <w:u w:color="000000"/>
          <w:bdr w:val="nil"/>
        </w:rPr>
      </w:pPr>
      <w:r>
        <w:rPr>
          <w:noProof/>
          <w:u w:color="000000"/>
          <w:bdr w:val="nil"/>
        </w:rPr>
        <w:t xml:space="preserve">2.1. </w:t>
      </w:r>
      <w:r>
        <w:rPr>
          <w:noProof/>
          <w:u w:color="000000"/>
          <w:bdr w:val="nil"/>
        </w:rPr>
        <w:tab/>
        <w:t>FN's enkeltkonvention af 1961 angående narkotiske midler, som ændret ved protokollen af 1972, og FN's konvention af 1971 om psykotrope stoffer</w:t>
      </w:r>
    </w:p>
    <w:p>
      <w:pPr>
        <w:autoSpaceDE w:val="0"/>
        <w:autoSpaceDN w:val="0"/>
        <w:adjustRightInd w:val="0"/>
        <w:spacing w:after="240"/>
        <w:rPr>
          <w:noProof/>
          <w:szCs w:val="24"/>
        </w:rPr>
      </w:pPr>
      <w:r>
        <w:rPr>
          <w:noProof/>
        </w:rPr>
        <w:t>De Forenede Nationers (FN's) enkeltkonvention af 1961 angående narkotiske midler, som ændret ved protokollen af 1972 ("konventionen angående narkotiske midler")</w:t>
      </w:r>
      <w:r>
        <w:rPr>
          <w:rStyle w:val="FootnoteReference"/>
          <w:noProof/>
        </w:rPr>
        <w:footnoteReference w:id="1"/>
      </w:r>
      <w:r>
        <w:rPr>
          <w:noProof/>
        </w:rPr>
        <w:t>, har til formål at bekæmpe narkotikamisbrug gennem en koordineret international indsats. Der er to former for indgriben og kontrol, der anvendes sammen. For det første begrænsning af besiddelsen, brugen, handlen med samt distribution, import, eksport, fremstilling og produktion af narkotiske midler udelukkende til medicinske og videnskabelige formål. For det andet bekæmpelse af ulovlig narkotikahandel gennem internationalt samarbejde for at forhindre og bekæmpe narkotikahandlere.</w:t>
      </w:r>
    </w:p>
    <w:p>
      <w:pPr>
        <w:autoSpaceDE w:val="0"/>
        <w:autoSpaceDN w:val="0"/>
        <w:adjustRightInd w:val="0"/>
        <w:spacing w:after="240"/>
        <w:rPr>
          <w:noProof/>
          <w:szCs w:val="24"/>
        </w:rPr>
      </w:pPr>
      <w:r>
        <w:rPr>
          <w:noProof/>
        </w:rPr>
        <w:t>FN-konvention af 1971 om psykotrope stoffer ("konventionen om psykotrope stoffer")</w:t>
      </w:r>
      <w:r>
        <w:rPr>
          <w:rStyle w:val="FootnoteReference"/>
          <w:noProof/>
        </w:rPr>
        <w:footnoteReference w:id="2"/>
      </w:r>
      <w:r>
        <w:rPr>
          <w:noProof/>
        </w:rPr>
        <w:t xml:space="preserve"> fastlægger en international kontrolordning for psykotrope stoffer. Den var en reaktion på diversificeringen og udvidelsen af spektret af misbrugsstoffer og indførte kontrol med en række syntetiske stoffer i overensstemmelse med deres misbrugspotentiale på den ene side og deres terapeutiske værdi på den anden.</w:t>
      </w:r>
    </w:p>
    <w:p>
      <w:pPr>
        <w:autoSpaceDE w:val="0"/>
        <w:autoSpaceDN w:val="0"/>
        <w:adjustRightInd w:val="0"/>
        <w:spacing w:after="240"/>
        <w:rPr>
          <w:noProof/>
          <w:szCs w:val="24"/>
        </w:rPr>
      </w:pPr>
      <w:r>
        <w:rPr>
          <w:noProof/>
        </w:rPr>
        <w:t xml:space="preserve">Alle EU-medlemsstater, men ikke Unionen, er part i konventionerne. </w:t>
      </w:r>
    </w:p>
    <w:p>
      <w:pPr>
        <w:pStyle w:val="ManualHeading2"/>
        <w:rPr>
          <w:noProof/>
        </w:rPr>
      </w:pPr>
      <w:r>
        <w:rPr>
          <w:noProof/>
        </w:rPr>
        <w:t>2.2.</w:t>
      </w:r>
      <w:r>
        <w:rPr>
          <w:noProof/>
        </w:rPr>
        <w:tab/>
        <w:t xml:space="preserve">Narkotikakommissionen </w:t>
      </w:r>
    </w:p>
    <w:p>
      <w:pPr>
        <w:autoSpaceDE w:val="0"/>
        <w:autoSpaceDN w:val="0"/>
        <w:adjustRightInd w:val="0"/>
        <w:spacing w:after="240"/>
        <w:rPr>
          <w:noProof/>
          <w:szCs w:val="24"/>
        </w:rPr>
      </w:pPr>
      <w:r>
        <w:rPr>
          <w:noProof/>
        </w:rPr>
        <w:t>Narkotikakommissionen (CND) er en kommission under FN's Økonomiske og Sociale Råd (Ecosoc), og dens opgaver og beføjelser er bl.a. fastlagt i de to konventioner. Den er sammensat af 53 FN-medlemsstater, som vælges af Ecosoc. I marts 2020 vil 13 medlemsstater være medlem af CND med ret til at stemme</w:t>
      </w:r>
      <w:r>
        <w:rPr>
          <w:rStyle w:val="FootnoteReference"/>
          <w:noProof/>
        </w:rPr>
        <w:footnoteReference w:id="3"/>
      </w:r>
      <w:r>
        <w:rPr>
          <w:noProof/>
        </w:rPr>
        <w:t xml:space="preserve">. Unionen har observatørstatus i CND. </w:t>
      </w:r>
    </w:p>
    <w:p>
      <w:pPr>
        <w:pStyle w:val="ManualHeading2"/>
        <w:rPr>
          <w:noProof/>
        </w:rPr>
      </w:pPr>
      <w:r>
        <w:rPr>
          <w:noProof/>
        </w:rPr>
        <w:t>2.3.</w:t>
      </w:r>
      <w:r>
        <w:rPr>
          <w:noProof/>
        </w:rPr>
        <w:tab/>
        <w:t>Den retsakt, der skal vedtages af Narkotikakommissionen</w:t>
      </w:r>
    </w:p>
    <w:p>
      <w:pPr>
        <w:autoSpaceDE w:val="0"/>
        <w:autoSpaceDN w:val="0"/>
        <w:adjustRightInd w:val="0"/>
        <w:spacing w:after="240"/>
        <w:rPr>
          <w:noProof/>
          <w:szCs w:val="24"/>
        </w:rPr>
      </w:pPr>
      <w:r>
        <w:rPr>
          <w:noProof/>
        </w:rPr>
        <w:t xml:space="preserve">CND ændrer regelmæssigt listen over stoffer, der er knyttet til konventionerne som bilag, på grundlag af anbefalinger fra Verdenssundhedsorganisationen (WHO), som rådgives af sit Ekspertudvalg vedrørende Medicinafhængighed (ECDD). </w:t>
      </w:r>
    </w:p>
    <w:p>
      <w:pPr>
        <w:autoSpaceDE w:val="0"/>
        <w:autoSpaceDN w:val="0"/>
        <w:adjustRightInd w:val="0"/>
        <w:spacing w:after="240"/>
        <w:rPr>
          <w:noProof/>
          <w:szCs w:val="24"/>
        </w:rPr>
      </w:pPr>
      <w:r>
        <w:rPr>
          <w:noProof/>
        </w:rPr>
        <w:lastRenderedPageBreak/>
        <w:t>Den 24. januar 2019 forelagde WHO seks anbefalinger for FN's generalsekretær</w:t>
      </w:r>
      <w:r>
        <w:rPr>
          <w:rStyle w:val="FootnoteReference"/>
          <w:noProof/>
        </w:rPr>
        <w:footnoteReference w:id="4"/>
      </w:r>
      <w:r>
        <w:rPr>
          <w:noProof/>
        </w:rPr>
        <w:t xml:space="preserve">, som var udarbejdet på grundlag af den kritiske gennemgang, der blev foretaget på ECDD's 41. møde om cannabis og cannabisrelaterede stoffer. </w:t>
      </w:r>
    </w:p>
    <w:p>
      <w:pPr>
        <w:autoSpaceDE w:val="0"/>
        <w:autoSpaceDN w:val="0"/>
        <w:adjustRightInd w:val="0"/>
        <w:spacing w:after="240"/>
        <w:rPr>
          <w:noProof/>
        </w:rPr>
      </w:pPr>
      <w:r>
        <w:rPr>
          <w:noProof/>
        </w:rPr>
        <w:t xml:space="preserve">CND's dagsorden for den 63. møde, som skal finde sted i Wien fra den 2.-6. marts 2020, vil måske omfatte et punkt om vedtagelsen af afgørelser om optagelse af disse stoffer i bilagene til konventionerne. </w:t>
      </w:r>
    </w:p>
    <w:p>
      <w:pPr>
        <w:pStyle w:val="ManualHeading1"/>
        <w:rPr>
          <w:rFonts w:eastAsia="Arial Unicode MS"/>
          <w:noProof/>
        </w:rPr>
      </w:pPr>
      <w:r>
        <w:t>3.</w:t>
      </w:r>
      <w:r>
        <w:tab/>
      </w:r>
      <w:r>
        <w:rPr>
          <w:noProof/>
        </w:rPr>
        <w:t>Den holdning, der skal indtages på Unionens vegne</w:t>
      </w:r>
    </w:p>
    <w:p>
      <w:pPr>
        <w:autoSpaceDE w:val="0"/>
        <w:autoSpaceDN w:val="0"/>
        <w:adjustRightInd w:val="0"/>
        <w:spacing w:after="240"/>
        <w:rPr>
          <w:noProof/>
          <w:szCs w:val="24"/>
        </w:rPr>
      </w:pPr>
      <w:r>
        <w:rPr>
          <w:noProof/>
        </w:rPr>
        <w:t>Ændringer af bilagene til konventionerne har direkte virkninger for EU-rettens anvendelsesområde for så vidt angår kontrol med narkotika for alle medlemsstater. I artikel 1, stk. 1, i Rådets rammeafgørelse 2004/757/RIA af 25. oktober 2004 om fastsættelse af mindsteregler for gerningsindholdet i strafbare handlinger i forbindelse med ulovlig narkotikahandel og straffene herfor</w:t>
      </w:r>
      <w:r>
        <w:rPr>
          <w:rStyle w:val="FootnoteReference"/>
          <w:noProof/>
        </w:rPr>
        <w:footnoteReference w:id="5"/>
      </w:r>
      <w:r>
        <w:rPr>
          <w:noProof/>
        </w:rPr>
        <w:t xml:space="preserve"> ("rammeafgørelsen") fastslås det, at "narkotika" i forbindelse med rammeafgørelsen er et stof, der er omfattet af konventionen angående narkotiske midler eller konventionen om psykotrope stoffer, og et af de stoffer, der er opført på listen i bilaget til rammeafgørelsen. Rammeafgørelsen finder således anvendelse på stoffer, der er opført i bilagene til konventionen angående narkotiske midler og konventionen om psykotrope stoffer. Enhver ændring af bilagene, der er knyttet til konventionerne, berører derfor fælles EU-regler direkte og ændrer deres anvendelsesområde i overensstemmelse med artikel 3, stk. 2, i traktaten om Den Europæiske Unions funktionsmåde (TEUF). Dette gælder, uanset om det pågældende stof allerede er underlagt kontrol i hele Unionen.</w:t>
      </w:r>
    </w:p>
    <w:p>
      <w:pPr>
        <w:autoSpaceDE w:val="0"/>
        <w:autoSpaceDN w:val="0"/>
        <w:adjustRightInd w:val="0"/>
        <w:rPr>
          <w:noProof/>
        </w:rPr>
      </w:pPr>
      <w:r>
        <w:rPr>
          <w:noProof/>
        </w:rPr>
        <w:t>Cannabis og cannabisrelaterede stoffer, som var genstand for kritisk gennemgang på ECDD's 41. møde og for de seks WHO-anbefalinger fra den 24. januar 2019, er i øjeblikket på internationalt niveau underlagt kontrol i medfør af konventionen angående narkotiske midler eller konventionen om psykotrope stoffer:</w:t>
      </w:r>
    </w:p>
    <w:p>
      <w:pPr>
        <w:pStyle w:val="Tiret0"/>
        <w:numPr>
          <w:ilvl w:val="0"/>
          <w:numId w:val="10"/>
        </w:numPr>
        <w:rPr>
          <w:noProof/>
        </w:rPr>
      </w:pPr>
      <w:r>
        <w:rPr>
          <w:b/>
          <w:noProof/>
        </w:rPr>
        <w:t>"Cannabis og cannabisharspiks"</w:t>
      </w:r>
      <w:r>
        <w:rPr>
          <w:noProof/>
        </w:rPr>
        <w:t xml:space="preserve"> er opført i bilag I til konventionen angående narkotiske midler. "</w:t>
      </w:r>
      <w:r>
        <w:rPr>
          <w:i/>
          <w:noProof/>
        </w:rPr>
        <w:t>Cannabis og cannabisharpiks</w:t>
      </w:r>
      <w:r>
        <w:rPr>
          <w:noProof/>
        </w:rPr>
        <w:t>" er desuden opført i bilag IV til konventionen angående narkotiske midler, som indeholder stoffer, der anses for særlig farlige</w:t>
      </w:r>
    </w:p>
    <w:p>
      <w:pPr>
        <w:pStyle w:val="Tiret0"/>
        <w:rPr>
          <w:b/>
          <w:noProof/>
        </w:rPr>
      </w:pPr>
      <w:r>
        <w:rPr>
          <w:b/>
          <w:noProof/>
        </w:rPr>
        <w:t xml:space="preserve">Dronabinol (delta-9-tetrahydrocannabinol) </w:t>
      </w:r>
      <w:r>
        <w:rPr>
          <w:noProof/>
        </w:rPr>
        <w:t>er opført i bilag II til konventionen om psykotrope stoffer</w:t>
      </w:r>
    </w:p>
    <w:p>
      <w:pPr>
        <w:pStyle w:val="Tiret0"/>
        <w:rPr>
          <w:noProof/>
        </w:rPr>
      </w:pPr>
      <w:r>
        <w:rPr>
          <w:b/>
          <w:noProof/>
        </w:rPr>
        <w:t xml:space="preserve">Tetrahydrocannabinol </w:t>
      </w:r>
      <w:r>
        <w:rPr>
          <w:noProof/>
        </w:rPr>
        <w:t xml:space="preserve">(isomerer af delta-9-tetrahydrocannabinol) er opført i bilag I til konvention om psykotrope stoffer </w:t>
      </w:r>
    </w:p>
    <w:p>
      <w:pPr>
        <w:pStyle w:val="Tiret0"/>
        <w:rPr>
          <w:noProof/>
        </w:rPr>
      </w:pPr>
      <w:r>
        <w:rPr>
          <w:b/>
          <w:noProof/>
        </w:rPr>
        <w:t>"Ekstrakter og tinkturer af cannabis"</w:t>
      </w:r>
      <w:r>
        <w:rPr>
          <w:noProof/>
        </w:rPr>
        <w:t xml:space="preserve"> er opført i bilag I til konventionen angående narkotiske midler</w:t>
      </w:r>
    </w:p>
    <w:p>
      <w:pPr>
        <w:pStyle w:val="Tiret0"/>
        <w:rPr>
          <w:noProof/>
        </w:rPr>
      </w:pPr>
      <w:r>
        <w:rPr>
          <w:b/>
          <w:noProof/>
        </w:rPr>
        <w:t xml:space="preserve">"Cannabidiol-præparater" </w:t>
      </w:r>
      <w:r>
        <w:rPr>
          <w:noProof/>
        </w:rPr>
        <w:t>er omfattet af kontrollen under punktet "Ekstrakter og tinkturer af cannabis" i bilag I til konventionen angående narkotiske midler</w:t>
      </w:r>
    </w:p>
    <w:p>
      <w:pPr>
        <w:pStyle w:val="Tiret0"/>
        <w:rPr>
          <w:b/>
          <w:noProof/>
        </w:rPr>
      </w:pPr>
      <w:r>
        <w:rPr>
          <w:b/>
          <w:noProof/>
        </w:rPr>
        <w:t xml:space="preserve">"Farmaceutiske præparater af cannabis og dronabinol" </w:t>
      </w:r>
      <w:r>
        <w:rPr>
          <w:noProof/>
        </w:rPr>
        <w:t xml:space="preserve">er omfattet af kontrollen af cannabisbaserede præparater i bilag I til enkeltkonvention angående narkotiske </w:t>
      </w:r>
      <w:r>
        <w:rPr>
          <w:noProof/>
        </w:rPr>
        <w:lastRenderedPageBreak/>
        <w:t>midler eller af kontrollen af præparater, hvori der anvendes syntetisk delta-9-tetrahydrocannabinol, i bilag II til konventionen om psykotrope stoffer.</w:t>
      </w:r>
    </w:p>
    <w:p>
      <w:pPr>
        <w:rPr>
          <w:noProof/>
          <w:szCs w:val="24"/>
        </w:rPr>
      </w:pPr>
      <w:r>
        <w:rPr>
          <w:noProof/>
        </w:rPr>
        <w:t>Kommissionens forslag til Unionens holdning bygger på de dokumenter, der var tilgængelige på møderne i WHO's Ekspertudvalg vedrørende Medicinafhængighed, og på de svar, der blev afgivet på CND's 4. og 5. mellemliggende møde den 24. juni 2019 og den 23. september 2019 af WHO, Det Internationale Kontroludvalg for Narkotiske Midler (INCB) og FN's Kontor for Narkotikakontrol og Kriminalitetsbekæmpelse (UNODC) inden for deres respektive mandater</w:t>
      </w:r>
      <w:r>
        <w:rPr>
          <w:rStyle w:val="FootnoteReference"/>
          <w:noProof/>
        </w:rPr>
        <w:footnoteReference w:id="6"/>
      </w:r>
      <w:r>
        <w:rPr>
          <w:noProof/>
        </w:rPr>
        <w:t xml:space="preserve">. Der tages også hensyn til udvekslingen med medlemsstaterne i Den Horisontale Narkotikagruppe og til Det Europæiske Overvågningscenter for Narkotika og Narkotikamisbrugs (EMCDDA) arbejde på området. </w:t>
      </w:r>
    </w:p>
    <w:p>
      <w:pPr>
        <w:rPr>
          <w:noProof/>
          <w:szCs w:val="24"/>
        </w:rPr>
      </w:pPr>
      <w:r>
        <w:rPr>
          <w:noProof/>
        </w:rPr>
        <w:t xml:space="preserve">I Kommissionens forslag til Unionens holdning foreslås det kun at støtte nogle af WHO's anbefalinger, som viser, at det videnskabelige kendskab på området nu er større, og at de ikke vil føre til en væsentlig ændring af kontrollen med disse stoffer. </w:t>
      </w:r>
    </w:p>
    <w:p>
      <w:pPr>
        <w:rPr>
          <w:noProof/>
          <w:szCs w:val="24"/>
        </w:rPr>
      </w:pPr>
      <w:r>
        <w:rPr>
          <w:noProof/>
        </w:rPr>
        <w:t xml:space="preserve">Derimod er en række af anbefalingerne kendetegnet ved en mangel på klarhed over de juridiske og praktiske konsekvenser i form af nye kontrolforanstaltninger eller mangel på samme. I Kommissionens forslag til Unionens holdning foreslås det derfor at stemme imod disse anbefalinger. Som en sekundær løsning foreslår Kommissionen, at der ikke stemmes om de pågældende anbefalinger, men at WHO anmodes om at foretage en yderligere vurdering. </w:t>
      </w:r>
    </w:p>
    <w:p>
      <w:pPr>
        <w:autoSpaceDE w:val="0"/>
        <w:autoSpaceDN w:val="0"/>
        <w:adjustRightInd w:val="0"/>
        <w:spacing w:after="240"/>
        <w:rPr>
          <w:noProof/>
          <w:szCs w:val="24"/>
        </w:rPr>
      </w:pPr>
      <w:r>
        <w:rPr>
          <w:noProof/>
        </w:rPr>
        <w:t>Det er nødvendigt, at Rådet fastsætter Unionens holdning til CND's møde, når der skal træffes afgørelse om, hvorvidt stofferne skal opføres i bilagene. På grund af de begrænsninger, der er forbundet med Unionens observatørstatus, bør en sådan holdning udtrykkes af de medlemsstater, som er medlemaf CND i marts 2020, og som handler i fællesskab i Unionens interesse indenfor CND. Unionen er ikke part i disse konventioner, men har enekompetence på området.</w:t>
      </w:r>
    </w:p>
    <w:p>
      <w:pPr>
        <w:autoSpaceDE w:val="0"/>
        <w:autoSpaceDN w:val="0"/>
        <w:adjustRightInd w:val="0"/>
        <w:spacing w:after="240"/>
        <w:rPr>
          <w:noProof/>
          <w:szCs w:val="24"/>
        </w:rPr>
      </w:pPr>
      <w:r>
        <w:rPr>
          <w:noProof/>
        </w:rPr>
        <w:t>Kommissionen foreslår derfor, at de medlemsstater, der i marts 2020 er medlem af CND, på den Europæiske Unions vegne skal udtrykke Unionens holdning på CND's 63. møde for så vidt angår optagelsen af stoffer i bilagene til konventionen angående narkotiske midler og konventionen om psykotrope stoffer. Det er fjerde gang, at Kommissionen fremsætter et sådan forslag til Unionens holdning.</w:t>
      </w:r>
      <w:r>
        <w:rPr>
          <w:rStyle w:val="FootnoteReference"/>
          <w:noProof/>
        </w:rPr>
        <w:footnoteReference w:id="7"/>
      </w:r>
      <w:r>
        <w:rPr>
          <w:noProof/>
        </w:rPr>
        <w:t xml:space="preserve"> Rådet vedtog Unionens holdninger</w:t>
      </w:r>
      <w:r>
        <w:rPr>
          <w:rStyle w:val="FootnoteReference"/>
          <w:noProof/>
        </w:rPr>
        <w:footnoteReference w:id="8"/>
      </w:r>
      <w:r>
        <w:rPr>
          <w:noProof/>
        </w:rPr>
        <w:t xml:space="preserve"> og gav dermed EU mulighed for at tale med én stemme på de foregående CND-møder, for så vidt angår den internationale opførelse i bilagene, idet de medlemsstater, som deltog i CND, stemte for opførelsen i tråd med den vedtagne fælles holdning.</w:t>
      </w:r>
    </w:p>
    <w:p>
      <w:pPr>
        <w:pStyle w:val="ManualHeading1"/>
        <w:rPr>
          <w:noProof/>
        </w:rPr>
      </w:pPr>
      <w:r>
        <w:t>4.</w:t>
      </w:r>
      <w:r>
        <w:tab/>
      </w:r>
      <w:r>
        <w:rPr>
          <w:noProof/>
        </w:rPr>
        <w:t>Retsgrundlag</w:t>
      </w:r>
    </w:p>
    <w:p>
      <w:pPr>
        <w:pStyle w:val="ManualHeading2"/>
        <w:rPr>
          <w:noProof/>
        </w:rPr>
      </w:pPr>
      <w:r>
        <w:t>4.1.</w:t>
      </w:r>
      <w:r>
        <w:tab/>
      </w:r>
      <w:r>
        <w:rPr>
          <w:noProof/>
        </w:rPr>
        <w:t>Proceduremæssigt retsgrundlag</w:t>
      </w:r>
    </w:p>
    <w:p>
      <w:pPr>
        <w:rPr>
          <w:noProof/>
        </w:rPr>
      </w:pPr>
      <w:r>
        <w:rPr>
          <w:noProof/>
        </w:rPr>
        <w:t>I henhold til artikel 218, stk. 9, i traktaten om Den Europæiske Unions funktionsmåde (TEUF) vedtager Rådet afgørelser om "fastlæggelse af, hvilke holdninger der skal indtages på Unionens vegne i et organ nedsat ved en aftale, når dette organ skal vedtage retsakter, der har retsvirkninger, bortset fra retsakter, der supplerer eller ændrer den institutionelle ramme for aftalen".</w:t>
      </w:r>
    </w:p>
    <w:p>
      <w:pPr>
        <w:rPr>
          <w:noProof/>
        </w:rPr>
      </w:pPr>
      <w:r>
        <w:rPr>
          <w:noProof/>
        </w:rPr>
        <w:lastRenderedPageBreak/>
        <w:t>Artikel 218, stk. 9, i TEUF finder anvendelse, uanset om Unionen er medlem af organet eller part i konventionen</w:t>
      </w:r>
      <w:r>
        <w:rPr>
          <w:rStyle w:val="FootnoteReference"/>
          <w:noProof/>
        </w:rPr>
        <w:footnoteReference w:id="9"/>
      </w:r>
      <w:r>
        <w:rPr>
          <w:noProof/>
        </w:rPr>
        <w:t>. Begrebet "retsakter, der har retsvirkninger" omfatter retsakter, der har retsvirkninger i medfør af de folkeretlige regler, der gælder for det pågældende organ. Det omfatter også instrumenter, der ikke har bindende virkning i henhold til folkeretten, men som "vil kunne få afgørende indflydelse på indholdet af de regler, der vedtages af EU-lovgiver"</w:t>
      </w:r>
      <w:r>
        <w:rPr>
          <w:rStyle w:val="FootnoteReference"/>
          <w:noProof/>
        </w:rPr>
        <w:footnoteReference w:id="10"/>
      </w:r>
      <w:r>
        <w:rPr>
          <w:noProof/>
        </w:rPr>
        <w:t>.</w:t>
      </w:r>
    </w:p>
    <w:p>
      <w:pPr>
        <w:rPr>
          <w:noProof/>
        </w:rPr>
      </w:pPr>
      <w:r>
        <w:rPr>
          <w:noProof/>
        </w:rPr>
        <w:t>CND er "et organ nedsat ved en aftale" i henhold til denne artikel, da det er et organ, som er oprettet af Ecosoc — et organ under De Forenede Nationer — og som har fået overdraget særlige opgaver ifølge konventionen angående narkotiske midler og konventionen om psykotrope stoffer.</w:t>
      </w:r>
    </w:p>
    <w:p>
      <w:pPr>
        <w:rPr>
          <w:noProof/>
        </w:rPr>
      </w:pPr>
      <w:r>
        <w:rPr>
          <w:noProof/>
        </w:rPr>
        <w:t>CND's afgørelser vedrørende opførelser i bilag er "retsakter, der har retsvirkninger" i betydningen i artikel 218, stk. 9, i TEUF. Ifølge konventionen angående narkotiske midler og konventionen om psykotrope stoffer bliver afgørelser truffet af CND automatisk bindende, medmindre en part har indgivet afgørelsen til gennemgang hos Ecosoc inden for den gældende frist</w:t>
      </w:r>
      <w:r>
        <w:rPr>
          <w:rStyle w:val="FootnoteReference"/>
          <w:noProof/>
        </w:rPr>
        <w:footnoteReference w:id="11"/>
      </w:r>
      <w:r>
        <w:rPr>
          <w:noProof/>
        </w:rPr>
        <w:t>. Ecosocs afgørelse i sagen er endelig. CND's afgørelser vedrørende bilag har også retsvirkning i EU's retsorden som følge af EU-retten, da de vil kunne få afgørende indflydelse på indholdet af EU-lovgivningen, nemlig Rådets rammeafgørelse 2004/757/RIA. Ændringer af bilagene til konventionerne har direkte virkninger for denne EU-retsakts anvendelsesområde.</w:t>
      </w:r>
    </w:p>
    <w:p>
      <w:pPr>
        <w:rPr>
          <w:noProof/>
        </w:rPr>
      </w:pPr>
      <w:r>
        <w:rPr>
          <w:noProof/>
        </w:rPr>
        <w:t>Den påtænkte retsakt hverken supplerer eller ændrer den institutionelle ramme for aftalen.</w:t>
      </w:r>
    </w:p>
    <w:p>
      <w:pPr>
        <w:rPr>
          <w:noProof/>
        </w:rPr>
      </w:pPr>
      <w:r>
        <w:rPr>
          <w:noProof/>
        </w:rPr>
        <w:t>Det proceduremæssige retsgrundlag for den foreslåede afgørelse er derfor artikel 218, stk. 9, i TEUF.</w:t>
      </w:r>
    </w:p>
    <w:p>
      <w:pPr>
        <w:pStyle w:val="ManualHeading2"/>
        <w:rPr>
          <w:noProof/>
        </w:rPr>
      </w:pPr>
      <w:r>
        <w:t>4.2.</w:t>
      </w:r>
      <w:r>
        <w:tab/>
      </w:r>
      <w:r>
        <w:rPr>
          <w:noProof/>
        </w:rPr>
        <w:t>Materielt retsgrundlag</w:t>
      </w:r>
    </w:p>
    <w:p>
      <w:pPr>
        <w:rPr>
          <w:noProof/>
        </w:rPr>
      </w:pPr>
      <w:r>
        <w:rPr>
          <w:noProof/>
        </w:rPr>
        <w:t xml:space="preserve">Det materielle retsgrundlag for en afgørelse i henhold til artikel 218, stk. 9, i TEUF afhænger hovedsagelig af formålet med og indholdet af den påtænkte retsakt, hvortil der skal indtages en holdning på Unionens vegne. </w:t>
      </w:r>
    </w:p>
    <w:p>
      <w:pPr>
        <w:autoSpaceDE w:val="0"/>
        <w:autoSpaceDN w:val="0"/>
        <w:adjustRightInd w:val="0"/>
        <w:spacing w:after="240"/>
        <w:rPr>
          <w:noProof/>
          <w:szCs w:val="24"/>
        </w:rPr>
      </w:pPr>
      <w:r>
        <w:rPr>
          <w:noProof/>
        </w:rPr>
        <w:t>Den påtænkte retsakts primære formål og indhold vedrører ulovlig narkotikahandel.</w:t>
      </w:r>
    </w:p>
    <w:p>
      <w:pPr>
        <w:autoSpaceDE w:val="0"/>
        <w:autoSpaceDN w:val="0"/>
        <w:adjustRightInd w:val="0"/>
        <w:spacing w:after="240"/>
        <w:rPr>
          <w:noProof/>
          <w:szCs w:val="24"/>
        </w:rPr>
      </w:pPr>
      <w:r>
        <w:rPr>
          <w:noProof/>
        </w:rPr>
        <w:t xml:space="preserve">Det materielle retsgrundlag for den foreslåede afgørelse er derfor artikel 83, stk. 1, i TEUF, som udpeger ulovlig narkotikahandel som en af de strafbare handlinger, der har en grænseoverskridende dimension, og giver Europa-Parlamentet og Rådet beføjelse til at fastsætte minimumsregler for, hvad der skal anses for strafbare handlinger, samt for straffene herfor på området ulovlig narkotikahandel. </w:t>
      </w:r>
    </w:p>
    <w:p>
      <w:pPr>
        <w:pStyle w:val="ManualHeading2"/>
        <w:rPr>
          <w:noProof/>
        </w:rPr>
      </w:pPr>
      <w:r>
        <w:t>4.3.</w:t>
      </w:r>
      <w:r>
        <w:tab/>
      </w:r>
      <w:r>
        <w:rPr>
          <w:noProof/>
        </w:rPr>
        <w:t>Variabel geometri</w:t>
      </w:r>
    </w:p>
    <w:p>
      <w:pPr>
        <w:autoSpaceDE w:val="0"/>
        <w:autoSpaceDN w:val="0"/>
        <w:adjustRightInd w:val="0"/>
        <w:spacing w:after="240"/>
        <w:rPr>
          <w:noProof/>
          <w:szCs w:val="24"/>
        </w:rPr>
      </w:pPr>
      <w:r>
        <w:rPr>
          <w:noProof/>
        </w:rPr>
        <w:t xml:space="preserve">I overensstemmelse med artikel 10, stk. 4, i protokol nr. 36 om overgangsbestemmelser, som er knyttet som bilag til traktaterne, har Det Forenede Kongerige meddelt, at det med hensyn til retsakter på området politisamarbejde og retligt samarbejde i straffesager, som er vedtaget inden Lissabontraktatens ikrafttrædelse, ikke godkender Kommissionens og Domstolens </w:t>
      </w:r>
      <w:r>
        <w:rPr>
          <w:noProof/>
        </w:rPr>
        <w:lastRenderedPageBreak/>
        <w:t>beføjelser. Som følge heraf ophørte Rådets rammeafgørelse 2004/757 RIA med at være gældende for Det Forenede Kongerige den 1. december 2014</w:t>
      </w:r>
      <w:r>
        <w:rPr>
          <w:rStyle w:val="FootnoteReference"/>
          <w:noProof/>
        </w:rPr>
        <w:footnoteReference w:id="12"/>
      </w:r>
      <w:r>
        <w:rPr>
          <w:noProof/>
        </w:rPr>
        <w:t>.</w:t>
      </w:r>
      <w:r>
        <w:rPr>
          <w:noProof/>
          <w:vertAlign w:val="superscript"/>
        </w:rPr>
        <w:t xml:space="preserve"> </w:t>
      </w:r>
    </w:p>
    <w:p>
      <w:pPr>
        <w:autoSpaceDE w:val="0"/>
        <w:autoSpaceDN w:val="0"/>
        <w:adjustRightInd w:val="0"/>
        <w:spacing w:after="240"/>
        <w:rPr>
          <w:noProof/>
          <w:szCs w:val="24"/>
        </w:rPr>
      </w:pPr>
      <w:r>
        <w:rPr>
          <w:noProof/>
        </w:rPr>
        <w:t>Eftersom CND's afgørelser vedrørende bilag ikke påvirker fælles regler for så vidt angår ulovlig narkotikahandel, som Det Forenede Kongerige er bundet af, deltager Det Forenede Kongerige ikke i vedtagelsen af Rådets afgørelse, som fastlægger den holdning, der skal indtages på Unionens vegne, når sådanne afgørelser vedrørende bilag vedtages</w:t>
      </w:r>
      <w:r>
        <w:rPr>
          <w:rStyle w:val="FootnoteReference"/>
          <w:noProof/>
        </w:rPr>
        <w:footnoteReference w:id="13"/>
      </w:r>
      <w:r>
        <w:rPr>
          <w:noProof/>
        </w:rPr>
        <w:t xml:space="preserve">. </w:t>
      </w:r>
    </w:p>
    <w:p>
      <w:pPr>
        <w:autoSpaceDE w:val="0"/>
        <w:autoSpaceDN w:val="0"/>
        <w:adjustRightInd w:val="0"/>
        <w:spacing w:after="240"/>
        <w:rPr>
          <w:noProof/>
          <w:szCs w:val="24"/>
        </w:rPr>
      </w:pPr>
      <w:r>
        <w:rPr>
          <w:noProof/>
        </w:rPr>
        <w:t xml:space="preserve">Danmark er bundet af Rådets rammeafgørelse 2004/757/RIA, som er gældende indtil den 21. november 2018, og hvor det af artikel 1 fremgår, at der ved "narkotika" forstås et stof, der er omfattet af konventionen angående narkotiske midler eller konventionen om psykotrope stoffer. </w:t>
      </w:r>
    </w:p>
    <w:p>
      <w:pPr>
        <w:autoSpaceDE w:val="0"/>
        <w:autoSpaceDN w:val="0"/>
        <w:adjustRightInd w:val="0"/>
        <w:spacing w:after="240"/>
        <w:rPr>
          <w:noProof/>
          <w:szCs w:val="24"/>
        </w:rPr>
      </w:pPr>
      <w:r>
        <w:rPr>
          <w:noProof/>
        </w:rPr>
        <w:t>Eftersom CND's afgørelser vedrørende bilag påvirker fælles regler for ulovlig narkotikahandel, som Danmark er bundet af, deltager Danmark i vedtagelsen af Rådets afgørelse, som fastlægger den holdning, der skal indtages på Unionens vegne, når sådanne afgørelser vedrørende bilag vedtages.</w:t>
      </w:r>
    </w:p>
    <w:p>
      <w:pPr>
        <w:pStyle w:val="ManualHeading2"/>
        <w:rPr>
          <w:noProof/>
        </w:rPr>
      </w:pPr>
      <w:r>
        <w:t>4.4.</w:t>
      </w:r>
      <w:r>
        <w:tab/>
      </w:r>
      <w:r>
        <w:rPr>
          <w:noProof/>
        </w:rPr>
        <w:t>Konklusion</w:t>
      </w:r>
    </w:p>
    <w:p>
      <w:pPr>
        <w:autoSpaceDE w:val="0"/>
        <w:autoSpaceDN w:val="0"/>
        <w:adjustRightInd w:val="0"/>
        <w:spacing w:after="240"/>
        <w:rPr>
          <w:noProof/>
          <w:szCs w:val="24"/>
        </w:rPr>
      </w:pPr>
      <w:r>
        <w:rPr>
          <w:noProof/>
        </w:rPr>
        <w:t>Retsgrundlaget for dette forslag er artikel 83, stk. 1, sammenholdt med artikel 218, stk. 9, i TEUF.</w:t>
      </w:r>
    </w:p>
    <w:p>
      <w:pPr>
        <w:pStyle w:val="ManualHeading1"/>
        <w:rPr>
          <w:noProof/>
        </w:rPr>
      </w:pPr>
      <w:r>
        <w:t>5.</w:t>
      </w:r>
      <w:r>
        <w:tab/>
      </w:r>
      <w:r>
        <w:rPr>
          <w:noProof/>
        </w:rPr>
        <w:t>VIRKNINGER FOR BUDGETTET</w:t>
      </w:r>
    </w:p>
    <w:p>
      <w:pPr>
        <w:autoSpaceDE w:val="0"/>
        <w:autoSpaceDN w:val="0"/>
        <w:adjustRightInd w:val="0"/>
        <w:spacing w:after="240"/>
        <w:rPr>
          <w:noProof/>
          <w:szCs w:val="24"/>
        </w:rPr>
      </w:pPr>
      <w:r>
        <w:rPr>
          <w:noProof/>
        </w:rPr>
        <w:t>Ingen virkninger for budgettet.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2019/0274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Den Europæiske Unions vegne på det 63. møde i Narkotikakommissionen for så vidt angår optagelsen af stoffer i bilagene til enkeltkonventionen af 1961 angående narkotiske midler, som ændret ved protokollen af 1972, og konventionen af 1971 om psykotrope stoffer</w:t>
      </w:r>
      <w:r>
        <w:rPr>
          <w:noProof/>
        </w:rPr>
        <w:br/>
      </w:r>
    </w:p>
    <w:p>
      <w:pPr>
        <w:pStyle w:val="Institutionquiagit"/>
        <w:rPr>
          <w:b/>
          <w:noProof/>
        </w:rPr>
      </w:pPr>
      <w:r>
        <w:rPr>
          <w:b/>
          <w:noProof/>
        </w:rPr>
        <w:t>RÅDET FOR DEN EUROPÆISKE UNION HAR —</w:t>
      </w:r>
    </w:p>
    <w:p>
      <w:pPr>
        <w:rPr>
          <w:noProof/>
        </w:rPr>
      </w:pPr>
      <w:r>
        <w:rPr>
          <w:noProof/>
        </w:rPr>
        <w:t>under henvisning til traktaten om Den Europæiske Unions funktionsmåde, særlig artikel 83, stk. 1,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De Forenede Nationers (FN's) enkeltkonvention af 1961 angående narkotiske midler, som ændret ved protokollen af 1972</w:t>
      </w:r>
      <w:r>
        <w:rPr>
          <w:rStyle w:val="FootnoteReference"/>
          <w:noProof/>
        </w:rPr>
        <w:footnoteReference w:id="14"/>
      </w:r>
      <w:r>
        <w:rPr>
          <w:noProof/>
        </w:rPr>
        <w:t xml:space="preserve"> ("konventionen angående narkotiske midler"), trådte i kraft den 8. august 1975. </w:t>
      </w:r>
    </w:p>
    <w:p>
      <w:pPr>
        <w:pStyle w:val="ManualConsidrant"/>
        <w:rPr>
          <w:noProof/>
        </w:rPr>
      </w:pPr>
      <w:r>
        <w:t>(2)</w:t>
      </w:r>
      <w:r>
        <w:tab/>
      </w:r>
      <w:r>
        <w:rPr>
          <w:noProof/>
        </w:rPr>
        <w:t>I henhold til artikel 3 i konventionen angående narkotiske midler kan Narkotikakommissionen beslutte at tilføje stoffer til konventionens bilag. Kommissionen kan kun ændre bilagene i overensstemmelse med anbefalingerne fra Verdenssundhedsorganisationen (WHO), men den kan også beslutte ikke at foretage de ændringer, der anbefales af WHO.</w:t>
      </w:r>
    </w:p>
    <w:p>
      <w:pPr>
        <w:pStyle w:val="ManualConsidrant"/>
        <w:rPr>
          <w:noProof/>
        </w:rPr>
      </w:pPr>
      <w:r>
        <w:t>(3)</w:t>
      </w:r>
      <w:r>
        <w:tab/>
      </w:r>
      <w:r>
        <w:rPr>
          <w:noProof/>
        </w:rPr>
        <w:t>FN-konventionen af 1971 om psykotrope stoffer ("konventionen om psykotrope stoffer")</w:t>
      </w:r>
      <w:r>
        <w:rPr>
          <w:rStyle w:val="FootnoteReference"/>
          <w:noProof/>
        </w:rPr>
        <w:footnoteReference w:id="15"/>
      </w:r>
      <w:r>
        <w:rPr>
          <w:noProof/>
        </w:rPr>
        <w:t xml:space="preserve"> trådte i kraft den 16. august 1976.</w:t>
      </w:r>
    </w:p>
    <w:p>
      <w:pPr>
        <w:pStyle w:val="ManualConsidrant"/>
        <w:rPr>
          <w:noProof/>
        </w:rPr>
      </w:pPr>
      <w:r>
        <w:t>(4)</w:t>
      </w:r>
      <w:r>
        <w:tab/>
      </w:r>
      <w:r>
        <w:rPr>
          <w:noProof/>
        </w:rPr>
        <w:t xml:space="preserve">I henhold til artikel 2 i konventionen om psykotrope stoffer kan Narkotikakommissionen på grundlag af anbefalinger fra WHO beslutte at tilføje stoffer til konventionens bilag eller at lade dem udgå. Kommissionen har brede skønsbeføjelser til at tage hensyn til økonomiske, sociale, retlige, administrative og andre faktorer, men må ikke handle vilkårligt. </w:t>
      </w:r>
    </w:p>
    <w:p>
      <w:pPr>
        <w:pStyle w:val="ManualConsidrant"/>
        <w:rPr>
          <w:noProof/>
        </w:rPr>
      </w:pPr>
      <w:r>
        <w:t>(5)</w:t>
      </w:r>
      <w:r>
        <w:tab/>
      </w:r>
      <w:r>
        <w:rPr>
          <w:noProof/>
        </w:rPr>
        <w:t>Ændringer af bilagene til begge konventioner har direkte virkninger for EU-rettens anvendelsesområde for så vidt angår kontrol med narkotika. Rådets rammeafgørelse 2004/757/RIA</w:t>
      </w:r>
      <w:r>
        <w:rPr>
          <w:rStyle w:val="FootnoteReference"/>
          <w:noProof/>
        </w:rPr>
        <w:footnoteReference w:id="16"/>
      </w:r>
      <w:r>
        <w:rPr>
          <w:noProof/>
        </w:rPr>
        <w:t xml:space="preserve"> finder anvendelse på de stoffer, der er anført i disse konventioners bilag. Enhver ændring af bilagene til konventionerne har således direkte virkning for fælles EU-regler og ændrer deres anvendelsesområde i overensstemmelse med artikel 3, stk. 2, i traktaten om Den Europæiske Unions funktionsmåde (TEUF).</w:t>
      </w:r>
    </w:p>
    <w:p>
      <w:pPr>
        <w:pStyle w:val="ManualConsidrant"/>
        <w:rPr>
          <w:noProof/>
        </w:rPr>
      </w:pPr>
      <w:r>
        <w:lastRenderedPageBreak/>
        <w:t>(6)</w:t>
      </w:r>
      <w:r>
        <w:tab/>
      </w:r>
      <w:r>
        <w:rPr>
          <w:noProof/>
        </w:rPr>
        <w:t xml:space="preserve">Narkotikakommissionen skal på sit 63. møde den 2.-6. marts 2020 i Wien vedtage afgørelser om cannabis og cannabis og cannabisrelaterede stoffer, som allerede er underlagt kontrol i henhold til konventionen angående narkotiske midler eller konventionen om psykotrope stoffer. </w:t>
      </w:r>
    </w:p>
    <w:p>
      <w:pPr>
        <w:pStyle w:val="ManualConsidrant"/>
        <w:rPr>
          <w:noProof/>
        </w:rPr>
      </w:pPr>
      <w:r>
        <w:t>(7)</w:t>
      </w:r>
      <w:r>
        <w:tab/>
      </w:r>
      <w:r>
        <w:rPr>
          <w:noProof/>
        </w:rPr>
        <w:t>Unionen er ikke part i de pågældende FN-konventioner. Den har observatørstatus i Narkotikakommissionen, hvor 13 medlemsstater vil være medlem med ret til at stemme i marts 2020</w:t>
      </w:r>
      <w:r>
        <w:rPr>
          <w:rStyle w:val="FootnoteReference"/>
          <w:noProof/>
        </w:rPr>
        <w:footnoteReference w:id="17"/>
      </w:r>
      <w:r>
        <w:rPr>
          <w:noProof/>
        </w:rPr>
        <w:t xml:space="preserve">. Det er derfor nødvendigt, at Rådet bemyndiger medlemsstaterne til at udtrykke Unionens holdning om opførelsen af stoffer i bilagene til konventionen angående narkotiske midler og konventionen om psykotrope stoffer, da afgørelserne om den internationale opførelse af stoffer i konventionernes bilag hører under Unionens enekompetence. </w:t>
      </w:r>
    </w:p>
    <w:p>
      <w:pPr>
        <w:pStyle w:val="ManualConsidrant"/>
        <w:rPr>
          <w:noProof/>
        </w:rPr>
      </w:pPr>
      <w:r>
        <w:t>(8)</w:t>
      </w:r>
      <w:r>
        <w:tab/>
      </w:r>
      <w:r>
        <w:rPr>
          <w:noProof/>
        </w:rPr>
        <w:t>WHO fremsatte den 24. januar 2019</w:t>
      </w:r>
      <w:r>
        <w:rPr>
          <w:rStyle w:val="FootnoteReference"/>
          <w:noProof/>
        </w:rPr>
        <w:footnoteReference w:id="18"/>
      </w:r>
      <w:r>
        <w:rPr>
          <w:noProof/>
        </w:rPr>
        <w:t xml:space="preserve"> seks anbefalinger som følge af den kritiske gennemgang, der var blevet foretaget på det 41. møde i  WHO's Ekspertudvalg vedrørende Medicinafhængighed ("WHO-ekspertudvalget"), vedrørende cannabis og cannabisrelaterede stoffer. Anbefalingerne har ikke til formål at tillade rekreativ brug af cannabis eller cannabisrelaterede stoffer.</w:t>
      </w:r>
    </w:p>
    <w:p>
      <w:pPr>
        <w:pStyle w:val="ManualConsidrant"/>
        <w:rPr>
          <w:noProof/>
        </w:rPr>
      </w:pPr>
      <w:r>
        <w:t>(9)</w:t>
      </w:r>
      <w:r>
        <w:tab/>
      </w:r>
      <w:r>
        <w:rPr>
          <w:noProof/>
        </w:rPr>
        <w:t xml:space="preserve">Ifølge WHO-ekspertudvalget er </w:t>
      </w:r>
      <w:r>
        <w:rPr>
          <w:b/>
          <w:noProof/>
        </w:rPr>
        <w:t>cannabis og cannabisharpiks</w:t>
      </w:r>
      <w:r>
        <w:rPr>
          <w:noProof/>
        </w:rPr>
        <w:t xml:space="preserve"> ikke særlig tilbøjelige til at give skadelige virkninger i stil med virkningerne af de andre stoffer i bilag IV til konventionen angående narkotiske midler. Derudover har cannabispræparater vist sig at have terapeutiske muligheder for at kunne behandle smerter og andre helbredsproblemer, såsom epilepsi og spasticitet i forbindelse med multipel sklerose. </w:t>
      </w:r>
    </w:p>
    <w:p>
      <w:pPr>
        <w:pStyle w:val="ManualConsidrant"/>
        <w:rPr>
          <w:noProof/>
        </w:rPr>
      </w:pPr>
      <w:r>
        <w:t>(10)</w:t>
      </w:r>
      <w:r>
        <w:tab/>
      </w:r>
      <w:r>
        <w:rPr>
          <w:noProof/>
        </w:rPr>
        <w:t>WHO mener, at cannabis og cannabisharpiks bør opføres i bilagene på et kontrolniveau, der forhindrer den skade, brugen af cannabis forårsager, og som samtidig ikke forhindrer adgangen til, forskningen i og udviklingen af cannabisrelaterede præparater til medicinsk anvendelse. WHO konkluderede derfor, at optagelsen af cannabis og cannabisharpiks i bilag IV ikke er i overensstemmelse med kriterierne for at optage et stof i bilag IV.</w:t>
      </w:r>
    </w:p>
    <w:p>
      <w:pPr>
        <w:pStyle w:val="ManualConsidrant"/>
        <w:rPr>
          <w:noProof/>
        </w:rPr>
      </w:pPr>
      <w:r>
        <w:t>(11)</w:t>
      </w:r>
      <w:r>
        <w:tab/>
      </w:r>
      <w:r>
        <w:rPr>
          <w:noProof/>
        </w:rPr>
        <w:t xml:space="preserve">Anbefalingen medfører ingen ændring i det internationale kontrolniveau for cannabis og cannabisharpiks, da de fortsat vil være omfattet af bilag I til konventionen angående narkotiske midler. Der tages i anbefalingen behørigt hensyn til den videnskabelige udvikling, der er sket på området, siden cannabis og cannabisharpiks første gang blev opført i konventionen angående narkotiske midler. Det vil fremme det generelle kendskab til både cannabis' terapeutiske nytteværdi og eventuelle tilhørende skadelige virkninger at lade cannabis og cannabisharpiks udgå af bilag IV til konventionen angående narkotiske midler.  </w:t>
      </w:r>
    </w:p>
    <w:p>
      <w:pPr>
        <w:pStyle w:val="ManualConsidrant"/>
        <w:rPr>
          <w:noProof/>
        </w:rPr>
      </w:pPr>
      <w:r>
        <w:t>(12)</w:t>
      </w:r>
      <w:r>
        <w:tab/>
      </w:r>
      <w:r>
        <w:rPr>
          <w:noProof/>
        </w:rPr>
        <w:t xml:space="preserve">Medlemsstaterne bør derfor indtage den holdning, at cannabis og cannabisharpiks bør udgå af bilag IV til konventionen angående narkotiske midler. </w:t>
      </w:r>
    </w:p>
    <w:p>
      <w:pPr>
        <w:pStyle w:val="ManualConsidrant"/>
        <w:rPr>
          <w:noProof/>
        </w:rPr>
      </w:pPr>
      <w:r>
        <w:t>(13)</w:t>
      </w:r>
      <w:r>
        <w:tab/>
      </w:r>
      <w:r>
        <w:rPr>
          <w:noProof/>
        </w:rPr>
        <w:t xml:space="preserve">Ifølge WHO-ekspertudvalgets vurdering kan </w:t>
      </w:r>
      <w:r>
        <w:rPr>
          <w:b/>
          <w:noProof/>
        </w:rPr>
        <w:t>delta-9-tetrahydrocannabinol og dets aktive stereoisomer dronabinol</w:t>
      </w:r>
      <w:r>
        <w:rPr>
          <w:noProof/>
        </w:rPr>
        <w:t xml:space="preserve">, især i meget rene former, der er ulovligt fremstillet, have skadelige virkninger og medføre afhængighed og risici for misbrug, som er mindst lige så store som for cannabis, der er opført i bilag I til konventionen angående narkotiske midler. Et stof, der er tilbøjeligt til at medføre et misbrug og skadelige </w:t>
      </w:r>
      <w:r>
        <w:rPr>
          <w:noProof/>
        </w:rPr>
        <w:lastRenderedPageBreak/>
        <w:t xml:space="preserve">virkninger i lighed med et stof, der allerede er opført i et bilag til konventionen angående narkotiske midler, vil normalt blive opført på samme måde som et sådant stof. Da delta-9-tetrahydrocannabinol er tilbøjeligt til at medføre samme misbrug som cannabis og har lignende skadelige virkninger, opfylder det kriterierne for at blive opført i bilag I til konventionen angående narkotiske midler. </w:t>
      </w:r>
    </w:p>
    <w:p>
      <w:pPr>
        <w:pStyle w:val="ManualConsidrant"/>
        <w:rPr>
          <w:noProof/>
        </w:rPr>
      </w:pPr>
      <w:r>
        <w:t>(14)</w:t>
      </w:r>
      <w:r>
        <w:tab/>
      </w:r>
      <w:r>
        <w:rPr>
          <w:noProof/>
        </w:rPr>
        <w:t>WHO nåede endvidere frem til, at det vil fremme gennemførelsen af kontrolforanstaltningerne i konventionerne i medlemsstaterne, hvis delta-9-tetrahydrocannabinol opføres i samme bilag til nævnte konvention som cannabis, dvs. bilag I til konventionen angående narkotiske midler. WHO anbefaler, at delta-9-tetrahydrocannabinol og dets aktive stereoisomer dronabinol opføres i bilag I til konventionen angående narkotiske midler og, hvis anbefalingen vedtages, udgår af bilag II til konventionen om psykotrope stoffer.</w:t>
      </w:r>
    </w:p>
    <w:p>
      <w:pPr>
        <w:pStyle w:val="ManualConsidrant"/>
        <w:rPr>
          <w:noProof/>
        </w:rPr>
      </w:pPr>
      <w:r>
        <w:t>(15)</w:t>
      </w:r>
      <w:r>
        <w:tab/>
      </w:r>
      <w:r>
        <w:rPr>
          <w:noProof/>
        </w:rPr>
        <w:t>Anbefalingen medfører ingen ændring af det internationale kontrolniveau for delta-9-tetrahydrocannabinol og dets aktive stereoisomer dronabinol. Den kan også fremme gennemførelsen af kontrolforanstaltninger i medlemsstaterne.</w:t>
      </w:r>
    </w:p>
    <w:p>
      <w:pPr>
        <w:pStyle w:val="ManualConsidrant"/>
        <w:rPr>
          <w:noProof/>
        </w:rPr>
      </w:pPr>
      <w:r>
        <w:t>(16)</w:t>
      </w:r>
      <w:r>
        <w:tab/>
      </w:r>
      <w:r>
        <w:rPr>
          <w:noProof/>
        </w:rPr>
        <w:t>Medlemsstaterne bør derfor indtage den holdning, at delta-9-tetrahydrocannabinol og dets aktive stereoisomer dronabinol tilføjes til bilag I til konventionen angående narkotiske midler og, hvis anbefalingen vedtages, udgår af bilag II til konventionen om psykotrope stoffer. Alternativt bør anbefalingen ikke sættes til afstemning, og WHO bør anmodes om at foretage en yderligere vurdering.</w:t>
      </w:r>
    </w:p>
    <w:p>
      <w:pPr>
        <w:pStyle w:val="ManualConsidrant"/>
        <w:rPr>
          <w:noProof/>
        </w:rPr>
      </w:pPr>
      <w:r>
        <w:t>(17)</w:t>
      </w:r>
      <w:r>
        <w:tab/>
      </w:r>
      <w:r>
        <w:rPr>
          <w:noProof/>
        </w:rPr>
        <w:t xml:space="preserve">Ifølge WHO-ekspertudvalgets vurdering medfører </w:t>
      </w:r>
      <w:r>
        <w:rPr>
          <w:b/>
          <w:noProof/>
        </w:rPr>
        <w:t>tetrahydrocannabinol (isomerer af delta-9-tetrahydrocannabinol),</w:t>
      </w:r>
      <w:r>
        <w:rPr>
          <w:noProof/>
        </w:rPr>
        <w:t xml:space="preserve"> som er opført i bilag I til konventionen om psykotrope stoffer, ikke risici for misbrug eller skadelige virkninger i lighed med dem, der er forbundet med delta-9-tetrahydrocannabinol, men grundet hver af de seks isomerers kemiske lighed med  delta-9-tetrahydrocannabinol, er det meget vanskeligt at adskille disse seks isomerer fra delta-9-tetrahydrocannabinol ved hjælp af standardmetoderne for kemisk analyse. Endvidere ville det fremme gennemførelsen af den internationale kontrol af delta-9-tetrahydrocannabinol og hjælpe medlemsstaterne med gennemførelsen af kontrolforanstaltningerne på nationalt plan, hvis disse seks isomerer bliver omfattet af samme konvention og opføres i samme bilag som delta-9-tetrahydrocannabinol, dvs. bilag I til konventionen angående narkotiske midler. WHO anbefaler derfor, at tetrahydrocannabinol (isomerer af delta-9-tetrahydrocannabinol) tilføjes til bilag I til konventionen angående narkotiske midler, forudsat at Narkotikakommissionen (CND) vedtager anbefalingen om at tilføje dronabinol og dets stereoisomerer (delta-9-tetrahydrocannabinol) til bilag I til konventionen angående narkotiske midler, og, at det, såfremt anbefalingen vedtages, udgår af bilag I til konventionen om psykotrope stoffer.</w:t>
      </w:r>
    </w:p>
    <w:p>
      <w:pPr>
        <w:pStyle w:val="ManualConsidrant"/>
        <w:rPr>
          <w:noProof/>
        </w:rPr>
      </w:pPr>
      <w:r>
        <w:t>(18)</w:t>
      </w:r>
      <w:r>
        <w:tab/>
      </w:r>
      <w:r>
        <w:rPr>
          <w:noProof/>
        </w:rPr>
        <w:t>Anbefalingen medfører ingen ændring af det internationale kontrolniveau for tetrahydrocannabinol (isomerer af delta-9-tetrahydrocannabinol). Den kan også fremme gennemførelsen af kontrolforanstaltninger i medlemsstaterne.</w:t>
      </w:r>
    </w:p>
    <w:p>
      <w:pPr>
        <w:pStyle w:val="ManualConsidrant"/>
        <w:rPr>
          <w:noProof/>
        </w:rPr>
      </w:pPr>
      <w:r>
        <w:t>(19)</w:t>
      </w:r>
      <w:r>
        <w:tab/>
      </w:r>
      <w:r>
        <w:rPr>
          <w:noProof/>
        </w:rPr>
        <w:t>Medlemsstaterne bør derfor indtage den holdning, at tetrahydrocannabinol (isomerer af delta-9-tetrahydrocannabinol) skal tilføjes til bilag I til konventionen angående narkotiske midler, forudsat at CND vedtager anbefalingen om at tilføje dronabinol og dets stereoisomerer (delta-9-tetrahydrocannabinol) til bilag I til konventionen angående narkotiske midler, og, at det, hvis nævnte anbefaling vedtages, skal udgå af bilag I til konvention om psykotrope stoffer. Alternativt bør anbefalingen ikke sættes til afstemning, og WHO bør anmodes om at foretage en yderligere vurdering.</w:t>
      </w:r>
    </w:p>
    <w:p>
      <w:pPr>
        <w:pStyle w:val="ManualConsidrant"/>
        <w:rPr>
          <w:noProof/>
        </w:rPr>
      </w:pPr>
      <w:r>
        <w:lastRenderedPageBreak/>
        <w:t>(20)</w:t>
      </w:r>
      <w:r>
        <w:tab/>
      </w:r>
      <w:r>
        <w:rPr>
          <w:noProof/>
        </w:rPr>
        <w:t xml:space="preserve">Ifølge WHO-ekspertudvalget skyldes variabiliteten i de psykoaktive egenskaber ved </w:t>
      </w:r>
      <w:r>
        <w:rPr>
          <w:b/>
          <w:noProof/>
        </w:rPr>
        <w:t>ekstrakter og tinkturer af cannabis</w:t>
      </w:r>
      <w:r>
        <w:rPr>
          <w:noProof/>
        </w:rPr>
        <w:t xml:space="preserve">, som anført i konventionen angående narkotiske midler, primært, at der er forskellige koncentrationer af delta-9-tetrahydrocannabinol i disse ekstrakter og tinkturer. Nogle ekstrakter og tinkturer af cannabis uden psykoaktive egenskaber og fortrinsvis med cannabidiol har lovende terapeutiske anvendelser. Det forhold, at forskellige præparater med en variabel koncentration af delta-9-tetrahydrocannabinol er omfattet af kontrollen under samme punkt "Ekstrakter og tinkturer" og er opført i samme bilag, er en udfordring for de ansvarlige myndigheder, som gennemfører kontrolforanstaltninger i de enkelte lande. Endvidere kan definitionen af præparater, der er omfattet af konventionen angående narkotiske midler, omfatte alle produkter, der er "ekstrakter og tinkturer" af cannabis som "præparater" af cannabis og, såfremt udvalgets anbefaling om at flytte dronabinol til bilag I til konventionen angående narkotiske midler følges, som "præparater" af dronabinol og dens stereoisomerer. WHO anbefaler derfor, at ekstrakter og tinkturer udgår af bilag I til konventionen angående narkotiske midler. </w:t>
      </w:r>
    </w:p>
    <w:p>
      <w:pPr>
        <w:pStyle w:val="ManualConsidrant"/>
        <w:rPr>
          <w:noProof/>
        </w:rPr>
      </w:pPr>
      <w:r>
        <w:t>(21)</w:t>
      </w:r>
      <w:r>
        <w:tab/>
      </w:r>
      <w:r>
        <w:rPr>
          <w:noProof/>
        </w:rPr>
        <w:t>Uanset at WHO har givet yderligere forklaringer efter at have fremsat sin anbefaling, er der dog ingen åbenlyse hensyn til folkesundheden, der berettiger dette, og det er vanskeligt fuldt ud at vurdere konsekvenserne, bl.a. hvad angår spørgsmålet om, hvorvidt det internationale kontrolsystem er dækkende.</w:t>
      </w:r>
    </w:p>
    <w:p>
      <w:pPr>
        <w:pStyle w:val="ManualConsidrant"/>
        <w:rPr>
          <w:noProof/>
        </w:rPr>
      </w:pPr>
      <w:r>
        <w:t>(22)</w:t>
      </w:r>
      <w:r>
        <w:tab/>
      </w:r>
      <w:r>
        <w:rPr>
          <w:noProof/>
        </w:rPr>
        <w:t>Medlemsstaterne bør derfor indtage den holdning, at anbefalingen ikke sættes til afstemning, og WHO bør anmodes om at foretage en yderligere vurdering.</w:t>
      </w:r>
    </w:p>
    <w:p>
      <w:pPr>
        <w:pStyle w:val="ManualConsidrant"/>
        <w:rPr>
          <w:noProof/>
        </w:rPr>
      </w:pPr>
      <w:r>
        <w:t>(23)</w:t>
      </w:r>
      <w:r>
        <w:tab/>
      </w:r>
      <w:r>
        <w:rPr>
          <w:noProof/>
        </w:rPr>
        <w:t xml:space="preserve">Ifølge WHO-ekspertudvalgets vurdering findes </w:t>
      </w:r>
      <w:r>
        <w:rPr>
          <w:b/>
          <w:noProof/>
        </w:rPr>
        <w:t>cannabidiol</w:t>
      </w:r>
      <w:r>
        <w:rPr>
          <w:noProof/>
        </w:rPr>
        <w:t xml:space="preserve"> i cannabis og cannabisharpiks, men har ingen psykoaktive egenskaber og medfører ingen risiko for misbrug eller afhængighed. Det har ingen betydelige skadelige virkninger. Cannabidiol har desuden vist sig at være effektivt til at dæmpe visse former for behandlingsresistent epilepsi, der indtræffer i barndommen. </w:t>
      </w:r>
    </w:p>
    <w:p>
      <w:pPr>
        <w:pStyle w:val="ManualConsidrant"/>
        <w:rPr>
          <w:noProof/>
        </w:rPr>
      </w:pPr>
      <w:r>
        <w:t>(24)</w:t>
      </w:r>
      <w:r>
        <w:tab/>
      </w:r>
      <w:r>
        <w:rPr>
          <w:noProof/>
        </w:rPr>
        <w:t>WHO anfører, at medicin uden psykoaktive virkninger, som fremstilles som præparater af cannabisplanten, vil indeholde spor af delta-9-tetrahydrocannabinol, og anerkender, at det for nogle medlemsstater kan være vanskeligt at foretage kemiske analyser af delta-9-tetrahydrocannabinol med en nøjagtighed på 0,15 %. WHO anbefaler derfor, at der indsættes en fodnote i bilag I til konventionen angående narkotiske midler med følgende ordlyd: "Præparater, som primært indeholder cannabidiol og ikke mere end 0,2 % delta-9-tetrahydrocannabinol, er ikke underkastet international kontrol."</w:t>
      </w:r>
    </w:p>
    <w:p>
      <w:pPr>
        <w:pStyle w:val="ManualConsidrant"/>
        <w:rPr>
          <w:noProof/>
        </w:rPr>
      </w:pPr>
      <w:r>
        <w:t>(25)</w:t>
      </w:r>
      <w:r>
        <w:tab/>
      </w:r>
      <w:r>
        <w:rPr>
          <w:noProof/>
        </w:rPr>
        <w:t xml:space="preserve">Sagen er imidlertid den, at anbefalingen vil sænke det aktuelle kontrolniveau for disse præparater, at fastsættelsen af en THC-grænse for præparater, der primært indeholder cannabidiol, ikke understøttes af videnskabeligt bevis, og at ordlyden af anbefalingen ikke udelukker, at der kan være forskellige fortolkninger af den måde, en sådan grænse beregnes på. Den særlige måde at behandle cannabidiol på i forhold til andre cannabinoider er ikke berettiget og ikke i overensstemmelse med den måde, bilagene til konventionerne i dag er opbygget på. </w:t>
      </w:r>
    </w:p>
    <w:p>
      <w:pPr>
        <w:pStyle w:val="ManualConsidrant"/>
        <w:rPr>
          <w:noProof/>
        </w:rPr>
      </w:pPr>
      <w:r>
        <w:t>(26)</w:t>
      </w:r>
      <w:r>
        <w:tab/>
      </w:r>
      <w:r>
        <w:rPr>
          <w:noProof/>
        </w:rPr>
        <w:t>Medlemsstaterne bør derfor indtage den holdning, at anbefalingen ikke sættes til afstemning, og WHO bør anmodes om at foretage en yderligere vurdering.</w:t>
      </w:r>
    </w:p>
    <w:p>
      <w:pPr>
        <w:pStyle w:val="ManualConsidrant"/>
        <w:rPr>
          <w:noProof/>
        </w:rPr>
      </w:pPr>
      <w:r>
        <w:t>(27)</w:t>
      </w:r>
      <w:r>
        <w:tab/>
      </w:r>
      <w:r>
        <w:rPr>
          <w:noProof/>
        </w:rPr>
        <w:t xml:space="preserve">Ifølge WHO-ekspertudvalget er medicin, der indeholder delta-9-tetrahydrocannabinol, ikke forbundet med problemer med misbrug og afhængighed, og de omdirigeres ikke til andre formål end medicinsk brug. WHO anerkender endvidere, at sådanne præparater er formuleret på en sådan måde, at det ikke er sandsynligt, at de vil blive </w:t>
      </w:r>
      <w:r>
        <w:rPr>
          <w:noProof/>
        </w:rPr>
        <w:lastRenderedPageBreak/>
        <w:t>misbrugt, og der er ingen tegn på faktisk misbrug eller skadelige virkninger i et omfang, der retfærdiggør det aktuelle kontrolniveau, der er forbundet med bilag I i konventionen angående narkotiske midler eller med bilag II til konventionen om psykotrope stoffer. WHO anbefaler derfor, at "</w:t>
      </w:r>
      <w:r>
        <w:rPr>
          <w:b/>
          <w:noProof/>
        </w:rPr>
        <w:t>præparater fremstillet enten ved kemisk syntese eller som et præparat af cannabis</w:t>
      </w:r>
      <w:r>
        <w:rPr>
          <w:noProof/>
        </w:rPr>
        <w:t xml:space="preserve">, der er sammensat som farmaceutiske præparater med en eller flere ingredienser og på en sådan måde, at delta-9-tetrahydrocannabinol ikke kan genvindes ved hjælp af let tilgængelige midler eller med et udbytte, der vil udgøre en risiko for folkesundheden, tilføjes itilbilag III til konvention angående narkotiske midler. </w:t>
      </w:r>
    </w:p>
    <w:p>
      <w:pPr>
        <w:pStyle w:val="ManualConsidrant"/>
        <w:rPr>
          <w:noProof/>
        </w:rPr>
      </w:pPr>
      <w:r>
        <w:t>(28)</w:t>
      </w:r>
      <w:r>
        <w:tab/>
      </w:r>
      <w:r>
        <w:rPr>
          <w:noProof/>
        </w:rPr>
        <w:t>Anbefalingen kunne dog pålægge medlemsstaterne en ekstra lovgivningsbyrde. Endvidere er anbefalingens ordlyd vedrørende "farmaceutiske" præparater ikke baseret på nogen defineret term i konventionen angående narkotiske midler og stemmer muligvis ikke overens med EU-terminologien i Europa-Parlamentets og Rådets direktiv 2001/83 af 6. november 2001 om oprettelse af en fællesskabskodeks for humanmedicinske lægemidler</w:t>
      </w:r>
      <w:r>
        <w:rPr>
          <w:rStyle w:val="FootnoteReference"/>
          <w:noProof/>
        </w:rPr>
        <w:footnoteReference w:id="19"/>
      </w:r>
      <w:r>
        <w:rPr>
          <w:noProof/>
        </w:rPr>
        <w:t xml:space="preserve">. </w:t>
      </w:r>
    </w:p>
    <w:p>
      <w:pPr>
        <w:pStyle w:val="ManualConsidrant"/>
        <w:rPr>
          <w:noProof/>
        </w:rPr>
      </w:pPr>
      <w:r>
        <w:t>(29)</w:t>
      </w:r>
      <w:r>
        <w:tab/>
      </w:r>
      <w:r>
        <w:rPr>
          <w:noProof/>
        </w:rPr>
        <w:t>Medlemsstaterne bør derfor indtage den holdning at stemme mod anbefalingen om at tilføje "præparater fremstillet enten ved kemisk syntese eller som et præparat af cannabis, der er sammensat som farmaceutiske præparater med en eller flere ingredienser og på en sådan måde, at delta-9-tetrahydrocannabinol (dronabinol) ikke kan genvindes ved hjælp af let tilgængelige midler eller med et udbytte, der vil udgøre en risiko for folkesundheden" til bilag III til konvention angående narkotiske midler. Alternativt bør anbefalingen ikke sættes til afstemning, og WHO bør anmodes om at foretage en yderligere vurdering.</w:t>
      </w:r>
    </w:p>
    <w:p>
      <w:pPr>
        <w:pStyle w:val="ManualConsidrant"/>
        <w:rPr>
          <w:noProof/>
        </w:rPr>
      </w:pPr>
      <w:r>
        <w:t>(30)</w:t>
      </w:r>
      <w:r>
        <w:tab/>
      </w:r>
      <w:r>
        <w:rPr>
          <w:noProof/>
        </w:rPr>
        <w:t>Den holdning, der skal indtages på Unionens vegne i Narkotikakommissionen bør fastlægges, da afgørelserne om at opføre cannabis og cannabisrelaterede stoffer i bilagene vil kunne få afgørende indflydelse på EU-rettens indhold, navnlig rammeafgørelse 2004/757/RIA.</w:t>
      </w:r>
    </w:p>
    <w:p>
      <w:pPr>
        <w:pStyle w:val="ManualConsidrant"/>
        <w:rPr>
          <w:noProof/>
        </w:rPr>
      </w:pPr>
      <w:r>
        <w:t>(31)</w:t>
      </w:r>
      <w:r>
        <w:tab/>
      </w:r>
      <w:r>
        <w:rPr>
          <w:noProof/>
        </w:rPr>
        <w:t>Unionens holdning skal udtrykkes af de medlemsstater, der er medlem af Narkotikakommissionen, og som handler i fællesskab.</w:t>
      </w:r>
    </w:p>
    <w:p>
      <w:pPr>
        <w:pStyle w:val="ManualConsidrant"/>
        <w:rPr>
          <w:noProof/>
        </w:rPr>
      </w:pPr>
      <w:r>
        <w:t>(32)</w:t>
      </w:r>
      <w:r>
        <w:tab/>
      </w:r>
      <w:r>
        <w:rPr>
          <w:noProof/>
        </w:rPr>
        <w:t xml:space="preserve">Danmark er bundet af rammeafgørelse 2004/757/RIA, som var gældende indtil den 21. november 2018, og deltager derfor i vedtagelsen og anvendelsen af nærværende afgørelse. </w:t>
      </w:r>
    </w:p>
    <w:p>
      <w:pPr>
        <w:pStyle w:val="ManualConsidrant"/>
        <w:rPr>
          <w:noProof/>
        </w:rPr>
      </w:pPr>
      <w:r>
        <w:t>(33)</w:t>
      </w:r>
      <w:r>
        <w:tab/>
      </w:r>
      <w:r>
        <w:rPr>
          <w:noProof/>
        </w:rPr>
        <w:t>Irland er bundet af afgørelse 2004/757/RIA og deltager derfor i vedtagelsen og anvendelsen af nærværende afgørelse.</w:t>
      </w:r>
    </w:p>
    <w:p>
      <w:pPr>
        <w:pStyle w:val="ManualConsidrant"/>
        <w:rPr>
          <w:noProof/>
        </w:rPr>
      </w:pPr>
      <w:r>
        <w:t>(34)</w:t>
      </w:r>
      <w:r>
        <w:tab/>
      </w:r>
      <w:r>
        <w:rPr>
          <w:noProof/>
        </w:rPr>
        <w:t>Det Forenede Kongerige er ikke bundet af rammeafgørelse 2004/757/RIA  og deltager derfor ikke i vedtagelsen af nærværende afgørelse og er ikke bundet af den eller underlagt dens anvendelse —</w:t>
      </w:r>
    </w:p>
    <w:p>
      <w:pPr>
        <w:pStyle w:val="Formuledadoption"/>
        <w:rPr>
          <w:noProof/>
        </w:rPr>
      </w:pPr>
      <w:r>
        <w:rPr>
          <w:noProof/>
        </w:rPr>
        <w:t>VEDTAGET DENNE AFGØRELSE:</w:t>
      </w:r>
    </w:p>
    <w:p>
      <w:pPr>
        <w:pStyle w:val="Titrearticle"/>
        <w:rPr>
          <w:noProof/>
        </w:rPr>
      </w:pPr>
      <w:r>
        <w:rPr>
          <w:noProof/>
        </w:rPr>
        <w:t>Artikel 1</w:t>
      </w:r>
    </w:p>
    <w:p>
      <w:pPr>
        <w:rPr>
          <w:bCs/>
          <w:noProof/>
          <w:szCs w:val="24"/>
        </w:rPr>
      </w:pPr>
      <w:r>
        <w:rPr>
          <w:noProof/>
        </w:rPr>
        <w:t xml:space="preserve">Den holdning, der skal indtages på Unionens vegne på Narkotikakommissionens 63. møde den 2.-6. marts 2020, når dette organ skal vedtage afgørelser om tilføjelse af stoffer til bilagene til De Forenede Nationers enkeltkonvention af 1961 om narkotiske midler, som </w:t>
      </w:r>
      <w:r>
        <w:rPr>
          <w:noProof/>
        </w:rPr>
        <w:lastRenderedPageBreak/>
        <w:t>ændret ved protokollen af 1972, og til FN-konventionen af 1971 om psykotrope stoffer, er fastlagt i bilaget til denne afgørelse.</w:t>
      </w:r>
    </w:p>
    <w:p>
      <w:pPr>
        <w:pStyle w:val="Titrearticle"/>
        <w:rPr>
          <w:noProof/>
        </w:rPr>
      </w:pPr>
      <w:r>
        <w:rPr>
          <w:noProof/>
        </w:rPr>
        <w:t>Artikel 2</w:t>
      </w:r>
    </w:p>
    <w:p>
      <w:pPr>
        <w:rPr>
          <w:bCs/>
          <w:noProof/>
          <w:szCs w:val="24"/>
        </w:rPr>
      </w:pPr>
      <w:r>
        <w:rPr>
          <w:noProof/>
        </w:rPr>
        <w:t>Den holdning, der er omhandlet i artikel 1, udtrykkes af de medlemsstater, der er medlem af Narkotikakommissionen, og som handler i fællesskab.</w:t>
      </w:r>
    </w:p>
    <w:p>
      <w:pPr>
        <w:pStyle w:val="Titrearticle"/>
        <w:keepNext w:val="0"/>
        <w:rPr>
          <w:noProof/>
        </w:rPr>
      </w:pPr>
      <w:r>
        <w:rPr>
          <w:noProof/>
        </w:rPr>
        <w:t xml:space="preserve">Artikel 3 </w:t>
      </w:r>
    </w:p>
    <w:p>
      <w:pPr>
        <w:rPr>
          <w:noProof/>
        </w:rPr>
      </w:pPr>
      <w:r>
        <w:rPr>
          <w:noProof/>
        </w:rPr>
        <w:t>Denne afgørelse er rettet til medlemsstaterne i overensstemmelse med traktaterne.</w:t>
      </w:r>
    </w:p>
    <w:p>
      <w:pPr>
        <w:rPr>
          <w:noProof/>
        </w:rPr>
      </w:pP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 Forenede Nationers traktatsamling, bind 978, nr. 14152.</w:t>
      </w:r>
    </w:p>
  </w:footnote>
  <w:footnote w:id="2">
    <w:p>
      <w:pPr>
        <w:pStyle w:val="FootnoteText"/>
      </w:pPr>
      <w:r>
        <w:rPr>
          <w:rStyle w:val="FootnoteReference"/>
        </w:rPr>
        <w:footnoteRef/>
      </w:r>
      <w:r>
        <w:tab/>
        <w:t>De Forenede Nationers traktatsamling, bind 1019, nr. 14956.</w:t>
      </w:r>
    </w:p>
  </w:footnote>
  <w:footnote w:id="3">
    <w:p>
      <w:pPr>
        <w:pStyle w:val="FootnoteText"/>
      </w:pPr>
      <w:r>
        <w:rPr>
          <w:rStyle w:val="FootnoteReference"/>
        </w:rPr>
        <w:footnoteRef/>
      </w:r>
      <w:r>
        <w:tab/>
        <w:t>Fra 1. januar 2020 vil følgende 13 medlemsstater være medlem af CND med ret til at stemme: Belgien, Det Forenede Kongerige, Frankrig, Italien, Kroatien, Nederlandene, Polen, Spanien, Sverige, Tjekkiet, Tyskland, Ungarn og Østrig.</w:t>
      </w:r>
    </w:p>
  </w:footnote>
  <w:footnote w:id="4">
    <w:p>
      <w:pPr>
        <w:pStyle w:val="FootnoteText"/>
      </w:pPr>
      <w:r>
        <w:rPr>
          <w:rStyle w:val="FootnoteReference"/>
        </w:rPr>
        <w:footnoteRef/>
      </w:r>
      <w:r>
        <w:tab/>
        <w:t>https://www.who.int/medicines/access/controlled- substances/UNSG_letter_ECDD41_recommendations_cannabis_24Jan19.pdf?ua=1.</w:t>
      </w:r>
    </w:p>
  </w:footnote>
  <w:footnote w:id="5">
    <w:p>
      <w:pPr>
        <w:pStyle w:val="FootnoteText"/>
      </w:pPr>
      <w:r>
        <w:rPr>
          <w:rStyle w:val="FootnoteReference"/>
        </w:rPr>
        <w:footnoteRef/>
      </w:r>
      <w:r>
        <w:tab/>
        <w:t xml:space="preserve">EUT L 335 af 11.11.2004, s. 8, som ændret ved Europa-Parlamentets og Rådets direktiv (EU) 2017/2103 af 15. november 2017 om ændring af Rådets rammeafgørelse 2004/757/RIA med henblik på at inkludere nye psykoaktive stoffer i definitionen af "narkotika" og om ophævelse af Rådets afgørelse 2005/387/RIA (EUT L 305 af 21.11.2017, s. 12). </w:t>
      </w:r>
    </w:p>
  </w:footnote>
  <w:footnote w:id="6">
    <w:p>
      <w:pPr>
        <w:pStyle w:val="FootnoteText"/>
      </w:pPr>
      <w:r>
        <w:rPr>
          <w:rStyle w:val="FootnoteReference"/>
        </w:rPr>
        <w:footnoteRef/>
      </w:r>
      <w:r>
        <w:tab/>
        <w:t xml:space="preserve">Alle spørgsmål og svar pr. 26. november findes her: </w:t>
      </w:r>
      <w:hyperlink r:id="rId1" w:history="1">
        <w:r>
          <w:rPr>
            <w:rStyle w:val="Hyperlink"/>
          </w:rPr>
          <w:t>https://www.unodc.org/documents/commissions/CND/Scheduling_Resource_Material/Cannabis/Consultations_with_WHO_Questions_and_Answers_26_November_2019.pdf</w:t>
        </w:r>
      </w:hyperlink>
    </w:p>
  </w:footnote>
  <w:footnote w:id="7">
    <w:p>
      <w:pPr>
        <w:pStyle w:val="FootnoteText"/>
      </w:pPr>
      <w:r>
        <w:rPr>
          <w:rStyle w:val="FootnoteReference"/>
        </w:rPr>
        <w:footnoteRef/>
      </w:r>
      <w:r>
        <w:rPr>
          <w:lang w:val="en-US"/>
        </w:rPr>
        <w:tab/>
        <w:t xml:space="preserve">COM(2017) 72 final, COM(2018) 31 final og COM(2018) 862 final. </w:t>
      </w:r>
      <w:r>
        <w:t>Det bemærkes, at Kommissionen sideløbende vil fremlægge et særskilt forslag om opførelsen af nye psykoaktive stoffer.</w:t>
      </w:r>
    </w:p>
  </w:footnote>
  <w:footnote w:id="8">
    <w:p>
      <w:pPr>
        <w:pStyle w:val="FootnoteText"/>
      </w:pPr>
      <w:r>
        <w:rPr>
          <w:rStyle w:val="FootnoteReference"/>
        </w:rPr>
        <w:footnoteRef/>
      </w:r>
      <w:r>
        <w:tab/>
        <w:t>Vedtaget af Rådet henholdsvis den 7. marts 2017, den 27. februar 2018 og den 5. marts 2019.</w:t>
      </w:r>
    </w:p>
  </w:footnote>
  <w:footnote w:id="9">
    <w:p>
      <w:pPr>
        <w:pStyle w:val="FootnoteText"/>
      </w:pPr>
      <w:r>
        <w:rPr>
          <w:rStyle w:val="FootnoteReference"/>
        </w:rPr>
        <w:footnoteRef/>
      </w:r>
      <w:r>
        <w:tab/>
        <w:t xml:space="preserve">Domstolens dom af 7. oktober 2014, Tyskland mod Rådet, sag C-399/12, ECLI:EU:C:2014:2258, præmis 64. </w:t>
      </w:r>
    </w:p>
  </w:footnote>
  <w:footnote w:id="10">
    <w:p>
      <w:pPr>
        <w:pStyle w:val="FootnoteText"/>
      </w:pPr>
      <w:r>
        <w:rPr>
          <w:rStyle w:val="FootnoteReference"/>
        </w:rPr>
        <w:footnoteRef/>
      </w:r>
      <w:r>
        <w:tab/>
        <w:t xml:space="preserve">Domstolens dom af 7. oktober 2014, Tyskland mod Rådet, sag C-399/12, ECLI:EU:C:2014:2258, præmis 61-64. </w:t>
      </w:r>
    </w:p>
  </w:footnote>
  <w:footnote w:id="11">
    <w:p>
      <w:pPr>
        <w:pStyle w:val="FootnoteText"/>
      </w:pPr>
      <w:r>
        <w:rPr>
          <w:rStyle w:val="FootnoteReference"/>
        </w:rPr>
        <w:footnoteRef/>
      </w:r>
      <w:r>
        <w:tab/>
        <w:t>Artikel 3, stk. 7, i konventionen angående narkotiske midler og artikel 2, stk. 7, i konventionen om psykotrope stoffer.</w:t>
      </w:r>
    </w:p>
  </w:footnote>
  <w:footnote w:id="12">
    <w:p>
      <w:pPr>
        <w:pStyle w:val="FootnoteText"/>
      </w:pPr>
      <w:r>
        <w:rPr>
          <w:rStyle w:val="FootnoteReference"/>
        </w:rPr>
        <w:footnoteRef/>
      </w:r>
      <w:r>
        <w:tab/>
        <w:t>Se punkt 29 på listen over EU-retsakter vedtaget inden Lissabontraktatens ikrafttrædelse på området politisamarbejde og retligt samarbejde om straffesager, som i medfør af artikel 10, stk. 4, andet punktum, i protokol (nr. 36) om overgangsbestemmelser ophører med at finde anvendelse på Det Forenede Kongerige fra den 1. december 2014 (EUT C 430 af 1.12.2014, s. 17).</w:t>
      </w:r>
    </w:p>
  </w:footnote>
  <w:footnote w:id="13">
    <w:p>
      <w:pPr>
        <w:pStyle w:val="FootnoteText"/>
      </w:pPr>
      <w:r>
        <w:rPr>
          <w:rStyle w:val="FootnoteReference"/>
        </w:rPr>
        <w:footnoteRef/>
      </w:r>
      <w:r>
        <w:tab/>
        <w:t>Dette forslag vedrører en afgørelse om fastlæggelse af den holdning, der skal indtages på Unionens vegne på et møde, som finder sted efter Det Forenede Kongeriges udtræden af Unionen, medmindre Det Forenede Kongerige anmoder om en fjerde forlængelse af perioden i henhold til traktatens artikel 50, som vedtages af Det Europæiske Råd (artikel 50) ved enstemmighed. På tidspunktet for Kommissionens vedtagelse af forslaget, er Det Forenede Kongerige dog en medlemsstat. Det betyder, at de henvisninger, der f.eks. er til en række "medlemsstater", som er medlem af Narkotikakommissionen osv., også omfatter Det Forenede Kongerige.</w:t>
      </w:r>
    </w:p>
  </w:footnote>
  <w:footnote w:id="14">
    <w:p>
      <w:pPr>
        <w:pStyle w:val="FootnoteText"/>
      </w:pPr>
      <w:r>
        <w:rPr>
          <w:rStyle w:val="FootnoteReference"/>
        </w:rPr>
        <w:footnoteRef/>
      </w:r>
      <w:r>
        <w:tab/>
        <w:t>De Forenede Nationers traktatsamling, bind 978, nr. 14152.</w:t>
      </w:r>
    </w:p>
  </w:footnote>
  <w:footnote w:id="15">
    <w:p>
      <w:pPr>
        <w:pStyle w:val="FootnoteText"/>
      </w:pPr>
      <w:r>
        <w:rPr>
          <w:rStyle w:val="FootnoteReference"/>
        </w:rPr>
        <w:footnoteRef/>
      </w:r>
      <w:r>
        <w:tab/>
        <w:t>De Forenede Nationers traktatsamling, bind 1019, nr. 14956.</w:t>
      </w:r>
    </w:p>
  </w:footnote>
  <w:footnote w:id="16">
    <w:p>
      <w:pPr>
        <w:pStyle w:val="FootnoteText"/>
      </w:pPr>
      <w:r>
        <w:rPr>
          <w:rStyle w:val="FootnoteReference"/>
        </w:rPr>
        <w:footnoteRef/>
      </w:r>
      <w:r>
        <w:tab/>
        <w:t>Rådets rammeafgørelse 2004/757/RIA af 25. oktober 2004 om fastsættelse af mindsteregler for gerningsindholdet i strafbare handlinger i forbindelse med ulovlig narkotikahandel og straffene herfor (EUT L 335 af 11.11.2004, s. 8).</w:t>
      </w:r>
    </w:p>
  </w:footnote>
  <w:footnote w:id="17">
    <w:p>
      <w:pPr>
        <w:pStyle w:val="FootnoteText"/>
      </w:pPr>
      <w:r>
        <w:rPr>
          <w:rStyle w:val="FootnoteReference"/>
        </w:rPr>
        <w:footnoteRef/>
      </w:r>
      <w:r>
        <w:tab/>
        <w:t xml:space="preserve">Fra 1. januar 2020 vil følgende 13 medlemsstater være medlem af CND med stemmeret: Belgien, Det Forenede Kongerige, Frankrig, Italien, Kroatien, Nederlandene, Polen, Spanien, Sverige, Tjekkiet, Tyskland, Ungarn og Østrig. </w:t>
      </w:r>
    </w:p>
  </w:footnote>
  <w:footnote w:id="18">
    <w:p>
      <w:pPr>
        <w:pStyle w:val="FootnoteText"/>
      </w:pPr>
      <w:r>
        <w:rPr>
          <w:rStyle w:val="FootnoteReference"/>
        </w:rPr>
        <w:footnoteRef/>
      </w:r>
      <w:r>
        <w:tab/>
      </w:r>
      <w:hyperlink r:id="rId2" w:history="1">
        <w:r>
          <w:rPr>
            <w:rStyle w:val="Hyperlink"/>
          </w:rPr>
          <w:t>https://www.who.int/medicines/access/controlled-substances/UNSG_letter_ECDD41_recommendations_cannabis_24Jan19.pdf?ua=1</w:t>
        </w:r>
      </w:hyperlink>
      <w:r>
        <w:t xml:space="preserve">. </w:t>
      </w:r>
    </w:p>
  </w:footnote>
  <w:footnote w:id="19">
    <w:p>
      <w:pPr>
        <w:pStyle w:val="FootnoteText"/>
      </w:pPr>
      <w:r>
        <w:rPr>
          <w:rStyle w:val="FootnoteReference"/>
        </w:rPr>
        <w:footnoteRef/>
      </w:r>
      <w:r>
        <w:tab/>
        <w:t>EUT L 311 af 28.11.2001, s.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3A1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FED5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6432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B4F73C"/>
    <w:lvl w:ilvl="0">
      <w:start w:val="1"/>
      <w:numFmt w:val="decimal"/>
      <w:pStyle w:val="ListNumber"/>
      <w:lvlText w:val="%1."/>
      <w:lvlJc w:val="left"/>
      <w:pPr>
        <w:tabs>
          <w:tab w:val="num" w:pos="360"/>
        </w:tabs>
        <w:ind w:left="360" w:hanging="360"/>
      </w:pPr>
    </w:lvl>
  </w:abstractNum>
  <w:abstractNum w:abstractNumId="7">
    <w:nsid w:val="FFFFFF89"/>
    <w:multiLevelType w:val="singleLevel"/>
    <w:tmpl w:val="1B5AB5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7"/>
  </w:num>
  <w:num w:numId="6">
    <w:abstractNumId w:val="5"/>
  </w:num>
  <w:num w:numId="7">
    <w:abstractNumId w:val="6"/>
  </w:num>
  <w:num w:numId="8">
    <w:abstractNumId w:val="2"/>
  </w:num>
  <w:num w:numId="9">
    <w:abstractNumId w:val="0"/>
  </w:num>
  <w:num w:numId="10">
    <w:abstractNumId w:val="18"/>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18 11:55: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A5C8F3-3BFE-4E0A-A959-35E04DCA16BC"/>
    <w:docVar w:name="LW_COVERPAGE_TYPE" w:val="1"/>
    <w:docVar w:name="LW_CROSSREFERENCE" w:val="&lt;UNUSED&gt;"/>
    <w:docVar w:name="LW_DocType" w:val="COM"/>
    <w:docVar w:name="LW_EMISSION" w:val="12.12.2019"/>
    <w:docVar w:name="LW_EMISSION_ISODATE" w:val="2019-12-12"/>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74"/>
    <w:docVar w:name="LW_REF.II.NEW.CP_YEAR" w:val="2019"/>
    <w:docVar w:name="LW_REF.INST.NEW" w:val="COM"/>
    <w:docVar w:name="LW_REF.INST.NEW_ADOPTED" w:val="final"/>
    <w:docVar w:name="LW_REF.INST.NEW_TEXT" w:val="(2019) 6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den holdning, der skal indtages på Den Europæiske Unions vegne på det 63. møde i Narkotikakommissionen for så vidt angår optagelsen af stoffer i bilagene til enkeltkonventionen af 1961 angående narkotiske midler, som ændret ved protokollen af 1972, og konventionen af 1971 om psykotrope stoffer_x000b_"/>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2"/>
      </w:numPr>
    </w:pPr>
    <w:rPr>
      <w:lang w:eastAsia="en-GB"/>
    </w:rPr>
  </w:style>
  <w:style w:type="paragraph" w:styleId="ListBullet4">
    <w:name w:val="List Bullet 4"/>
    <w:basedOn w:val="Normal"/>
    <w:pPr>
      <w:numPr>
        <w:numId w:val="3"/>
      </w:numPr>
    </w:pPr>
    <w:rPr>
      <w:lang w:eastAsia="en-GB"/>
    </w:rPr>
  </w:style>
  <w:style w:type="character" w:styleId="Emphasis">
    <w:name w:val="Emphasis"/>
    <w:basedOn w:val="DefaultParagraphFont"/>
    <w:uiPriority w:val="20"/>
    <w:qFormat/>
    <w:rPr>
      <w:i/>
      <w:iCs/>
    </w:rPr>
  </w:style>
  <w:style w:type="paragraph" w:styleId="ListBullet3">
    <w:name w:val="List Bullet 3"/>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u w:val="single"/>
    </w:rPr>
  </w:style>
  <w:style w:type="paragraph" w:customStyle="1" w:styleId="Normalny1">
    <w:name w:val="Normalny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2"/>
      </w:numPr>
    </w:pPr>
    <w:rPr>
      <w:lang w:eastAsia="en-GB"/>
    </w:rPr>
  </w:style>
  <w:style w:type="paragraph" w:styleId="ListBullet4">
    <w:name w:val="List Bullet 4"/>
    <w:basedOn w:val="Normal"/>
    <w:pPr>
      <w:numPr>
        <w:numId w:val="3"/>
      </w:numPr>
    </w:pPr>
    <w:rPr>
      <w:lang w:eastAsia="en-GB"/>
    </w:rPr>
  </w:style>
  <w:style w:type="character" w:styleId="Emphasis">
    <w:name w:val="Emphasis"/>
    <w:basedOn w:val="DefaultParagraphFont"/>
    <w:uiPriority w:val="20"/>
    <w:qFormat/>
    <w:rPr>
      <w:i/>
      <w:iCs/>
    </w:rPr>
  </w:style>
  <w:style w:type="paragraph" w:styleId="ListBullet3">
    <w:name w:val="List Bullet 3"/>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u w:val="single"/>
    </w:rPr>
  </w:style>
  <w:style w:type="paragraph" w:customStyle="1" w:styleId="Normalny1">
    <w:name w:val="Normalny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medicines/access/controlled-substances/UNSG_letter_ECDD41_recommendations_cannabis_24Jan19.pdf?ua=1" TargetMode="External"/><Relationship Id="rId1" Type="http://schemas.openxmlformats.org/officeDocument/2006/relationships/hyperlink" Target="https://www.unodc.org/documents/commissions/CND/Scheduling_Resource_Material/Cannabis/Consultations_with_WHO_Questions_and_Answers_26_November_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272D30-110A-4BF7-B199-02FAF71A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12</Pages>
  <Words>3970</Words>
  <Characters>24457</Characters>
  <Application>Microsoft Office Word</Application>
  <DocSecurity>0</DocSecurity>
  <Lines>394</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2019-11-25T15:33:00Z</cp:lastPrinted>
  <dcterms:created xsi:type="dcterms:W3CDTF">2019-12-16T07:40:00Z</dcterms:created>
  <dcterms:modified xsi:type="dcterms:W3CDTF">2019-12-18T10:55:00Z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