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EB" w:rsidRDefault="002A0024" w:rsidP="002A002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DC41AA6-0E75-40E6-89AB-18D30F617C97" style="width:450.75pt;height:410.25pt">
            <v:imagedata r:id="rId7" o:title=""/>
          </v:shape>
        </w:pict>
      </w:r>
    </w:p>
    <w:p w:rsidR="008057EB" w:rsidRDefault="008057EB">
      <w:pPr>
        <w:rPr>
          <w:noProof/>
        </w:rPr>
        <w:sectPr w:rsidR="008057EB" w:rsidSect="002A0024">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8057EB" w:rsidRDefault="002A0024">
      <w:pPr>
        <w:pStyle w:val="Annexetitre"/>
        <w:rPr>
          <w:noProof/>
        </w:rPr>
      </w:pPr>
      <w:bookmarkStart w:id="0" w:name="_GoBack"/>
      <w:bookmarkEnd w:id="0"/>
      <w:r>
        <w:rPr>
          <w:noProof/>
        </w:rPr>
        <w:lastRenderedPageBreak/>
        <w:t>PIELIKUMS</w:t>
      </w:r>
    </w:p>
    <w:p w:rsidR="008057EB" w:rsidRDefault="008057EB">
      <w:pPr>
        <w:autoSpaceDE w:val="0"/>
        <w:autoSpaceDN w:val="0"/>
        <w:adjustRightInd w:val="0"/>
        <w:spacing w:before="0" w:after="27"/>
        <w:rPr>
          <w:noProof/>
          <w:color w:val="000000"/>
          <w:szCs w:val="24"/>
        </w:rPr>
      </w:pPr>
    </w:p>
    <w:p w:rsidR="008057EB" w:rsidRDefault="002A0024">
      <w:pPr>
        <w:autoSpaceDE w:val="0"/>
        <w:autoSpaceDN w:val="0"/>
        <w:adjustRightInd w:val="0"/>
        <w:spacing w:before="0" w:after="27"/>
        <w:rPr>
          <w:noProof/>
          <w:color w:val="000000"/>
          <w:szCs w:val="24"/>
        </w:rPr>
      </w:pPr>
      <w:r>
        <w:rPr>
          <w:noProof/>
        </w:rPr>
        <w:t xml:space="preserve">Nostāja, kas dalībvalstīm, kuras ir Narkotisko vielu komisijas locekles, kopīgi rīkojoties Savienības interesēs attiecībā uz izmaiņām </w:t>
      </w:r>
      <w:r>
        <w:rPr>
          <w:noProof/>
        </w:rPr>
        <w:t>vielu kontroles darbības jomā, jāieņem Narkotisko vielu komisijas sešdesmit trešajā sesijā 2020. gada 2. līdz 6. martā:</w:t>
      </w:r>
    </w:p>
    <w:p w:rsidR="008057EB" w:rsidRDefault="002A0024">
      <w:pPr>
        <w:pStyle w:val="Point0number"/>
        <w:numPr>
          <w:ilvl w:val="0"/>
          <w:numId w:val="1"/>
        </w:numPr>
        <w:rPr>
          <w:noProof/>
        </w:rPr>
      </w:pPr>
      <w:r>
        <w:rPr>
          <w:noProof/>
        </w:rPr>
        <w:t>Indijas kaņepes un Indijas kaņepju sveķi ir jāsvītro no 1961. gada Vienotās konvencijas par narkotiskajām vielām IV saraksta.</w:t>
      </w:r>
    </w:p>
    <w:p w:rsidR="008057EB" w:rsidRDefault="002A0024">
      <w:pPr>
        <w:pStyle w:val="Point0number"/>
        <w:numPr>
          <w:ilvl w:val="0"/>
          <w:numId w:val="1"/>
        </w:numPr>
        <w:rPr>
          <w:noProof/>
        </w:rPr>
      </w:pPr>
      <w:r>
        <w:rPr>
          <w:noProof/>
        </w:rPr>
        <w:t>Dronabinol</w:t>
      </w:r>
      <w:r>
        <w:rPr>
          <w:noProof/>
        </w:rPr>
        <w:t>s (delta-9-tetrahidrokanabinols) ir jāiekļauj 1961. gada Vienotās konvencijas par narkotiskajām vielām I sarakstā, un, ja šis ieteikums tiks pieņemts, jāsvītro no 1971. gada Konvencijas par psihotropajām vielām II saraksta. Alternatīva iespēja būtu ieteiku</w:t>
      </w:r>
      <w:r>
        <w:rPr>
          <w:noProof/>
        </w:rPr>
        <w:t>mu neizvirzīt balsošanai un pieprasīt, lai PVO veiktu vēl vienu novērtējumu.</w:t>
      </w:r>
    </w:p>
    <w:p w:rsidR="008057EB" w:rsidRDefault="002A0024">
      <w:pPr>
        <w:pStyle w:val="Point0number"/>
        <w:numPr>
          <w:ilvl w:val="0"/>
          <w:numId w:val="1"/>
        </w:numPr>
        <w:rPr>
          <w:noProof/>
        </w:rPr>
      </w:pPr>
      <w:r>
        <w:rPr>
          <w:noProof/>
        </w:rPr>
        <w:t xml:space="preserve">Ja </w:t>
      </w:r>
      <w:r>
        <w:rPr>
          <w:i/>
          <w:iCs/>
          <w:noProof/>
        </w:rPr>
        <w:t>CND</w:t>
      </w:r>
      <w:r>
        <w:rPr>
          <w:noProof/>
        </w:rPr>
        <w:t xml:space="preserve"> pieņems ieteikumu par dronabinola un tā stereoizomēru (delta-9-tetrahidrokanabinola) iekļaušanu 1961. gada Vienotās konvencijas par narkotiskajām vielām I sarakstā, tetrahi</w:t>
      </w:r>
      <w:r>
        <w:rPr>
          <w:noProof/>
        </w:rPr>
        <w:t>drokanabinols (delta-9-tetrahidrokanabinola izomēri) ir jāiekļauj 1961. gada Vienotās konvencijas par narkotiskajām vielām I sarakstā, un, ja šis ieteikums tiks pieņemts, jāsvītro no 1971. gada Konvencijas par psihotropajām vielām I saraksta. Alternatīva i</w:t>
      </w:r>
      <w:r>
        <w:rPr>
          <w:noProof/>
        </w:rPr>
        <w:t>espēja būtu ieteikumu neizvirzīt balsošanai un pieprasīt, lai PVO veiktu vēl vienu novērtējumu.</w:t>
      </w:r>
    </w:p>
    <w:p w:rsidR="008057EB" w:rsidRDefault="002A0024">
      <w:pPr>
        <w:pStyle w:val="Point0number"/>
        <w:numPr>
          <w:ilvl w:val="0"/>
          <w:numId w:val="1"/>
        </w:numPr>
        <w:rPr>
          <w:noProof/>
        </w:rPr>
      </w:pPr>
      <w:r>
        <w:rPr>
          <w:noProof/>
        </w:rPr>
        <w:t>Ieteikumu attiecībā uz ekstraktiem un tinktūrām nevajadzētu izvirzīt balsošanai un būtu jāpieprasa, lai PVO veiktu vēl vienu novērtējumu.</w:t>
      </w:r>
    </w:p>
    <w:p w:rsidR="008057EB" w:rsidRDefault="002A0024">
      <w:pPr>
        <w:pStyle w:val="Point0number"/>
        <w:numPr>
          <w:ilvl w:val="0"/>
          <w:numId w:val="1"/>
        </w:numPr>
        <w:rPr>
          <w:noProof/>
        </w:rPr>
      </w:pPr>
      <w:r>
        <w:rPr>
          <w:noProof/>
        </w:rPr>
        <w:t>Par ieteikumu attiecīb</w:t>
      </w:r>
      <w:r>
        <w:rPr>
          <w:noProof/>
        </w:rPr>
        <w:t>ā uz zemsvītras piezīmi “</w:t>
      </w:r>
      <w:r>
        <w:rPr>
          <w:i/>
          <w:iCs/>
          <w:noProof/>
        </w:rPr>
        <w:t>Preparātiem, kas satur galvenokārt kanabidiolu un ne vairāk kā 0,2 % delta-9-tetrahidrokanabinola, nepiemēro starptautiskus kontroles pasākumus</w:t>
      </w:r>
      <w:r>
        <w:rPr>
          <w:noProof/>
        </w:rPr>
        <w:t>” nebūtu jābalso un būtu jāpieprasa, lai PVO veiktu vēl vienu novērtējumu.</w:t>
      </w:r>
    </w:p>
    <w:p w:rsidR="008057EB" w:rsidRDefault="002A0024">
      <w:pPr>
        <w:pStyle w:val="Point0number"/>
        <w:numPr>
          <w:ilvl w:val="0"/>
          <w:numId w:val="1"/>
        </w:numPr>
        <w:rPr>
          <w:noProof/>
        </w:rPr>
      </w:pPr>
      <w:r>
        <w:rPr>
          <w:noProof/>
        </w:rPr>
        <w:t>Preparātus, k</w:t>
      </w:r>
      <w:r>
        <w:rPr>
          <w:noProof/>
        </w:rPr>
        <w:t xml:space="preserve">as iegūti ķīmiskā sintēzē vai kā Indijas kaņepju preparāti, kuru sastāvs ir kā farmaceitiskiem preparātiem ar vienu vai vairākām citām sastāvdaļām un tādā veidā, ka </w:t>
      </w:r>
      <w:r>
        <w:rPr>
          <w:iCs/>
          <w:noProof/>
        </w:rPr>
        <w:t>delta</w:t>
      </w:r>
      <w:r>
        <w:rPr>
          <w:noProof/>
        </w:rPr>
        <w:t>-9-tetrahidrokanabinolu (dronabinolu) nevar rekuperēt ar viegli pieejamiem līdzekļiem,</w:t>
      </w:r>
      <w:r>
        <w:rPr>
          <w:noProof/>
        </w:rPr>
        <w:t xml:space="preserve"> vai tā ieguve radītu risku sabiedrības veselībai, neiekļauj 1961. gada Vienotās konvencijas par narkotiskajām vielām III sarakstā. Alternatīva iespēja būtu ieteikumu neizvirzīt balsošanai un pieprasīt, lai PVO veiktu vēl vienu novērtējumu.</w:t>
      </w:r>
    </w:p>
    <w:sectPr w:rsidR="008057EB" w:rsidSect="002A0024">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EB" w:rsidRDefault="002A0024">
      <w:pPr>
        <w:spacing w:before="0" w:after="0"/>
      </w:pPr>
      <w:r>
        <w:separator/>
      </w:r>
    </w:p>
  </w:endnote>
  <w:endnote w:type="continuationSeparator" w:id="0">
    <w:p w:rsidR="008057EB" w:rsidRDefault="002A00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24" w:rsidRPr="002A0024" w:rsidRDefault="002A0024" w:rsidP="002A0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EB" w:rsidRPr="002A0024" w:rsidRDefault="002A0024" w:rsidP="002A0024">
    <w:pPr>
      <w:pStyle w:val="Footer"/>
      <w:rPr>
        <w:rFonts w:ascii="Arial" w:hAnsi="Arial" w:cs="Arial"/>
        <w:b/>
        <w:sz w:val="48"/>
      </w:rPr>
    </w:pPr>
    <w:r w:rsidRPr="002A0024">
      <w:rPr>
        <w:rFonts w:ascii="Arial" w:hAnsi="Arial" w:cs="Arial"/>
        <w:b/>
        <w:sz w:val="48"/>
      </w:rPr>
      <w:t>LV</w:t>
    </w:r>
    <w:r w:rsidRPr="002A0024">
      <w:rPr>
        <w:rFonts w:ascii="Arial" w:hAnsi="Arial" w:cs="Arial"/>
        <w:b/>
        <w:sz w:val="48"/>
      </w:rPr>
      <w:tab/>
    </w:r>
    <w:r w:rsidRPr="002A0024">
      <w:rPr>
        <w:rFonts w:ascii="Arial" w:hAnsi="Arial" w:cs="Arial"/>
        <w:b/>
        <w:sz w:val="48"/>
      </w:rPr>
      <w:tab/>
    </w:r>
    <w:r w:rsidRPr="002A0024">
      <w:tab/>
    </w:r>
    <w:r w:rsidRPr="002A0024">
      <w:rPr>
        <w:rFonts w:ascii="Arial" w:hAnsi="Arial" w:cs="Arial"/>
        <w:b/>
        <w:sz w:val="48"/>
      </w:rPr>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24" w:rsidRPr="002A0024" w:rsidRDefault="002A0024" w:rsidP="002A00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24" w:rsidRPr="002A0024" w:rsidRDefault="002A0024" w:rsidP="002A0024">
    <w:pPr>
      <w:pStyle w:val="Footer"/>
      <w:rPr>
        <w:rFonts w:ascii="Arial" w:hAnsi="Arial" w:cs="Arial"/>
        <w:b/>
        <w:sz w:val="48"/>
      </w:rPr>
    </w:pPr>
    <w:r w:rsidRPr="002A0024">
      <w:rPr>
        <w:rFonts w:ascii="Arial" w:hAnsi="Arial" w:cs="Arial"/>
        <w:b/>
        <w:sz w:val="48"/>
      </w:rPr>
      <w:t>LV</w:t>
    </w:r>
    <w:r w:rsidRPr="002A0024">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A0024">
      <w:tab/>
    </w:r>
    <w:r w:rsidRPr="002A0024">
      <w:rPr>
        <w:rFonts w:ascii="Arial" w:hAnsi="Arial" w:cs="Arial"/>
        <w:b/>
        <w:sz w:val="48"/>
      </w:rPr>
      <w:t>LV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24" w:rsidRPr="002A0024" w:rsidRDefault="002A0024" w:rsidP="002A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EB" w:rsidRDefault="002A0024">
      <w:pPr>
        <w:spacing w:before="0" w:after="0"/>
      </w:pPr>
      <w:r>
        <w:separator/>
      </w:r>
    </w:p>
  </w:footnote>
  <w:footnote w:type="continuationSeparator" w:id="0">
    <w:p w:rsidR="008057EB" w:rsidRDefault="002A00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24" w:rsidRPr="002A0024" w:rsidRDefault="002A0024" w:rsidP="002A0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24" w:rsidRPr="002A0024" w:rsidRDefault="002A0024" w:rsidP="002A0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24" w:rsidRPr="002A0024" w:rsidRDefault="002A0024" w:rsidP="002A0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56C6F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D1E66F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B04FF0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E4C4AB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EB4D50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1626C3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9D0CD0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F4AD4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8 11:54: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6DC41AA6-0E75-40E6-89AB-18D30F617C97"/>
    <w:docVar w:name="LW_COVERPAGE_TYPE" w:val="1"/>
    <w:docVar w:name="LW_CROSSREFERENCE" w:val="&lt;UNUSED&gt;"/>
    <w:docVar w:name="LW_DocType" w:val="ANNEX"/>
    <w:docVar w:name="LW_EMISSION" w:val="12.12.2019"/>
    <w:docVar w:name="LW_EMISSION_ISODATE" w:val="2019-12-12"/>
    <w:docVar w:name="LW_EMISSION_LOCATION" w:val="BRX"/>
    <w:docVar w:name="LW_EMISSION_PREFIX" w:val="Brisel\u275?,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lt;FMT:Font=Calibri Baltic&gt;par nost\u257?ju, kas Narkotisko vielu komisijas se\u353?desmit tre\u353?aj\u257? sesij\u257? j\u257?ie\u326?em Eiropas Savien\u299?bas v\u257?rd\u257? par vielu iek\u316?au\u353?anu sarakstos, kuri pievienoti 1961. gada Vienotajai konvencijai par narkotiskaj\u257?m viel\u257?m, kas groz\u299?ta ar 1972. gada protokolu, un 1971. gada Konvencijai par psihotropaj\u257?m viel\u257?m&lt;/FMT&gt;"/>
    <w:docVar w:name="LW_OBJETACTEPRINCIPAL.CP" w:val="&lt;FMT:Font=Calibri Baltic&gt;par nost\u257?ju, kas Narkotisko vielu komisijas se\u353?desmit tre\u353?aj\u257? sesij\u257? j\u257?ie\u326?em Eiropas Savien\u299?bas v\u257?rd\u257? par vielu iek\u316?au\u353?anu sarakstos, kuri pievienoti 1961. gada Vienotajai konvencijai par narkotiskaj\u257?m viel\u257?m, kas groz\u299?ta ar 1972. gada protokolu, un 1971. gada Konvencijai par psihotropaj\u257?m viel\u257?m&lt;/FMT&gt;"/>
    <w:docVar w:name="LW_PART_NBR" w:val="1"/>
    <w:docVar w:name="LW_PART_NBR_TOTAL" w:val="1"/>
    <w:docVar w:name="LW_REF.INST.NEW" w:val="COM"/>
    <w:docVar w:name="LW_REF.INST.NEW_ADOPTED" w:val="final"/>
    <w:docVar w:name="LW_REF.INST.NEW_TEXT" w:val="(2019) 6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 Padomes L\u275?mums"/>
    <w:docVar w:name="LW_TYPEACTEPRINCIPAL.CP" w:val="Priek\u353?likums - Padomes L\u275?mums"/>
  </w:docVars>
  <w:rsids>
    <w:rsidRoot w:val="008057EB"/>
    <w:rsid w:val="002A0024"/>
    <w:rsid w:val="00805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C7C778-074B-4E2E-81D8-C7048B6D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2A0024"/>
    <w:pPr>
      <w:tabs>
        <w:tab w:val="center" w:pos="4535"/>
        <w:tab w:val="right" w:pos="9071"/>
      </w:tabs>
      <w:spacing w:before="0"/>
    </w:pPr>
  </w:style>
  <w:style w:type="character" w:customStyle="1" w:styleId="HeaderChar">
    <w:name w:val="Header Char"/>
    <w:basedOn w:val="DefaultParagraphFont"/>
    <w:link w:val="Header"/>
    <w:uiPriority w:val="99"/>
    <w:rsid w:val="002A0024"/>
    <w:rPr>
      <w:rFonts w:ascii="Times New Roman" w:hAnsi="Times New Roman" w:cs="Times New Roman"/>
      <w:sz w:val="24"/>
      <w:lang w:val="lv-LV"/>
    </w:rPr>
  </w:style>
  <w:style w:type="paragraph" w:styleId="Footer">
    <w:name w:val="footer"/>
    <w:basedOn w:val="Normal"/>
    <w:link w:val="FooterChar"/>
    <w:uiPriority w:val="99"/>
    <w:unhideWhenUsed/>
    <w:rsid w:val="002A002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A0024"/>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A0024"/>
    <w:pPr>
      <w:tabs>
        <w:tab w:val="center" w:pos="7285"/>
        <w:tab w:val="right" w:pos="14003"/>
      </w:tabs>
      <w:spacing w:before="0"/>
    </w:pPr>
  </w:style>
  <w:style w:type="paragraph" w:customStyle="1" w:styleId="FooterLandscape">
    <w:name w:val="FooterLandscape"/>
    <w:basedOn w:val="Normal"/>
    <w:rsid w:val="002A002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A002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2A0024"/>
    <w:pPr>
      <w:spacing w:before="0"/>
      <w:jc w:val="right"/>
    </w:pPr>
    <w:rPr>
      <w:sz w:val="28"/>
    </w:rPr>
  </w:style>
  <w:style w:type="paragraph" w:customStyle="1" w:styleId="FooterSensitivity">
    <w:name w:val="Footer Sensitivity"/>
    <w:basedOn w:val="Normal"/>
    <w:rsid w:val="002A002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TotalTime>
  <Pages>2</Pages>
  <Words>278</Words>
  <Characters>1903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Edith (ENER)</dc:creator>
  <cp:lastModifiedBy>SEILER Brigitte (SG)</cp:lastModifiedBy>
  <cp:revision>10</cp:revision>
  <dcterms:created xsi:type="dcterms:W3CDTF">2019-12-17T14:18:00Z</dcterms:created>
  <dcterms:modified xsi:type="dcterms:W3CDTF">2019-12-18T11:16:00Z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