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E2" w:rsidRDefault="00D9312B" w:rsidP="00D9312B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3F79B4BC-FD96-4E15-8A95-19C534CB2E76" style="width:450.75pt;height:410.25pt">
            <v:imagedata r:id="rId7" o:title=""/>
          </v:shape>
        </w:pict>
      </w:r>
    </w:p>
    <w:p w:rsidR="00EB0CE2" w:rsidRDefault="00EB0CE2">
      <w:pPr>
        <w:rPr>
          <w:noProof/>
        </w:rPr>
        <w:sectPr w:rsidR="00EB0CE2" w:rsidSect="00D931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EB0CE2" w:rsidRDefault="00D9312B">
      <w:pPr>
        <w:pStyle w:val="Annexetitre"/>
        <w:rPr>
          <w:noProof/>
        </w:rPr>
      </w:pPr>
      <w:r>
        <w:rPr>
          <w:noProof/>
        </w:rPr>
        <w:lastRenderedPageBreak/>
        <w:t>BILAGA</w:t>
      </w:r>
      <w:bookmarkStart w:id="0" w:name="_GoBack"/>
      <w:bookmarkEnd w:id="0"/>
    </w:p>
    <w:p w:rsidR="00EB0CE2" w:rsidRDefault="00EB0CE2">
      <w:pPr>
        <w:autoSpaceDE w:val="0"/>
        <w:autoSpaceDN w:val="0"/>
        <w:adjustRightInd w:val="0"/>
        <w:spacing w:before="0" w:after="27"/>
        <w:rPr>
          <w:noProof/>
          <w:color w:val="000000"/>
          <w:szCs w:val="24"/>
        </w:rPr>
      </w:pPr>
    </w:p>
    <w:p w:rsidR="00EB0CE2" w:rsidRDefault="00D9312B">
      <w:pPr>
        <w:autoSpaceDE w:val="0"/>
        <w:autoSpaceDN w:val="0"/>
        <w:adjustRightInd w:val="0"/>
        <w:spacing w:before="0" w:after="27"/>
        <w:rPr>
          <w:noProof/>
          <w:color w:val="000000"/>
          <w:szCs w:val="24"/>
        </w:rPr>
      </w:pPr>
      <w:r>
        <w:rPr>
          <w:noProof/>
        </w:rPr>
        <w:t>Den ståndpunkt som ska intas av de medlemsstater som är medlemmar i FN:s narkotikakommission, vilka agerar samfällt i unionens intresse,</w:t>
      </w:r>
      <w:r>
        <w:rPr>
          <w:noProof/>
        </w:rPr>
        <w:t xml:space="preserve"> under narkotikakommissionens sextiotredje session den 2–6 mars 2020 vad gäller ändringar av omfattningen av kontrollen av ämnen:</w:t>
      </w:r>
    </w:p>
    <w:p w:rsidR="00EB0CE2" w:rsidRDefault="00D9312B"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 xml:space="preserve">Cannabis och cannabisharts ska utgå ur förteckning IV i 1961 års allmänna narkotikakonvention (nedan kallad </w:t>
      </w:r>
      <w:r>
        <w:rPr>
          <w:i/>
          <w:iCs/>
          <w:noProof/>
        </w:rPr>
        <w:t>narkotikakonventio</w:t>
      </w:r>
      <w:r>
        <w:rPr>
          <w:i/>
          <w:iCs/>
          <w:noProof/>
        </w:rPr>
        <w:t>nen</w:t>
      </w:r>
      <w:r>
        <w:rPr>
          <w:noProof/>
        </w:rPr>
        <w:t>).</w:t>
      </w:r>
    </w:p>
    <w:p w:rsidR="00EB0CE2" w:rsidRDefault="00D9312B"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Dronabinol (</w:t>
      </w:r>
      <w:r>
        <w:rPr>
          <w:i/>
          <w:noProof/>
        </w:rPr>
        <w:t>delta</w:t>
      </w:r>
      <w:r>
        <w:rPr>
          <w:noProof/>
        </w:rPr>
        <w:t>-9-tetrahydrokannabinol) ska läggas till i förteckning I i narkotikakonventionen och, om denna rekommendation antas, utgå ur förteckning II i konventionen om psykotropa ämnen från 1971. Alternativt bör rekommendationen inte gå till o</w:t>
      </w:r>
      <w:r>
        <w:rPr>
          <w:noProof/>
        </w:rPr>
        <w:t>mröstning, utan ytterligare bedömning av WHO bör begäras.</w:t>
      </w:r>
    </w:p>
    <w:p w:rsidR="00EB0CE2" w:rsidRDefault="00D9312B"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 xml:space="preserve">Tetrahydrokannabinol (isomerer av </w:t>
      </w:r>
      <w:r>
        <w:rPr>
          <w:i/>
          <w:noProof/>
        </w:rPr>
        <w:t>delta</w:t>
      </w:r>
      <w:r>
        <w:rPr>
          <w:noProof/>
        </w:rPr>
        <w:t xml:space="preserve">-9-tetrahydrokannabinol) ska läggas till i förteckning I i narkotikakonventionen, förutsatt att FN:s narkotikakommission antar rekommendationen att lägga till </w:t>
      </w:r>
      <w:r>
        <w:rPr>
          <w:noProof/>
        </w:rPr>
        <w:t>dronabinol och dess stereoisomerer (</w:t>
      </w:r>
      <w:r>
        <w:rPr>
          <w:i/>
          <w:noProof/>
        </w:rPr>
        <w:t>delta</w:t>
      </w:r>
      <w:r>
        <w:rPr>
          <w:noProof/>
        </w:rPr>
        <w:t>-9-tetrahydrokannabinol) i förteckning I i narkotikakonventionen, och, om denna rekommendation antas, utgå ur förteckning I i konventionen om psykotropa ämnen. Alternativt bör rekommendationen inte gå till omröstnin</w:t>
      </w:r>
      <w:r>
        <w:rPr>
          <w:noProof/>
        </w:rPr>
        <w:t>g, utan ytterligare bedömning av WHO bör begäras.</w:t>
      </w:r>
    </w:p>
    <w:p w:rsidR="00EB0CE2" w:rsidRDefault="00D9312B"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Rekommendationen om extrakt och tinkturer bör inte gå till omröstning, utan ytterligare bedömning av WHO bör begäras.</w:t>
      </w:r>
    </w:p>
    <w:p w:rsidR="00EB0CE2" w:rsidRDefault="00D9312B"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 xml:space="preserve">Rekommendationen om fotnoten </w:t>
      </w:r>
      <w:r>
        <w:rPr>
          <w:i/>
          <w:noProof/>
        </w:rPr>
        <w:t>”Preparat som huvudsakligen innehåller cannabidiol och högs</w:t>
      </w:r>
      <w:r>
        <w:rPr>
          <w:i/>
          <w:noProof/>
        </w:rPr>
        <w:t>t 0,2 % delta-9-tetrahydrokannabinol är inte föremål för internationell kontroll”</w:t>
      </w:r>
      <w:r>
        <w:rPr>
          <w:noProof/>
        </w:rPr>
        <w:t xml:space="preserve"> bör inte gå till omröstning, utan ytterligare bedömning av WHO bör begäras.</w:t>
      </w:r>
    </w:p>
    <w:p w:rsidR="00EB0CE2" w:rsidRDefault="00D9312B"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Preparat som framställts antingen genom kemisk syntes eller som preparat av cannabis och som är sa</w:t>
      </w:r>
      <w:r>
        <w:rPr>
          <w:noProof/>
        </w:rPr>
        <w:t>mmansatta som farmaceutiska preparat med en eller flera andra ingredienser och på ett sådant sätt att delta-9-tetrahydrokannabinol (dronabinol) inte kan utvinnas med lättillgängliga medel eller i en omfattning som skulle utgöra en risk för folkhälsan ska i</w:t>
      </w:r>
      <w:r>
        <w:rPr>
          <w:noProof/>
        </w:rPr>
        <w:t>nte läggas till i förteckning III i narkotikakonventionen. Alternativt bör rekommendationen inte gå till omröstning, utan ytterligare bedömning av WHO bör begäras.</w:t>
      </w:r>
    </w:p>
    <w:sectPr w:rsidR="00EB0CE2" w:rsidSect="00D9312B">
      <w:footerReference w:type="default" r:id="rId14"/>
      <w:footerReference w:type="first" r:id="rId15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E2" w:rsidRDefault="00D9312B">
      <w:pPr>
        <w:spacing w:before="0" w:after="0"/>
      </w:pPr>
      <w:r>
        <w:separator/>
      </w:r>
    </w:p>
  </w:endnote>
  <w:endnote w:type="continuationSeparator" w:id="0">
    <w:p w:rsidR="00EB0CE2" w:rsidRDefault="00D931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2B" w:rsidRPr="00D9312B" w:rsidRDefault="00D9312B" w:rsidP="00D93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CE2" w:rsidRPr="00D9312B" w:rsidRDefault="00D9312B" w:rsidP="00D9312B">
    <w:pPr>
      <w:pStyle w:val="Footer"/>
      <w:rPr>
        <w:rFonts w:ascii="Arial" w:hAnsi="Arial" w:cs="Arial"/>
        <w:b/>
        <w:sz w:val="48"/>
      </w:rPr>
    </w:pPr>
    <w:r w:rsidRPr="00D9312B">
      <w:rPr>
        <w:rFonts w:ascii="Arial" w:hAnsi="Arial" w:cs="Arial"/>
        <w:b/>
        <w:sz w:val="48"/>
      </w:rPr>
      <w:t>SV</w:t>
    </w:r>
    <w:r w:rsidRPr="00D9312B">
      <w:rPr>
        <w:rFonts w:ascii="Arial" w:hAnsi="Arial" w:cs="Arial"/>
        <w:b/>
        <w:sz w:val="48"/>
      </w:rPr>
      <w:tab/>
    </w:r>
    <w:r w:rsidRPr="00D9312B">
      <w:rPr>
        <w:rFonts w:ascii="Arial" w:hAnsi="Arial" w:cs="Arial"/>
        <w:b/>
        <w:sz w:val="48"/>
      </w:rPr>
      <w:tab/>
    </w:r>
    <w:r w:rsidRPr="00D9312B">
      <w:tab/>
    </w:r>
    <w:r w:rsidRPr="00D9312B"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2B" w:rsidRPr="00D9312B" w:rsidRDefault="00D9312B" w:rsidP="00D9312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2B" w:rsidRPr="00D9312B" w:rsidRDefault="00D9312B" w:rsidP="00D9312B">
    <w:pPr>
      <w:pStyle w:val="Footer"/>
      <w:rPr>
        <w:rFonts w:ascii="Arial" w:hAnsi="Arial" w:cs="Arial"/>
        <w:b/>
        <w:sz w:val="48"/>
      </w:rPr>
    </w:pPr>
    <w:r w:rsidRPr="00D9312B">
      <w:rPr>
        <w:rFonts w:ascii="Arial" w:hAnsi="Arial" w:cs="Arial"/>
        <w:b/>
        <w:sz w:val="48"/>
      </w:rPr>
      <w:t>SV</w:t>
    </w:r>
    <w:r w:rsidRPr="00D9312B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D9312B">
      <w:tab/>
    </w:r>
    <w:r w:rsidRPr="00D9312B">
      <w:rPr>
        <w:rFonts w:ascii="Arial" w:hAnsi="Arial" w:cs="Arial"/>
        <w:b/>
        <w:sz w:val="48"/>
      </w:rPr>
      <w:t>SV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2B" w:rsidRPr="00D9312B" w:rsidRDefault="00D9312B" w:rsidP="00D93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E2" w:rsidRDefault="00D9312B">
      <w:pPr>
        <w:spacing w:before="0" w:after="0"/>
      </w:pPr>
      <w:r>
        <w:separator/>
      </w:r>
    </w:p>
  </w:footnote>
  <w:footnote w:type="continuationSeparator" w:id="0">
    <w:p w:rsidR="00EB0CE2" w:rsidRDefault="00D931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2B" w:rsidRPr="00D9312B" w:rsidRDefault="00D9312B" w:rsidP="00D93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2B" w:rsidRPr="00D9312B" w:rsidRDefault="00D9312B" w:rsidP="00D93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2B" w:rsidRPr="00D9312B" w:rsidRDefault="00D9312B" w:rsidP="00D93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556C6F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D1E6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B04FF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9E4C4A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EB4D5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1626C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9D0CD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0F4AD4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12-18 11:55:07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ill"/>
    <w:docVar w:name="LW_ACCOMPAGNANT.CP" w:val="til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F79B4BC-FD96-4E15-8A95-19C534CB2E76"/>
    <w:docVar w:name="LW_COVERPAGE_TYPE" w:val="1"/>
    <w:docVar w:name="LW_CROSSREFERENCE" w:val="&lt;UNUSED&gt;"/>
    <w:docVar w:name="LW_DocType" w:val="ANNEX"/>
    <w:docVar w:name="LW_EMISSION" w:val="12.12.2019"/>
    <w:docVar w:name="LW_EMISSION_ISODATE" w:val="2019-12-12"/>
    <w:docVar w:name="LW_EMISSION_LOCATION" w:val="BRX"/>
    <w:docVar w:name="LW_EMISSION_PREFIX" w:val="Bryssel den "/>
    <w:docVar w:name="LW_EMISSION_SUFFIX" w:val=" "/>
    <w:docVar w:name="LW_ID_DOCSTRUCTURE" w:val="COM/ANNEX"/>
    <w:docVar w:name="LW_ID_DOCTYPE" w:val="SG-017"/>
    <w:docVar w:name="LW_LANGUE" w:val="SV"/>
    <w:docVar w:name="LW_LEVEL_OF_SENSITIVITY" w:val="Standard treatment"/>
    <w:docVar w:name="LW_NOM.INST" w:val="EUROPEISKA KOMMISSIONEN"/>
    <w:docVar w:name="LW_NOM.INST_JOINTDOC" w:val="&lt;EMPTY&gt;"/>
    <w:docVar w:name="LW_OBJETACTEPRINCIPAL" w:val="om den ståndpunkt som ska intas på Europeiska unionens vägnar under den sextiotredje sessionen i FN:s narkotikakommission om upptagande av ämnen i förteckningarna enligt FN:s allmänna narkotikakonvention från 1961, ändrad genom 1972 års protokoll, och konventionen om psykotropa ämnen från 1971"/>
    <w:docVar w:name="LW_OBJETACTEPRINCIPAL.CP" w:val="om den ståndpunkt som ska intas på Europeiska unionens vägnar under den sextiotredje sessionen i FN:s narkotikakommission om upptagande av ämnen i förteckningarna enligt FN:s allmänna narkotikakonvention från 1961, ändrad genom 1972 års protokoll, och konventionen om psykotropa ämnen från 1971"/>
    <w:docVar w:name="LW_PART_NBR" w:val="1"/>
    <w:docVar w:name="LW_PART_NBR_TOTAL" w:val="1"/>
    <w:docVar w:name="LW_REF.INST.NEW" w:val="COM"/>
    <w:docVar w:name="LW_REF.INST.NEW_ADOPTED" w:val="final"/>
    <w:docVar w:name="LW_REF.INST.NEW_TEXT" w:val="(2019) 62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BILAGA"/>
    <w:docVar w:name="LW_TYPE.DOC.CP" w:val="BILAGA"/>
    <w:docVar w:name="LW_TYPEACTEPRINCIPAL" w:val="förslag till rådets beslut"/>
    <w:docVar w:name="LW_TYPEACTEPRINCIPAL.CP" w:val="förslag till rådets beslut"/>
  </w:docVars>
  <w:rsids>
    <w:rsidRoot w:val="00EB0CE2"/>
    <w:rsid w:val="00D9312B"/>
    <w:rsid w:val="00E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1AE436"/>
  <w15:docId w15:val="{8C38063B-6466-4DD6-A919-63F2E51D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v-S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12B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9312B"/>
    <w:rPr>
      <w:rFonts w:ascii="Times New Roman" w:hAnsi="Times New Roman" w:cs="Times New Roman"/>
      <w:sz w:val="24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D9312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D9312B"/>
    <w:rPr>
      <w:rFonts w:ascii="Times New Roman" w:hAnsi="Times New Roman" w:cs="Times New Roman"/>
      <w:sz w:val="24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D9312B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D9312B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D931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D9312B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D931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1</TotalTime>
  <Pages>2</Pages>
  <Words>278</Words>
  <Characters>1825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 Edith (ENER)</dc:creator>
  <cp:lastModifiedBy>SEILER Brigitte (SG)</cp:lastModifiedBy>
  <cp:revision>10</cp:revision>
  <dcterms:created xsi:type="dcterms:W3CDTF">2019-12-17T10:10:00Z</dcterms:created>
  <dcterms:modified xsi:type="dcterms:W3CDTF">2019-12-18T11:22:00Z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