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74615718-ED7E-4672-8064-6557141C89CC" style="width:450.75pt;height:320.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40"/>
          <w:pgMar w:top="1134" w:right="1417" w:bottom="1134" w:left="1417" w:header="709" w:footer="709" w:gutter="0"/>
          <w:pgNumType w:start="1"/>
          <w:cols w:space="720"/>
          <w:docGrid w:linePitch="299"/>
        </w:sectPr>
      </w:pPr>
    </w:p>
    <w:p>
      <w:pPr>
        <w:spacing w:after="0"/>
        <w:rPr>
          <w:rFonts w:ascii="Times New Roman" w:hAnsi="Times New Roman"/>
          <w:noProof/>
          <w:sz w:val="24"/>
          <w:szCs w:val="24"/>
        </w:rPr>
      </w:pPr>
      <w:bookmarkStart w:id="1" w:name="_GoBack"/>
      <w:bookmarkEnd w:id="1"/>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pPr>
            <w:pStyle w:val="TOCHeading"/>
            <w:rPr>
              <w:noProof/>
            </w:rPr>
          </w:pPr>
          <w:r>
            <w:rPr>
              <w:noProof/>
            </w:rPr>
            <w:t>Saturs</w:t>
          </w:r>
        </w:p>
        <w:p>
          <w:pPr>
            <w:rPr>
              <w:noProof/>
            </w:rPr>
          </w:pP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23857813" w:history="1">
            <w:r>
              <w:rPr>
                <w:rStyle w:val="Hyperlink"/>
                <w:noProof/>
              </w:rPr>
              <w:t>1.</w:t>
            </w:r>
            <w:r>
              <w:rPr>
                <w:rFonts w:asciiTheme="minorHAnsi" w:eastAsiaTheme="minorEastAsia" w:hAnsiTheme="minorHAnsi" w:cstheme="minorBidi"/>
                <w:noProof/>
                <w:sz w:val="22"/>
                <w:szCs w:val="22"/>
                <w:lang w:val="en-US"/>
              </w:rPr>
              <w:tab/>
            </w:r>
            <w:r>
              <w:rPr>
                <w:rStyle w:val="Hyperlink"/>
                <w:noProof/>
              </w:rPr>
              <w:t>ELGF 2019. gada budžeta procedūra</w:t>
            </w:r>
            <w:r>
              <w:rPr>
                <w:noProof/>
                <w:webHidden/>
              </w:rPr>
              <w:tab/>
            </w:r>
            <w:r>
              <w:rPr>
                <w:noProof/>
                <w:webHidden/>
              </w:rPr>
              <w:fldChar w:fldCharType="begin"/>
            </w:r>
            <w:r>
              <w:rPr>
                <w:noProof/>
                <w:webHidden/>
              </w:rPr>
              <w:instrText xml:space="preserve"> PAGEREF _Toc23857813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3857814" w:history="1">
            <w:r>
              <w:rPr>
                <w:rStyle w:val="Hyperlink"/>
                <w:noProof/>
              </w:rPr>
              <w:t>2.</w:t>
            </w:r>
            <w:r>
              <w:rPr>
                <w:rFonts w:asciiTheme="minorHAnsi" w:eastAsiaTheme="minorEastAsia" w:hAnsiTheme="minorHAnsi" w:cstheme="minorBidi"/>
                <w:noProof/>
                <w:sz w:val="22"/>
                <w:szCs w:val="22"/>
                <w:lang w:val="en-US"/>
              </w:rPr>
              <w:tab/>
            </w:r>
            <w:r>
              <w:rPr>
                <w:rStyle w:val="Hyperlink"/>
                <w:noProof/>
              </w:rPr>
              <w:t>ELGF piešķirtie ieņēmumi</w:t>
            </w:r>
            <w:r>
              <w:rPr>
                <w:noProof/>
                <w:webHidden/>
              </w:rPr>
              <w:tab/>
            </w:r>
            <w:r>
              <w:rPr>
                <w:noProof/>
                <w:webHidden/>
              </w:rPr>
              <w:fldChar w:fldCharType="begin"/>
            </w:r>
            <w:r>
              <w:rPr>
                <w:noProof/>
                <w:webHidden/>
              </w:rPr>
              <w:instrText xml:space="preserve"> PAGEREF _Toc23857814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3857815" w:history="1">
            <w:r>
              <w:rPr>
                <w:rStyle w:val="Hyperlink"/>
                <w:noProof/>
              </w:rPr>
              <w:t>3.</w:t>
            </w:r>
            <w:r>
              <w:rPr>
                <w:rFonts w:asciiTheme="minorHAnsi" w:eastAsiaTheme="minorEastAsia" w:hAnsiTheme="minorHAnsi" w:cstheme="minorBidi"/>
                <w:noProof/>
                <w:sz w:val="22"/>
                <w:szCs w:val="22"/>
                <w:lang w:val="en-US"/>
              </w:rPr>
              <w:tab/>
            </w:r>
            <w:r>
              <w:rPr>
                <w:rStyle w:val="Hyperlink"/>
                <w:noProof/>
              </w:rPr>
              <w:t>Piezīmes par ELGF 2019. gada budžeta provizorisko izpildi</w:t>
            </w:r>
            <w:r>
              <w:rPr>
                <w:noProof/>
                <w:webHidden/>
              </w:rPr>
              <w:tab/>
            </w:r>
            <w:r>
              <w:rPr>
                <w:noProof/>
                <w:webHidden/>
              </w:rPr>
              <w:fldChar w:fldCharType="begin"/>
            </w:r>
            <w:r>
              <w:rPr>
                <w:noProof/>
                <w:webHidden/>
              </w:rPr>
              <w:instrText xml:space="preserve"> PAGEREF _Toc23857815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US"/>
            </w:rPr>
          </w:pPr>
          <w:hyperlink w:anchor="_Toc23857816" w:history="1">
            <w:r>
              <w:rPr>
                <w:rStyle w:val="Hyperlink"/>
                <w:noProof/>
              </w:rPr>
              <w:t>3.1.</w:t>
            </w:r>
            <w:r>
              <w:rPr>
                <w:rFonts w:asciiTheme="minorHAnsi" w:eastAsiaTheme="minorEastAsia" w:hAnsiTheme="minorHAnsi" w:cstheme="minorBidi"/>
                <w:noProof/>
                <w:lang w:val="en-US"/>
              </w:rPr>
              <w:tab/>
            </w:r>
            <w:r>
              <w:rPr>
                <w:rStyle w:val="Hyperlink"/>
                <w:noProof/>
              </w:rPr>
              <w:t>Tirgus pasākumi</w:t>
            </w:r>
            <w:r>
              <w:rPr>
                <w:noProof/>
                <w:webHidden/>
              </w:rPr>
              <w:tab/>
            </w:r>
            <w:r>
              <w:rPr>
                <w:noProof/>
                <w:webHidden/>
              </w:rPr>
              <w:fldChar w:fldCharType="begin"/>
            </w:r>
            <w:r>
              <w:rPr>
                <w:noProof/>
                <w:webHidden/>
              </w:rPr>
              <w:instrText xml:space="preserve"> PAGEREF _Toc23857816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23857817" w:history="1">
            <w:r>
              <w:rPr>
                <w:rStyle w:val="Hyperlink"/>
                <w:noProof/>
              </w:rPr>
              <w:t>3.1.1.</w:t>
            </w:r>
            <w:r>
              <w:rPr>
                <w:rFonts w:asciiTheme="minorHAnsi" w:eastAsiaTheme="minorEastAsia" w:hAnsiTheme="minorHAnsi" w:cstheme="minorBidi"/>
                <w:noProof/>
                <w:lang w:val="en-US"/>
              </w:rPr>
              <w:tab/>
            </w:r>
            <w:r>
              <w:rPr>
                <w:rStyle w:val="Hyperlink"/>
                <w:noProof/>
              </w:rPr>
              <w:t>Olīveļļa</w:t>
            </w:r>
            <w:r>
              <w:rPr>
                <w:noProof/>
                <w:webHidden/>
              </w:rPr>
              <w:tab/>
            </w:r>
            <w:r>
              <w:rPr>
                <w:noProof/>
                <w:webHidden/>
              </w:rPr>
              <w:fldChar w:fldCharType="begin"/>
            </w:r>
            <w:r>
              <w:rPr>
                <w:noProof/>
                <w:webHidden/>
              </w:rPr>
              <w:instrText xml:space="preserve"> PAGEREF _Toc23857817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23857818" w:history="1">
            <w:r>
              <w:rPr>
                <w:rStyle w:val="Hyperlink"/>
                <w:noProof/>
              </w:rPr>
              <w:t>3.1.2.</w:t>
            </w:r>
            <w:r>
              <w:rPr>
                <w:rFonts w:asciiTheme="minorHAnsi" w:eastAsiaTheme="minorEastAsia" w:hAnsiTheme="minorHAnsi" w:cstheme="minorBidi"/>
                <w:noProof/>
                <w:lang w:val="en-US"/>
              </w:rPr>
              <w:tab/>
            </w:r>
            <w:r>
              <w:rPr>
                <w:rStyle w:val="Hyperlink"/>
                <w:noProof/>
              </w:rPr>
              <w:t>Augļi un dārzeņi</w:t>
            </w:r>
            <w:r>
              <w:rPr>
                <w:noProof/>
                <w:webHidden/>
              </w:rPr>
              <w:tab/>
            </w:r>
            <w:r>
              <w:rPr>
                <w:noProof/>
                <w:webHidden/>
              </w:rPr>
              <w:fldChar w:fldCharType="begin"/>
            </w:r>
            <w:r>
              <w:rPr>
                <w:noProof/>
                <w:webHidden/>
              </w:rPr>
              <w:instrText xml:space="preserve"> PAGEREF _Toc23857818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23857819" w:history="1">
            <w:r>
              <w:rPr>
                <w:rStyle w:val="Hyperlink"/>
                <w:noProof/>
              </w:rPr>
              <w:t>3.1.3.</w:t>
            </w:r>
            <w:r>
              <w:rPr>
                <w:rFonts w:asciiTheme="minorHAnsi" w:eastAsiaTheme="minorEastAsia" w:hAnsiTheme="minorHAnsi" w:cstheme="minorBidi"/>
                <w:noProof/>
                <w:lang w:val="en-US"/>
              </w:rPr>
              <w:tab/>
            </w:r>
            <w:r>
              <w:rPr>
                <w:rStyle w:val="Hyperlink"/>
                <w:noProof/>
              </w:rPr>
              <w:t>Vīnkopības nozares produkti</w:t>
            </w:r>
            <w:r>
              <w:rPr>
                <w:noProof/>
                <w:webHidden/>
              </w:rPr>
              <w:tab/>
            </w:r>
            <w:r>
              <w:rPr>
                <w:noProof/>
                <w:webHidden/>
              </w:rPr>
              <w:fldChar w:fldCharType="begin"/>
            </w:r>
            <w:r>
              <w:rPr>
                <w:noProof/>
                <w:webHidden/>
              </w:rPr>
              <w:instrText xml:space="preserve"> PAGEREF _Toc23857819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23857820" w:history="1">
            <w:r>
              <w:rPr>
                <w:rStyle w:val="Hyperlink"/>
                <w:noProof/>
              </w:rPr>
              <w:t>3.1.4.</w:t>
            </w:r>
            <w:r>
              <w:rPr>
                <w:rFonts w:asciiTheme="minorHAnsi" w:eastAsiaTheme="minorEastAsia" w:hAnsiTheme="minorHAnsi" w:cstheme="minorBidi"/>
                <w:noProof/>
                <w:lang w:val="en-US"/>
              </w:rPr>
              <w:tab/>
            </w:r>
            <w:r>
              <w:rPr>
                <w:rStyle w:val="Hyperlink"/>
                <w:noProof/>
              </w:rPr>
              <w:t>Piens un piena produkti</w:t>
            </w:r>
            <w:r>
              <w:rPr>
                <w:noProof/>
                <w:webHidden/>
              </w:rPr>
              <w:tab/>
            </w:r>
            <w:r>
              <w:rPr>
                <w:noProof/>
                <w:webHidden/>
              </w:rPr>
              <w:fldChar w:fldCharType="begin"/>
            </w:r>
            <w:r>
              <w:rPr>
                <w:noProof/>
                <w:webHidden/>
              </w:rPr>
              <w:instrText xml:space="preserve"> PAGEREF _Toc23857820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23857821" w:history="1">
            <w:r>
              <w:rPr>
                <w:rStyle w:val="Hyperlink"/>
                <w:noProof/>
              </w:rPr>
              <w:t>3.1.5.</w:t>
            </w:r>
            <w:r>
              <w:rPr>
                <w:rFonts w:asciiTheme="minorHAnsi" w:eastAsiaTheme="minorEastAsia" w:hAnsiTheme="minorHAnsi" w:cstheme="minorBidi"/>
                <w:noProof/>
                <w:lang w:val="en-US"/>
              </w:rPr>
              <w:tab/>
            </w:r>
            <w:r>
              <w:rPr>
                <w:rStyle w:val="Hyperlink"/>
                <w:noProof/>
              </w:rPr>
              <w:t>Skolu apgādes programmas</w:t>
            </w:r>
            <w:r>
              <w:rPr>
                <w:noProof/>
                <w:webHidden/>
              </w:rPr>
              <w:tab/>
            </w:r>
            <w:r>
              <w:rPr>
                <w:noProof/>
                <w:webHidden/>
              </w:rPr>
              <w:fldChar w:fldCharType="begin"/>
            </w:r>
            <w:r>
              <w:rPr>
                <w:noProof/>
                <w:webHidden/>
              </w:rPr>
              <w:instrText xml:space="preserve"> PAGEREF _Toc23857821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US"/>
            </w:rPr>
          </w:pPr>
          <w:hyperlink w:anchor="_Toc23857822" w:history="1">
            <w:r>
              <w:rPr>
                <w:rStyle w:val="Hyperlink"/>
                <w:noProof/>
              </w:rPr>
              <w:t>3.2.</w:t>
            </w:r>
            <w:r>
              <w:rPr>
                <w:rFonts w:asciiTheme="minorHAnsi" w:eastAsiaTheme="minorEastAsia" w:hAnsiTheme="minorHAnsi" w:cstheme="minorBidi"/>
                <w:noProof/>
                <w:lang w:val="en-US"/>
              </w:rPr>
              <w:tab/>
            </w:r>
            <w:r>
              <w:rPr>
                <w:rStyle w:val="Hyperlink"/>
                <w:noProof/>
              </w:rPr>
              <w:t>Tiešie maksājumi</w:t>
            </w:r>
            <w:r>
              <w:rPr>
                <w:noProof/>
                <w:webHidden/>
              </w:rPr>
              <w:tab/>
            </w:r>
            <w:r>
              <w:rPr>
                <w:noProof/>
                <w:webHidden/>
              </w:rPr>
              <w:fldChar w:fldCharType="begin"/>
            </w:r>
            <w:r>
              <w:rPr>
                <w:noProof/>
                <w:webHidden/>
              </w:rPr>
              <w:instrText xml:space="preserve"> PAGEREF _Toc23857822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23857823" w:history="1">
            <w:r>
              <w:rPr>
                <w:rStyle w:val="Hyperlink"/>
                <w:noProof/>
              </w:rPr>
              <w:t>3.2.1.</w:t>
            </w:r>
            <w:r>
              <w:rPr>
                <w:rFonts w:asciiTheme="minorHAnsi" w:eastAsiaTheme="minorEastAsia" w:hAnsiTheme="minorHAnsi" w:cstheme="minorBidi"/>
                <w:noProof/>
                <w:lang w:val="en-US"/>
              </w:rPr>
              <w:tab/>
            </w:r>
            <w:r>
              <w:rPr>
                <w:rStyle w:val="Hyperlink"/>
                <w:noProof/>
              </w:rPr>
              <w:t>Atsaistītie tiešie maksājumi</w:t>
            </w:r>
            <w:r>
              <w:rPr>
                <w:noProof/>
                <w:webHidden/>
              </w:rPr>
              <w:tab/>
            </w:r>
            <w:r>
              <w:rPr>
                <w:noProof/>
                <w:webHidden/>
              </w:rPr>
              <w:fldChar w:fldCharType="begin"/>
            </w:r>
            <w:r>
              <w:rPr>
                <w:noProof/>
                <w:webHidden/>
              </w:rPr>
              <w:instrText xml:space="preserve"> PAGEREF _Toc23857823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23857824" w:history="1">
            <w:r>
              <w:rPr>
                <w:rStyle w:val="Hyperlink"/>
                <w:noProof/>
              </w:rPr>
              <w:t>3.2.2.</w:t>
            </w:r>
            <w:r>
              <w:rPr>
                <w:rFonts w:asciiTheme="minorHAnsi" w:eastAsiaTheme="minorEastAsia" w:hAnsiTheme="minorHAnsi" w:cstheme="minorBidi"/>
                <w:noProof/>
                <w:lang w:val="en-US"/>
              </w:rPr>
              <w:tab/>
            </w:r>
            <w:r>
              <w:rPr>
                <w:rStyle w:val="Hyperlink"/>
                <w:noProof/>
              </w:rPr>
              <w:t>Citi tiešie maksājumi</w:t>
            </w:r>
            <w:r>
              <w:rPr>
                <w:noProof/>
                <w:webHidden/>
              </w:rPr>
              <w:tab/>
            </w:r>
            <w:r>
              <w:rPr>
                <w:noProof/>
                <w:webHidden/>
              </w:rPr>
              <w:fldChar w:fldCharType="begin"/>
            </w:r>
            <w:r>
              <w:rPr>
                <w:noProof/>
                <w:webHidden/>
              </w:rPr>
              <w:instrText xml:space="preserve"> PAGEREF _Toc23857824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3857825" w:history="1">
            <w:r>
              <w:rPr>
                <w:rStyle w:val="Hyperlink"/>
                <w:noProof/>
              </w:rPr>
              <w:t>4.</w:t>
            </w:r>
            <w:r>
              <w:rPr>
                <w:rFonts w:asciiTheme="minorHAnsi" w:eastAsiaTheme="minorEastAsia" w:hAnsiTheme="minorHAnsi" w:cstheme="minorBidi"/>
                <w:noProof/>
                <w:sz w:val="22"/>
                <w:szCs w:val="22"/>
                <w:lang w:val="en-US"/>
              </w:rPr>
              <w:tab/>
            </w:r>
            <w:r>
              <w:rPr>
                <w:rStyle w:val="Hyperlink"/>
                <w:noProof/>
              </w:rPr>
              <w:t>ELGF piešķirto ieņēmumu izpilde</w:t>
            </w:r>
            <w:r>
              <w:rPr>
                <w:noProof/>
                <w:webHidden/>
              </w:rPr>
              <w:tab/>
            </w:r>
            <w:r>
              <w:rPr>
                <w:noProof/>
                <w:webHidden/>
              </w:rPr>
              <w:fldChar w:fldCharType="begin"/>
            </w:r>
            <w:r>
              <w:rPr>
                <w:noProof/>
                <w:webHidden/>
              </w:rPr>
              <w:instrText xml:space="preserve"> PAGEREF _Toc23857825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3857826" w:history="1">
            <w:r>
              <w:rPr>
                <w:rStyle w:val="Hyperlink"/>
                <w:noProof/>
              </w:rPr>
              <w:t>5.</w:t>
            </w:r>
            <w:r>
              <w:rPr>
                <w:rFonts w:asciiTheme="minorHAnsi" w:eastAsiaTheme="minorEastAsia" w:hAnsiTheme="minorHAnsi" w:cstheme="minorBidi"/>
                <w:noProof/>
                <w:sz w:val="22"/>
                <w:szCs w:val="22"/>
                <w:lang w:val="en-US"/>
              </w:rPr>
              <w:tab/>
            </w:r>
            <w:r>
              <w:rPr>
                <w:rStyle w:val="Hyperlink"/>
                <w:noProof/>
              </w:rPr>
              <w:t>Secinājumi</w:t>
            </w:r>
            <w:r>
              <w:rPr>
                <w:noProof/>
                <w:webHidden/>
              </w:rPr>
              <w:tab/>
            </w:r>
            <w:r>
              <w:rPr>
                <w:noProof/>
                <w:webHidden/>
              </w:rPr>
              <w:fldChar w:fldCharType="begin"/>
            </w:r>
            <w:r>
              <w:rPr>
                <w:noProof/>
                <w:webHidden/>
              </w:rPr>
              <w:instrText xml:space="preserve"> PAGEREF _Toc23857826 \h </w:instrText>
            </w:r>
            <w:r>
              <w:rPr>
                <w:noProof/>
                <w:webHidden/>
              </w:rPr>
            </w:r>
            <w:r>
              <w:rPr>
                <w:noProof/>
                <w:webHidden/>
              </w:rPr>
              <w:fldChar w:fldCharType="separate"/>
            </w:r>
            <w:r>
              <w:rPr>
                <w:noProof/>
                <w:webHidden/>
              </w:rPr>
              <w:t>4</w:t>
            </w:r>
            <w:r>
              <w:rPr>
                <w:noProof/>
                <w:webHidden/>
              </w:rPr>
              <w:fldChar w:fldCharType="end"/>
            </w:r>
          </w:hyperlink>
        </w:p>
        <w:p>
          <w:pPr>
            <w:rPr>
              <w:noProof/>
            </w:rPr>
          </w:pPr>
          <w:r>
            <w:rPr>
              <w:b/>
              <w:bCs/>
              <w:noProof/>
            </w:rPr>
            <w:fldChar w:fldCharType="end"/>
          </w:r>
        </w:p>
      </w:sdtContent>
    </w:sdt>
    <w:p>
      <w:pPr>
        <w:spacing w:after="0"/>
        <w:rPr>
          <w:rFonts w:ascii="Times New Roman" w:hAnsi="Times New Roman"/>
          <w:noProof/>
          <w:sz w:val="24"/>
          <w:szCs w:val="24"/>
        </w:rPr>
      </w:pPr>
    </w:p>
    <w:tbl>
      <w:tblPr>
        <w:tblW w:w="0" w:type="auto"/>
        <w:tblLook w:val="01E0" w:firstRow="1" w:lastRow="1" w:firstColumn="1" w:lastColumn="1" w:noHBand="0" w:noVBand="0"/>
      </w:tblPr>
      <w:tblGrid>
        <w:gridCol w:w="1908"/>
        <w:gridCol w:w="7320"/>
      </w:tblGrid>
      <w:tr>
        <w:tc>
          <w:tcPr>
            <w:tcW w:w="1908" w:type="dxa"/>
            <w:hideMark/>
          </w:tcPr>
          <w:p>
            <w:pPr>
              <w:spacing w:before="120" w:after="120"/>
              <w:ind w:right="612"/>
              <w:rPr>
                <w:rFonts w:ascii="Times New Roman" w:hAnsi="Times New Roman"/>
                <w:smallCaps/>
                <w:noProof/>
              </w:rPr>
            </w:pPr>
            <w:r>
              <w:rPr>
                <w:rFonts w:ascii="Times New Roman" w:hAnsi="Times New Roman"/>
                <w:smallCaps/>
                <w:noProof/>
              </w:rPr>
              <w:t>Pielikums:</w:t>
            </w:r>
          </w:p>
          <w:p>
            <w:pPr>
              <w:spacing w:before="120" w:after="120"/>
              <w:ind w:right="612"/>
              <w:rPr>
                <w:rFonts w:ascii="Times New Roman" w:hAnsi="Times New Roman"/>
                <w:smallCaps/>
                <w:noProof/>
                <w:sz w:val="24"/>
                <w:szCs w:val="24"/>
              </w:rPr>
            </w:pPr>
          </w:p>
        </w:tc>
        <w:tc>
          <w:tcPr>
            <w:tcW w:w="7320" w:type="dxa"/>
            <w:hideMark/>
          </w:tcPr>
          <w:p>
            <w:pPr>
              <w:spacing w:before="120" w:after="120"/>
              <w:rPr>
                <w:rFonts w:ascii="Times New Roman" w:hAnsi="Times New Roman"/>
                <w:smallCaps/>
                <w:noProof/>
                <w:sz w:val="24"/>
                <w:szCs w:val="24"/>
              </w:rPr>
            </w:pPr>
            <w:r>
              <w:rPr>
                <w:rFonts w:ascii="Times New Roman" w:hAnsi="Times New Roman"/>
                <w:smallCaps/>
                <w:noProof/>
              </w:rPr>
              <w:t>ELGF apropriāciju provizoriskais izlietojums līdz 31.8.2019.</w:t>
            </w:r>
          </w:p>
        </w:tc>
      </w:tr>
    </w:tbl>
    <w:p>
      <w:pPr>
        <w:spacing w:after="0"/>
        <w:rPr>
          <w:noProof/>
        </w:rPr>
      </w:pPr>
    </w:p>
    <w:p>
      <w:pPr>
        <w:spacing w:after="0"/>
        <w:rPr>
          <w:noProof/>
        </w:rPr>
        <w:sectPr>
          <w:headerReference w:type="even" r:id="rId16"/>
          <w:headerReference w:type="default" r:id="rId17"/>
          <w:footerReference w:type="even" r:id="rId18"/>
          <w:footerReference w:type="default" r:id="rId19"/>
          <w:headerReference w:type="first" r:id="rId20"/>
          <w:footerReference w:type="first" r:id="rId21"/>
          <w:pgSz w:w="11907" w:h="16840"/>
          <w:pgMar w:top="1134" w:right="1418" w:bottom="1134" w:left="1440" w:header="595" w:footer="567" w:gutter="0"/>
          <w:pgNumType w:start="1"/>
          <w:cols w:space="720"/>
        </w:sectPr>
      </w:pPr>
    </w:p>
    <w:p>
      <w:pPr>
        <w:pStyle w:val="Heading1"/>
        <w:numPr>
          <w:ilvl w:val="0"/>
          <w:numId w:val="4"/>
        </w:numPr>
        <w:rPr>
          <w:noProof/>
        </w:rPr>
      </w:pPr>
      <w:bookmarkStart w:id="2" w:name="_Toc23857813"/>
      <w:r>
        <w:rPr>
          <w:noProof/>
        </w:rPr>
        <w:t>ELGF 2019. gada budžeta procedūra</w:t>
      </w:r>
      <w:bookmarkEnd w:id="2"/>
    </w:p>
    <w:p>
      <w:pPr>
        <w:pStyle w:val="Text1"/>
        <w:rPr>
          <w:noProof/>
        </w:rPr>
      </w:pPr>
      <w:r>
        <w:rPr>
          <w:noProof/>
        </w:rPr>
        <w:t>2018. gada 12. decembrī Eiropas Parlaments pieņēma Eiropas Savienības 2019. gada vispārējo budžetu. Eiropas Lauksaimniecības garantiju fonda (ELGF) vajadzībām budžetā tika iekļautas tiešajiem maksājumiem un ar tirgu saistītiem izdevumiem paredzētas saistību apropriācijas 43 192 milj. EUR apmērā un maksājumu apropriācijas 43 116 milj. EUR apmērā.</w:t>
      </w:r>
    </w:p>
    <w:p>
      <w:pPr>
        <w:pStyle w:val="Text1"/>
        <w:rPr>
          <w:noProof/>
        </w:rPr>
      </w:pPr>
      <w:r>
        <w:rPr>
          <w:noProof/>
        </w:rPr>
        <w:t>Abu veidu apropriāciju summas atšķiras tāpēc, ka dažiem Komisijas tieši īstenotiem pasākumiem tiek izmantotas diferencētas apropriācijas. Tās saistītas galvenokārt ar lauksaimniecības produktu noieta veicināšanas pasākumiem un politikas stratēģijas un koordinācijas pasākumiem.</w:t>
      </w:r>
    </w:p>
    <w:p>
      <w:pPr>
        <w:pStyle w:val="Heading1"/>
        <w:rPr>
          <w:noProof/>
        </w:rPr>
      </w:pPr>
      <w:bookmarkStart w:id="3" w:name="_Toc23857814"/>
      <w:r>
        <w:rPr>
          <w:noProof/>
        </w:rPr>
        <w:t>ELGF piešķirtie ieņēmumi</w:t>
      </w:r>
      <w:bookmarkEnd w:id="3"/>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Uz Regulas (ES) Nr. 1306/2013 43. panta noteikumu pamata ieņēmumi, kas gūti no grāmatojumu finansiālās noskaidrošanas lēmumos un atbilstības noskaidrošanas lēmumos noteiktajām finanšu korekcijām un no pārkāpumiem, ir ELGF izdevumu finansēšanai piešķirtie ieņēmumi.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Šie noteikumi paredz, ka piešķirtie ieņēmumi var segt jebkādu ELGF izdevumu finansēšanas vajadzības. Jebkāda šo ieņēmumu daļa, kas budžeta gadā paliek neizmantota, tiek automātiski pārnesta uz nākamo budžeta gadu</w:t>
      </w:r>
      <w:r>
        <w:rPr>
          <w:rFonts w:ascii="Times New Roman" w:eastAsia="Times New Roman" w:hAnsi="Times New Roman"/>
          <w:noProof/>
          <w:vertAlign w:val="superscript"/>
        </w:rPr>
        <w:footnoteReference w:id="1"/>
      </w:r>
      <w:r>
        <w:rPr>
          <w:rFonts w:ascii="Times New Roman" w:hAnsi="Times New Roman"/>
          <w:noProof/>
        </w:rPr>
        <w:t>.</w:t>
      </w:r>
    </w:p>
    <w:p>
      <w:pPr>
        <w:spacing w:before="120" w:after="0" w:line="240" w:lineRule="auto"/>
        <w:ind w:left="851"/>
        <w:jc w:val="both"/>
        <w:rPr>
          <w:rFonts w:ascii="Times New Roman" w:eastAsia="Times New Roman" w:hAnsi="Times New Roman"/>
          <w:noProof/>
          <w:sz w:val="24"/>
          <w:szCs w:val="24"/>
        </w:rPr>
      </w:pPr>
      <w:r>
        <w:rPr>
          <w:rFonts w:ascii="Times New Roman" w:hAnsi="Times New Roman"/>
          <w:noProof/>
        </w:rPr>
        <w:t>ELGF 2019. gada budžetā ietilpst:</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Komisijas jaunākās aplēses par tirgus pasākumu un tiešo maksājumu finansēšanas vajadzībām,</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aplēses par piešķirtajiem ieņēmumiem, kas jāiekasē attiecīgā budžeta gada laikā,</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un pārnestais piešķirto ieņēmumu atlikums, kas pieejams no iepriekšējā budžeta gada.</w:t>
      </w:r>
    </w:p>
    <w:p>
      <w:pPr>
        <w:spacing w:before="120" w:after="0" w:line="240" w:lineRule="auto"/>
        <w:ind w:left="850"/>
        <w:jc w:val="both"/>
        <w:rPr>
          <w:rFonts w:ascii="Times New Roman" w:eastAsia="Times New Roman" w:hAnsi="Times New Roman"/>
          <w:noProof/>
          <w:sz w:val="24"/>
          <w:szCs w:val="24"/>
        </w:rPr>
      </w:pPr>
      <w:r>
        <w:rPr>
          <w:rFonts w:ascii="Times New Roman" w:hAnsi="Times New Roman"/>
          <w:noProof/>
        </w:rPr>
        <w:t xml:space="preserve">Priekšlikumā par ELGF 2019. gada budžeta apropriācijām Komisija ņēma vērā paredzamos kopējos piešķirtos ieņēmumus un 2019. gada budžetam pieprasīja apropriācijas tādā apmērā, kas aprēķināts, no aplēstajām vajadzībām atņemot aplēstos piešķirtos ieņēmumus. Budžeta lēmējinstitūcija ELGF budžetu pieņēma, ņemot vērā gaidāmos piešķirtos ieņēmumus.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2019. gada budžeta sagatavošanas laikā Komisija pieejamo piešķirto ieņēmumu kopsummu aplēsa 1078 milj. EUR apmērā, un to veido: </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rPr>
        <w:t>piešķirtie ieņēmumi, ko plānots gūt 2019. budžeta gadā un kas aplēsti 634 milj. EUR apmērā (499 milj. EUR no atbilstības noskaidrošanas rezultātā veiktajām korekcijām un 135 milj. EUR no pārkāpumiem),</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rPr>
        <w:t>no 2018. gada pārnesamie piešķirtie ieņēmumi, kas aplēsti 444 milj. EUR apmērā.</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Šos aplēstos ieņēmumus 1078 milj. EUR apmērā Komisija atvēlēja šādām shēmām: </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rPr>
        <w:t>140 milj. EUR augļu un dārzeņu nozares ražotāju organizāciju darbības fondiem un</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938 milj. EUR pamata maksājuma shēmai.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Nobalsoto apropriāciju un piešķirto ieņēmumu summa šīm shēmām ir šāda:</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rPr>
        <w:t>849 milj. EUR augļu un dārzeņu nozares ražotāju organizāciju darbības fondiem un</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rPr>
        <w:t>17 149 milj. EUR pamata maksājuma shēmai.</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Pielikumā, kurā apkopota 2019. gada budžeta provizoriskā izpilde, budžeta apropriācijās, kas pantu līmenī norādītas augļu un dārzeņu nozarei un atsaistītajiem tiešajiem maksājumiem, iepriekš minētie piešķirtie ieņēmumi nav ņemti vērā. Tās ir šiem pantiem nobalsotās apropriācijas attiecīgi 715 milj. EUR un 34 388 milj. EUR apmērā.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Pieskaitot šiem pantiem piešķirtos ieņēmumus, 2019. gada budžetā paredzētā kopsumma augļu un dārzeņu nozarei ir 855 milj. EUR, bet atsaistītajiem tiešajiem maksājumiem 35 326 milj. EUR. </w:t>
      </w:r>
    </w:p>
    <w:p>
      <w:pPr>
        <w:pStyle w:val="Heading1"/>
        <w:rPr>
          <w:noProof/>
        </w:rPr>
      </w:pPr>
      <w:bookmarkStart w:id="4" w:name="_Toc23857815"/>
      <w:r>
        <w:rPr>
          <w:noProof/>
        </w:rPr>
        <w:t>Piezīmes par ELGF 2019. gada budžeta provizorisko izpildi</w:t>
      </w:r>
      <w:bookmarkEnd w:id="4"/>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Šā ziņojuma pielikumā ir izklāstīta budžeta provizoriskā izpilde laikā no 2018. gada 16. oktobra līdz 2019. gada 31. augustam. Izpildes līmenis ir salīdzināts ar izdevumu profilu, kas prognozēts agrīnās brīdināšanas sistēmā, kura izveidota saskaņā ar Regulas (ES) Nr. 1306/2013 28. pantu.</w:t>
      </w:r>
    </w:p>
    <w:p>
      <w:pPr>
        <w:spacing w:before="120" w:after="120" w:line="240" w:lineRule="auto"/>
        <w:ind w:left="850"/>
        <w:jc w:val="both"/>
        <w:rPr>
          <w:rFonts w:ascii="Times New Roman" w:eastAsia="Times New Roman" w:hAnsi="Times New Roman"/>
          <w:noProof/>
          <w:sz w:val="24"/>
          <w:szCs w:val="24"/>
        </w:rPr>
      </w:pPr>
    </w:p>
    <w:p>
      <w:pPr>
        <w:pStyle w:val="Heading2"/>
        <w:rPr>
          <w:noProof/>
        </w:rPr>
      </w:pPr>
      <w:bookmarkStart w:id="5" w:name="_Toc23857816"/>
      <w:r>
        <w:rPr>
          <w:noProof/>
        </w:rPr>
        <w:t>Tirgus pasākumi</w:t>
      </w:r>
      <w:bookmarkEnd w:id="5"/>
    </w:p>
    <w:p>
      <w:pPr>
        <w:pStyle w:val="Text1"/>
        <w:rPr>
          <w:noProof/>
        </w:rPr>
      </w:pPr>
      <w:r>
        <w:rPr>
          <w:noProof/>
        </w:rPr>
        <w:t>Olīveļļas, vīna un piena nozarei un skolu apgādes programmām atvēlēto apropriāciju izlietojums bijis mazāks, nekā gaidīts. Savukārt augļu un dārzeņu nozarē budžeta izpilde ir pārsniegusi izdevumu profilā prognozēto līmeni.</w:t>
      </w:r>
    </w:p>
    <w:p>
      <w:pPr>
        <w:pStyle w:val="Heading3"/>
        <w:rPr>
          <w:noProof/>
        </w:rPr>
      </w:pPr>
      <w:bookmarkStart w:id="6" w:name="_Toc23857817"/>
      <w:r>
        <w:rPr>
          <w:noProof/>
        </w:rPr>
        <w:t>Olīveļļa</w:t>
      </w:r>
      <w:bookmarkEnd w:id="6"/>
    </w:p>
    <w:p>
      <w:pPr>
        <w:pStyle w:val="Text1"/>
        <w:rPr>
          <w:noProof/>
        </w:rPr>
      </w:pPr>
      <w:r>
        <w:rPr>
          <w:noProof/>
        </w:rPr>
        <w:t>Izdevumi par kvalitātes uzlabošanas programmām ir par 10 milj. EUR mazāki, nekā augusta beigās bija gaidāms saskaņā ar izdevumu profilu. Paredzams, ka budžetā plānotā summa līdz budžeta gada beigām tiks apgūta.</w:t>
      </w:r>
    </w:p>
    <w:p>
      <w:pPr>
        <w:pStyle w:val="Heading3"/>
        <w:rPr>
          <w:noProof/>
        </w:rPr>
      </w:pPr>
      <w:bookmarkStart w:id="7" w:name="_Toc23857818"/>
      <w:r>
        <w:rPr>
          <w:noProof/>
        </w:rPr>
        <w:t>Augļi un dārzeņi</w:t>
      </w:r>
      <w:bookmarkEnd w:id="7"/>
    </w:p>
    <w:p>
      <w:pPr>
        <w:pStyle w:val="Text1"/>
        <w:rPr>
          <w:noProof/>
        </w:rPr>
      </w:pPr>
      <w:r>
        <w:rPr>
          <w:noProof/>
        </w:rPr>
        <w:t xml:space="preserve">Šajā nozarē deklarētie izdevumi par nepilniem 64 milj. EUR apsteidz profilu. Tomēr patlaban tiek uzskatīts, ka budžetā paredzētā kopsumma būs pietiekama, lai segtu visas vajadzības. </w:t>
      </w:r>
    </w:p>
    <w:p>
      <w:pPr>
        <w:pStyle w:val="Heading3"/>
        <w:rPr>
          <w:noProof/>
        </w:rPr>
      </w:pPr>
      <w:bookmarkStart w:id="8" w:name="_Toc23857819"/>
      <w:r>
        <w:rPr>
          <w:noProof/>
        </w:rPr>
        <w:t>Vīnkopības nozares produkti</w:t>
      </w:r>
      <w:bookmarkEnd w:id="8"/>
    </w:p>
    <w:p>
      <w:pPr>
        <w:pStyle w:val="Text1"/>
        <w:rPr>
          <w:noProof/>
        </w:rPr>
      </w:pPr>
      <w:r>
        <w:rPr>
          <w:noProof/>
        </w:rPr>
        <w:t>Šajā budžeta pantā līdz šim deklarētie izdevumi ir par 49 milj. EUR mazāki par izdevumu profilu. Nelielo novirzi uzskata par īslaicīgu, un ir paredzams, ka budžetā plānotā summa līdz gada beigām tiks apgūta.</w:t>
      </w:r>
    </w:p>
    <w:p>
      <w:pPr>
        <w:pStyle w:val="Heading3"/>
        <w:rPr>
          <w:noProof/>
        </w:rPr>
      </w:pPr>
      <w:bookmarkStart w:id="9" w:name="_Toc23857820"/>
      <w:r>
        <w:rPr>
          <w:noProof/>
        </w:rPr>
        <w:t>Piens un piena produkti</w:t>
      </w:r>
      <w:bookmarkEnd w:id="9"/>
      <w:r>
        <w:rPr>
          <w:noProof/>
        </w:rPr>
        <w:t xml:space="preserve"> </w:t>
      </w:r>
    </w:p>
    <w:p>
      <w:pPr>
        <w:pStyle w:val="Text1"/>
        <w:rPr>
          <w:noProof/>
        </w:rPr>
      </w:pPr>
      <w:r>
        <w:rPr>
          <w:noProof/>
        </w:rPr>
        <w:t>Novirze no izdevumu profila (–67 milj. EUR) ir izskaidrojama ar dalībvalstu deklarēto peļņu (salīdzinājumā ar uzskaites vērtību) no vājpiena pulvera pārdošanas. Vājpiena pulvera intervences krājumu vērtības samazinājums gada beigās tika iegrāmatots 2018. finanšu gadā, lai krājumu vērtību pielāgotu tobrīd paredzamajai pārdošanas cenai. Kopš tā laika cenas tirgū ir nemitīgi augušas. Tāpēc vājpiena pulveris ticis pārdots par augstāku cenu nekā uzskaites vērtība, un tā rezultātā radusies dalībvalstu deklarētā peļņa.</w:t>
      </w:r>
    </w:p>
    <w:p>
      <w:pPr>
        <w:pStyle w:val="Heading3"/>
        <w:rPr>
          <w:noProof/>
        </w:rPr>
      </w:pPr>
      <w:bookmarkStart w:id="10" w:name="_Toc23857821"/>
      <w:r>
        <w:rPr>
          <w:noProof/>
        </w:rPr>
        <w:t>Skolu apgādes programmas</w:t>
      </w:r>
      <w:bookmarkEnd w:id="10"/>
    </w:p>
    <w:p>
      <w:pPr>
        <w:pStyle w:val="Text1"/>
        <w:rPr>
          <w:noProof/>
        </w:rPr>
      </w:pPr>
      <w:r>
        <w:rPr>
          <w:noProof/>
        </w:rPr>
        <w:t>Novirze no profila (–19 milj. EUR) tiek uzskatīta par īslaicīgu, un ir paredzams, ka budžetā plānotā summa, gada beigām tuvojoties, būs apgūta.</w:t>
      </w:r>
    </w:p>
    <w:p>
      <w:pPr>
        <w:pStyle w:val="Text1"/>
        <w:rPr>
          <w:noProof/>
        </w:rPr>
      </w:pPr>
    </w:p>
    <w:p>
      <w:pPr>
        <w:pStyle w:val="Heading2"/>
        <w:rPr>
          <w:noProof/>
        </w:rPr>
      </w:pPr>
      <w:bookmarkStart w:id="11" w:name="_Toc23857822"/>
      <w:r>
        <w:rPr>
          <w:noProof/>
        </w:rPr>
        <w:t>Tiešie maksājumi</w:t>
      </w:r>
      <w:bookmarkEnd w:id="11"/>
      <w:r>
        <w:rPr>
          <w:noProof/>
        </w:rPr>
        <w:t xml:space="preserve">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Tiešajiem maksājumiem paredzēto apropriāciju izlietojums ir nedaudz lielāks par prognozēto.</w:t>
      </w:r>
    </w:p>
    <w:p>
      <w:pPr>
        <w:pStyle w:val="Heading3"/>
        <w:rPr>
          <w:noProof/>
        </w:rPr>
      </w:pPr>
      <w:bookmarkStart w:id="12" w:name="_Toc23857823"/>
      <w:r>
        <w:rPr>
          <w:noProof/>
        </w:rPr>
        <w:t>Atsaistītie tiešie maksājumi</w:t>
      </w:r>
      <w:bookmarkEnd w:id="12"/>
    </w:p>
    <w:p>
      <w:pPr>
        <w:pStyle w:val="Text1"/>
        <w:rPr>
          <w:noProof/>
        </w:rPr>
      </w:pPr>
      <w:r>
        <w:rPr>
          <w:noProof/>
        </w:rPr>
        <w:t xml:space="preserve">Deklarētie izdevumi par 926 milj. EUR pārsniedz profilu. Tomēr, ņemot vērā piešķirtos ieņēmumus, kas saskaņā ar aplēsēm pieejamas šā panta vajadzībām, t. i., 938 milj. EUR, izpildes gaita pilnībā atbilst tās vēsturiskajam profilam. Tāpēc apropriāciju trūkums, uz ko norāda profils, kurā nav ņemti vērā piešķirtie ieņēmumi, patiesībā nepastāv. </w:t>
      </w:r>
    </w:p>
    <w:p>
      <w:pPr>
        <w:pStyle w:val="Heading3"/>
        <w:rPr>
          <w:noProof/>
        </w:rPr>
      </w:pPr>
      <w:bookmarkStart w:id="13" w:name="_Toc23857824"/>
      <w:r>
        <w:rPr>
          <w:noProof/>
        </w:rPr>
        <w:t>Citi tiešie maksājumi</w:t>
      </w:r>
      <w:bookmarkEnd w:id="13"/>
    </w:p>
    <w:p>
      <w:pPr>
        <w:pStyle w:val="Text1"/>
        <w:rPr>
          <w:noProof/>
        </w:rPr>
      </w:pPr>
      <w:r>
        <w:rPr>
          <w:noProof/>
        </w:rPr>
        <w:t>Šajā budžeta pantā deklarētie izdevumi nedaudz – par 115 milj. EUR – atpaliek no profila. Tomēr paredzams, ka budžetā plānotā summa, gada beigām tuvojoties, būs apgūta.</w:t>
      </w:r>
    </w:p>
    <w:p>
      <w:pPr>
        <w:pStyle w:val="Text1"/>
        <w:rPr>
          <w:noProof/>
        </w:rPr>
      </w:pPr>
    </w:p>
    <w:p>
      <w:pPr>
        <w:pStyle w:val="Heading1"/>
        <w:rPr>
          <w:noProof/>
        </w:rPr>
      </w:pPr>
      <w:bookmarkStart w:id="14" w:name="_Toc23857825"/>
      <w:r>
        <w:rPr>
          <w:noProof/>
        </w:rPr>
        <w:t>ELGF piešķirto ieņēmumu izpilde</w:t>
      </w:r>
      <w:bookmarkEnd w:id="14"/>
    </w:p>
    <w:p>
      <w:pPr>
        <w:spacing w:before="90" w:after="120" w:line="240" w:lineRule="auto"/>
        <w:ind w:left="851"/>
        <w:jc w:val="both"/>
        <w:rPr>
          <w:rFonts w:ascii="Times New Roman" w:eastAsia="Times New Roman" w:hAnsi="Times New Roman"/>
          <w:noProof/>
          <w:sz w:val="24"/>
          <w:szCs w:val="24"/>
        </w:rPr>
      </w:pPr>
      <w:r>
        <w:rPr>
          <w:rFonts w:ascii="Times New Roman" w:hAnsi="Times New Roman"/>
          <w:noProof/>
        </w:rPr>
        <w:t>Pielikuma tabulā redzams, ka 2019. gada augusta beigās bija iekasēti piešķirtie ieņēmumi 634,2 milj. EUR apmērā, kas ir par 0,2 milj. EUR vairāk, nekā tika paredzēts 2019. gada budžeta pieņemšanas laikā. Šos ieņēmumus veido:</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ieņēmumi no korekcijām, kas pamatojas uz grāmatojumu finansiālās noskaidrošanas un atbilstības noskaidrošanas lēmumiem, 494,4 milj. EUR apmērā,</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 xml:space="preserve">ieņēmumi, kas izriet no pārkāpumiem, 137,9 milj. EUR apmērā un </w:t>
      </w:r>
    </w:p>
    <w:p>
      <w:pPr>
        <w:numPr>
          <w:ilvl w:val="0"/>
          <w:numId w:val="12"/>
        </w:numPr>
        <w:spacing w:before="120" w:after="120" w:line="240" w:lineRule="auto"/>
        <w:ind w:left="1208" w:hanging="357"/>
        <w:jc w:val="both"/>
        <w:rPr>
          <w:rFonts w:ascii="Times New Roman" w:eastAsia="Times New Roman" w:hAnsi="Times New Roman"/>
          <w:noProof/>
          <w:sz w:val="24"/>
          <w:szCs w:val="24"/>
        </w:rPr>
      </w:pPr>
      <w:r>
        <w:rPr>
          <w:rFonts w:ascii="Times New Roman" w:hAnsi="Times New Roman"/>
          <w:noProof/>
        </w:rPr>
        <w:t>daži atlikušie ieņēmumi no piena nodevas 1,9 milj. EUR apmērā.</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Kopā ar ieņēmumiem 448,8 milj. EUR apmērā, kas pārnesti no iepriekšējā gada, pieejamo piešķirto ieņēmumu kopsumma 2019. gada 31. augustā bija sasniegusi 1083,0 milj. EUR. Paredzams, ka budžeta gada laikā tiks iekasētas papildu summas.</w:t>
      </w:r>
    </w:p>
    <w:p>
      <w:pPr>
        <w:pStyle w:val="Heading1"/>
        <w:rPr>
          <w:noProof/>
        </w:rPr>
      </w:pPr>
      <w:bookmarkStart w:id="15" w:name="_Toc23857826"/>
      <w:r>
        <w:rPr>
          <w:noProof/>
        </w:rPr>
        <w:t>Secinājumi</w:t>
      </w:r>
      <w:bookmarkEnd w:id="15"/>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ELGF 2019. gada budžeta apropriāciju provizoriskais izlietojums laikā līdz 2019. gada 31. augustam liecina, ka ikmēneša atlīdzinājumi dalībvalstīm ir par aptuveni 680 milj. EUR lielāki nekā aprēķinātais izlietojuma profils.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Jau ir pieejami piešķirtie ieņēmumi 1083 milj. EUR apmērā, un paredzams, ka budžeta gada laikā tiks iekasēti papildu ieņēmumi. </w:t>
      </w:r>
    </w:p>
    <w:p>
      <w:pPr>
        <w:spacing w:before="120" w:after="120" w:line="240" w:lineRule="auto"/>
        <w:ind w:left="850"/>
        <w:jc w:val="both"/>
        <w:rPr>
          <w:noProof/>
        </w:rPr>
      </w:pPr>
      <w:r>
        <w:rPr>
          <w:rFonts w:ascii="Times New Roman" w:hAnsi="Times New Roman"/>
          <w:noProof/>
        </w:rPr>
        <w:t>Patlaban Komisija prognozē, ka nobalsotās apropriācijas un piešķirtie ieņēmumi, kas būs pieejami līdz budžeta gada beigām, būs pietiekami, lai segtu visus izdevumus. Tāpēc 2020. gada budžeta projekta Grozījumu vēstulē Nr. 1 Komisija ir aplēsusi, ka pārnešanai no 2019. gada budžeta uz 2020. gada budžetu būs pieejami piešķirtie ieņēmumi 280 milj. EUR apmērā.</w:t>
      </w:r>
    </w:p>
    <w:sectPr>
      <w:headerReference w:type="even" r:id="rId22"/>
      <w:headerReference w:type="default" r:id="rId23"/>
      <w:footerReference w:type="even" r:id="rId24"/>
      <w:footerReference w:type="default" r:id="rId25"/>
      <w:headerReference w:type="first" r:id="rId26"/>
      <w:footerReference w:type="first" r:id="rId27"/>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0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ind w:left="851" w:hanging="851"/>
        <w:jc w:val="both"/>
        <w:rPr>
          <w:rFonts w:ascii="Times New Roman" w:hAnsi="Times New Roman"/>
        </w:rPr>
      </w:pPr>
      <w:r>
        <w:rPr>
          <w:rStyle w:val="FootnoteReference"/>
          <w:rFonts w:ascii="Times New Roman" w:hAnsi="Times New Roman"/>
        </w:rPr>
        <w:footnoteRef/>
      </w:r>
      <w:r>
        <w:rPr>
          <w:rFonts w:ascii="Times New Roman" w:hAnsi="Times New Roman"/>
        </w:rPr>
        <w:tab/>
        <w:t>Eiropas Parlamenta un Padomes Regula (ES, Euratom) 2018/1046 par finanšu noteikumiem, ko piemēro Savienības vispārējam budžetam, proti, tās 12. panta 4. punkta b) apakšpunkts, nosaka, ka apropriācijas, kas atbilst iekšējiem piešķirtajiem ieņēmumiem, drīkst pārnest vienīgi uz nākamo finanšu gadu.</w:t>
      </w:r>
      <w:r>
        <w:t xml:space="preserve"> </w:t>
      </w:r>
      <w:r>
        <w:rPr>
          <w:rFonts w:ascii="Times New Roman" w:hAnsi="Times New Roman"/>
        </w:rPr>
        <w:t xml:space="preserve">Tāpēc pareizas budžeta pārvaldības labad šie piešķirtie ieņēmumi parasti tiek izmantoti pirms attiecīgajam budžeta pantam nobalsotajām apropriācijām.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nsid w:val="64A12FA4"/>
    <w:multiLevelType w:val="multilevel"/>
    <w:tmpl w:val="3BE63518"/>
    <w:lvl w:ilvl="0">
      <w:start w:val="1"/>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revisionView w:markup="0"/>
  <w:defaultTabStop w:val="720"/>
  <w:hyphenationZone w:val="425"/>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4615718-ED7E-4672-8064-6557141C89CC"/>
    <w:docVar w:name="LW_COVERPAGE_TYPE" w:val="1"/>
    <w:docVar w:name="LW_CROSSREFERENCE" w:val="&lt;UNUSED&gt;"/>
    <w:docVar w:name="LW_DocType" w:val="NORMAL"/>
    <w:docVar w:name="LW_EMISSION" w:val="19.12.2019"/>
    <w:docVar w:name="LW_EMISSION_ISODATE" w:val="2019-12-19"/>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6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par ELGF izdevumiem_x000d__x000d__x000d__x000d__x000d__x000d__x000d__x000d__x000d__x000d__x000d__x000d__x000d__x000d__x000d__x000d__x000d__x000d__x000d__x000b__x000d__x000d__x000d__x000d__x000d__x000d__x000d__x000d__x000d__x000d__x000d__x000d__x000d__x000d__x000d__x000d__x000d__x000d__x000d__x000b_Agr\u299?n\u257?s br\u299?din\u257?\u353?anas sist\u275?ma, Nr. 7-10/2019"/>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F447-E6F5-4816-BC21-F4D39E44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1198</Words>
  <Characters>7470</Characters>
  <Application>Microsoft Office Word</Application>
  <DocSecurity>0</DocSecurity>
  <Lines>166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15</cp:revision>
  <cp:lastPrinted>2019-10-18T14:35:00Z</cp:lastPrinted>
  <dcterms:created xsi:type="dcterms:W3CDTF">2019-10-18T14:46:00Z</dcterms:created>
  <dcterms:modified xsi:type="dcterms:W3CDTF">2019-12-20T08:44:00Z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7.0, Build 20190717</vt:lpwstr>
  </property>
  <property fmtid="{D5CDD505-2E9C-101B-9397-08002B2CF9AE}" pid="8" name="Created using">
    <vt:lpwstr>LW 6.0.1, Build 20180503</vt:lpwstr>
  </property>
  <property fmtid="{D5CDD505-2E9C-101B-9397-08002B2CF9AE}" pid="9" name="CPTemplateID">
    <vt:lpwstr>CP-006</vt:lpwstr>
  </property>
</Properties>
</file>