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alt="3C689504-7F35-4522-AF1B-65A8D419B201" style="width:450.6pt;height:334.2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1417" w:bottom="1134" w:left="1417" w:header="709" w:footer="709" w:gutter="0"/>
          <w:pgNumType w:start="1"/>
          <w:cols w:space="720"/>
          <w:docGrid w:linePitch="299"/>
        </w:sectPr>
      </w:pPr>
    </w:p>
    <w:p>
      <w:pPr>
        <w:spacing w:after="0"/>
        <w:rPr>
          <w:rFonts w:ascii="Times New Roman" w:hAnsi="Times New Roman"/>
          <w:noProof/>
          <w:sz w:val="24"/>
          <w:szCs w:val="24"/>
        </w:rPr>
      </w:pPr>
      <w:bookmarkStart w:id="1" w:name="_GoBack"/>
      <w:bookmarkEnd w:id="1"/>
    </w:p>
    <w:p>
      <w:pPr>
        <w:spacing w:after="0"/>
        <w:rPr>
          <w:rFonts w:ascii="Times New Roman" w:hAnsi="Times New Roman"/>
          <w:noProof/>
          <w:sz w:val="24"/>
          <w:szCs w:val="24"/>
        </w:rPr>
      </w:pPr>
    </w:p>
    <w:p>
      <w:pPr>
        <w:spacing w:after="0"/>
        <w:rPr>
          <w:rFonts w:ascii="Times New Roman" w:hAnsi="Times New Roman"/>
          <w:noProof/>
          <w:sz w:val="24"/>
          <w:szCs w:val="24"/>
        </w:rPr>
      </w:pPr>
    </w:p>
    <w:p>
      <w:pPr>
        <w:spacing w:after="0"/>
        <w:rPr>
          <w:rFonts w:ascii="Times New Roman" w:hAnsi="Times New Roman"/>
          <w:noProof/>
          <w:sz w:val="24"/>
          <w:szCs w:val="24"/>
        </w:rPr>
      </w:pPr>
    </w:p>
    <w:p>
      <w:pPr>
        <w:spacing w:after="0"/>
        <w:rPr>
          <w:rFonts w:ascii="Times New Roman" w:hAnsi="Times New Roman"/>
          <w:noProof/>
          <w:sz w:val="24"/>
          <w:szCs w:val="24"/>
        </w:rPr>
      </w:pPr>
    </w:p>
    <w:p>
      <w:pPr>
        <w:spacing w:after="0"/>
        <w:rPr>
          <w:rFonts w:ascii="Times New Roman" w:hAnsi="Times New Roman"/>
          <w:noProof/>
          <w:sz w:val="24"/>
          <w:szCs w:val="24"/>
        </w:rPr>
      </w:pPr>
    </w:p>
    <w:sdt>
      <w:sdtPr>
        <w:rPr>
          <w:rFonts w:ascii="Calibri" w:eastAsia="Calibri" w:hAnsi="Calibri"/>
          <w:b w:val="0"/>
          <w:noProof/>
          <w:sz w:val="22"/>
          <w:szCs w:val="22"/>
        </w:rPr>
        <w:id w:val="670845034"/>
        <w:docPartObj>
          <w:docPartGallery w:val="Table of Contents"/>
          <w:docPartUnique/>
        </w:docPartObj>
      </w:sdtPr>
      <w:sdtEndPr>
        <w:rPr>
          <w:bCs/>
        </w:rPr>
      </w:sdtEndPr>
      <w:sdtContent>
        <w:p>
          <w:pPr>
            <w:pStyle w:val="TOCHeading"/>
            <w:rPr>
              <w:noProof/>
            </w:rPr>
          </w:pPr>
          <w:r>
            <w:rPr>
              <w:noProof/>
            </w:rPr>
            <w:t>Werrej</w:t>
          </w:r>
        </w:p>
        <w:p>
          <w:pPr>
            <w:rPr>
              <w:noProof/>
            </w:rPr>
          </w:pPr>
        </w:p>
        <w:p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23843941" w:history="1">
            <w:r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>
              <w:rPr>
                <w:rStyle w:val="Hyperlink"/>
                <w:noProof/>
              </w:rPr>
              <w:t>Il-proċedura tal-baġit tal-FAEG għall-2019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_Toc23843941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23843942" w:history="1">
            <w:r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>
              <w:rPr>
                <w:rStyle w:val="Hyperlink"/>
                <w:noProof/>
              </w:rPr>
              <w:t>Id-dħul assenjat għall-FAEG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_Toc23843942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23843943" w:history="1">
            <w:r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>
              <w:rPr>
                <w:rStyle w:val="Hyperlink"/>
                <w:noProof/>
              </w:rPr>
              <w:t>L-osservazzjonijiet dwar l-implimentazzjoni proviżorja tal-baġit tal-FAEG għall-2019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_Toc23843943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left" w:pos="85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23843944" w:history="1">
            <w:r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>
              <w:rPr>
                <w:rStyle w:val="Hyperlink"/>
                <w:noProof/>
              </w:rPr>
              <w:t>Miżuri tas-suq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_Toc23843944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23843945" w:history="1">
            <w:r>
              <w:rPr>
                <w:rStyle w:val="Hyperlink"/>
                <w:noProof/>
              </w:rPr>
              <w:t>3.1.1.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>
              <w:rPr>
                <w:rStyle w:val="Hyperlink"/>
                <w:noProof/>
              </w:rPr>
              <w:t>Żejt taż-żebbuġa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_Toc23843945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23843946" w:history="1">
            <w:r>
              <w:rPr>
                <w:rStyle w:val="Hyperlink"/>
                <w:noProof/>
              </w:rPr>
              <w:t>3.1.2.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>
              <w:rPr>
                <w:rStyle w:val="Hyperlink"/>
                <w:noProof/>
              </w:rPr>
              <w:t>Frott u ħxejjex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_Toc23843946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23843947" w:history="1">
            <w:r>
              <w:rPr>
                <w:rStyle w:val="Hyperlink"/>
                <w:noProof/>
              </w:rPr>
              <w:t>3.1.3.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>
              <w:rPr>
                <w:rStyle w:val="Hyperlink"/>
                <w:noProof/>
              </w:rPr>
              <w:t>Prodotti tas-settur vinikolu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_Toc23843947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23843948" w:history="1">
            <w:r>
              <w:rPr>
                <w:rStyle w:val="Hyperlink"/>
                <w:noProof/>
              </w:rPr>
              <w:t>3.1.4.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>
              <w:rPr>
                <w:rStyle w:val="Hyperlink"/>
                <w:noProof/>
              </w:rPr>
              <w:t>Ħalib u prodotti tal-ħalib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_Toc23843948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23843949" w:history="1">
            <w:r>
              <w:rPr>
                <w:rStyle w:val="Hyperlink"/>
                <w:noProof/>
              </w:rPr>
              <w:t>3.1.5.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>
              <w:rPr>
                <w:rStyle w:val="Hyperlink"/>
                <w:noProof/>
              </w:rPr>
              <w:t>Skemi għall-iskejjel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_Toc23843949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left" w:pos="85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23843950" w:history="1">
            <w:r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>
              <w:rPr>
                <w:rStyle w:val="Hyperlink"/>
                <w:noProof/>
              </w:rPr>
              <w:t>Pagamenti diretti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_Toc23843950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23843951" w:history="1">
            <w:r>
              <w:rPr>
                <w:rStyle w:val="Hyperlink"/>
                <w:noProof/>
              </w:rPr>
              <w:t>3.2.1.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>
              <w:rPr>
                <w:rStyle w:val="Hyperlink"/>
                <w:noProof/>
              </w:rPr>
              <w:t>Pagamenti diretti diżakkoppjati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_Toc23843951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23843952" w:history="1">
            <w:r>
              <w:rPr>
                <w:rStyle w:val="Hyperlink"/>
                <w:noProof/>
              </w:rPr>
              <w:t>3.2.2.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>
              <w:rPr>
                <w:rStyle w:val="Hyperlink"/>
                <w:noProof/>
              </w:rPr>
              <w:t>Pagamenti diretti oħrajn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_Toc23843952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23843953" w:history="1">
            <w:r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>
              <w:rPr>
                <w:rStyle w:val="Hyperlink"/>
                <w:noProof/>
              </w:rPr>
              <w:t>L-implimentazzjoni tad-dħul assenjat għall-FAEG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_Toc23843953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23843954" w:history="1">
            <w:r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>
              <w:rPr>
                <w:rStyle w:val="Hyperlink"/>
                <w:noProof/>
              </w:rPr>
              <w:t>Konklużjonijiet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_Toc23843954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>
      <w:pPr>
        <w:spacing w:after="0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320"/>
      </w:tblGrid>
      <w:tr>
        <w:tc>
          <w:tcPr>
            <w:tcW w:w="1908" w:type="dxa"/>
            <w:hideMark/>
          </w:tcPr>
          <w:p>
            <w:pPr>
              <w:spacing w:before="120" w:after="120"/>
              <w:ind w:right="612"/>
              <w:rPr>
                <w:rFonts w:ascii="Times New Roman" w:hAnsi="Times New Roman"/>
                <w:smallCaps/>
                <w:noProof/>
              </w:rPr>
            </w:pPr>
            <w:r>
              <w:rPr>
                <w:rFonts w:ascii="Times New Roman" w:hAnsi="Times New Roman"/>
                <w:smallCaps/>
                <w:noProof/>
              </w:rPr>
              <w:t>Anness :</w:t>
            </w:r>
          </w:p>
          <w:p>
            <w:pPr>
              <w:spacing w:before="120" w:after="120"/>
              <w:ind w:right="612"/>
              <w:rPr>
                <w:rFonts w:ascii="Times New Roman" w:hAnsi="Times New Roman"/>
                <w:smallCaps/>
                <w:noProof/>
                <w:sz w:val="24"/>
                <w:szCs w:val="24"/>
              </w:rPr>
            </w:pPr>
          </w:p>
        </w:tc>
        <w:tc>
          <w:tcPr>
            <w:tcW w:w="7320" w:type="dxa"/>
            <w:hideMark/>
          </w:tcPr>
          <w:p>
            <w:pPr>
              <w:spacing w:before="120" w:after="120"/>
              <w:rPr>
                <w:rFonts w:ascii="Times New Roman" w:hAnsi="Times New Roman"/>
                <w:smallCap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noProof/>
              </w:rPr>
              <w:t>Konsum provviżorju tal-approprjazzjonijiet tal-FAEG sal-31/08/2019</w:t>
            </w:r>
          </w:p>
        </w:tc>
      </w:tr>
    </w:tbl>
    <w:p>
      <w:pPr>
        <w:spacing w:after="0"/>
        <w:rPr>
          <w:noProof/>
        </w:rPr>
      </w:pPr>
    </w:p>
    <w:p>
      <w:pPr>
        <w:spacing w:after="0"/>
        <w:rPr>
          <w:noProof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/>
          <w:pgMar w:top="1134" w:right="1418" w:bottom="1134" w:left="1440" w:header="595" w:footer="567" w:gutter="0"/>
          <w:pgNumType w:start="1"/>
          <w:cols w:space="720"/>
        </w:sectPr>
      </w:pPr>
    </w:p>
    <w:p>
      <w:pPr>
        <w:pStyle w:val="Heading1"/>
        <w:numPr>
          <w:ilvl w:val="0"/>
          <w:numId w:val="4"/>
        </w:numPr>
        <w:rPr>
          <w:noProof/>
        </w:rPr>
      </w:pPr>
      <w:bookmarkStart w:id="2" w:name="_Toc23843941"/>
      <w:r>
        <w:rPr>
          <w:noProof/>
        </w:rPr>
        <w:t>Il-proċedura tal-baġit tal-FAEG għall-2019</w:t>
      </w:r>
      <w:bookmarkEnd w:id="2"/>
    </w:p>
    <w:p>
      <w:pPr>
        <w:pStyle w:val="Text1"/>
        <w:rPr>
          <w:noProof/>
        </w:rPr>
      </w:pPr>
      <w:r>
        <w:rPr>
          <w:noProof/>
        </w:rPr>
        <w:t>Fit-12 ta’ Diċembru 2018, il-Parlament Ewropew adotta l-baġit ġenerali tal-Unjoni Ewropea għall-2019. Għall-Fond Agrikolu Ewropew ta’ Garanzija (FAEG), il-baġit kien jinkludi approprjazzjonijiet ta’ impenn u ta’ pagament ta’ EUR 43 192 miljun u EUR 43 116 miljun rispettivament għall-pagamenti diretti u għan-nefqa relatata mas-suq.</w:t>
      </w:r>
    </w:p>
    <w:p>
      <w:pPr>
        <w:pStyle w:val="Text1"/>
        <w:rPr>
          <w:noProof/>
        </w:rPr>
      </w:pPr>
      <w:r>
        <w:rPr>
          <w:noProof/>
        </w:rPr>
        <w:t>Ir-raġuni għall-ammonti differenti għaż-żewġ tipi ta’ approprjazzjonijiet hija l-użu ta’ approprjazzjonijiet differenzjati għal ċerti miżuri implimentati direttament mill-Kummissjoni. Dawn huma prinċipalment relatati ma’ miżuri ta’ promozzjoni għall-prodotti agrikoli u ma’ miżuri ta’ strateġija politika u ta’ koordinazzjoni.</w:t>
      </w:r>
    </w:p>
    <w:p>
      <w:pPr>
        <w:pStyle w:val="Heading1"/>
        <w:rPr>
          <w:noProof/>
        </w:rPr>
      </w:pPr>
      <w:bookmarkStart w:id="3" w:name="_Toc23843942"/>
      <w:r>
        <w:rPr>
          <w:noProof/>
        </w:rPr>
        <w:t>Id-dħul assenjat għall-FAEG</w:t>
      </w:r>
      <w:bookmarkEnd w:id="3"/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Abbażi tad-dispożizzjonijiet tal-Artikolu 43 tar-Regolament (UE) Nru 1306/2013, id-dħul li joriġina minn korrezzjonijiet finanzjarji skont deċiżjonijiet dwar il-kontabbiltà u l-approvazzjoni tal-konformità, kif ukoll minn irregolaritajiet, jikkostitwixxi dħul assenjat għall-finanzjament tan-nefqa tal-FAEG. 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dawn id-dispożizzjonijiet, id-dħul assenjat jista’ jkopri l-ħtiġijiet ta’ finanzjament ta’ kwalunkwe nefqa tal-FAEG. Kwalunkwe parti minn dan id-dħul li tibqa’ ma tintużax matul is-sena baġitarja tiġi riportata awtomatikament għas-sena baġitarja ta’ wara</w:t>
      </w:r>
      <w:r>
        <w:rPr>
          <w:rFonts w:ascii="Times New Roman" w:eastAsia="Times New Roman" w:hAnsi="Times New Roman"/>
          <w:noProof/>
          <w:vertAlign w:val="superscript"/>
        </w:rPr>
        <w:footnoteReference w:id="1"/>
      </w:r>
      <w:r>
        <w:rPr>
          <w:rFonts w:ascii="Times New Roman" w:hAnsi="Times New Roman"/>
          <w:noProof/>
        </w:rPr>
        <w:t>.</w:t>
      </w:r>
    </w:p>
    <w:p>
      <w:pPr>
        <w:spacing w:before="120" w:after="0" w:line="240" w:lineRule="auto"/>
        <w:ind w:left="851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Il-baġit tal-FAEG għall-2019 jinkludi:</w:t>
      </w:r>
    </w:p>
    <w:p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l-aħħar stimi tal-Kummissjoni tal-finanzjament meħtieġ għall-miżuri tas-suq u għall-pagamenti diretti,</w:t>
      </w:r>
    </w:p>
    <w:p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l-istimi tad-dħul assenjat li għandu jinġabar tul is-sena baġitarja,</w:t>
      </w:r>
    </w:p>
    <w:p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u r-riport tal-bilanċ tad-dħul assenjat li jkun fadal mis-sena baġitarja ta’ qabel.</w:t>
      </w:r>
    </w:p>
    <w:p>
      <w:pPr>
        <w:spacing w:before="120" w:after="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Fil-proposta tagħha għall-approprazzjonijiet baġitarji tal-FAEG għall-2019, il-Kummissjoni qieset id-dħul assenjat totali mistenni, u għall-baġit tal-2019 talbet livell ta’ approprjazzjonijiet ikkalkulat billi l-istima tad-dħul assenjat titnaqqas mill-istima tal-ħtiġijiet. L-Awtorità Baġitarja adottat il-baġit tal-FAEG filwaqt li qieset id-dħul assenjat mistenni. 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Meta ġie stabbilit il-baġit għall-2019, l-istimi tal-Kummissjoni għad-dħul assenjat disponibbli kienu jammontaw għal EUR 1 078 miljun, li kienu magħmulin minn dawn li ġejjin: </w:t>
      </w:r>
    </w:p>
    <w:p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id-dħul assenjat mistenni li jiġi ġġenerat matul is-sena baġitarja tal-2019, li huwa stmat li jammonta għal EUR 634 miljun (EUR 499 miljun mill-korrezzjonijiet tal-approvazzjoni tal-konformità, u EUR 135 miljun mill-irregolaritajiet);</w:t>
      </w:r>
    </w:p>
    <w:p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id-dħul assenjat li kellu jiġi riportat mill-2018, li kien stmat għal EUR 444 miljun.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Il-Kummissjoni assenjat dan id-dħul stmat ta’ EUR 1 078 miljun għall-iskemi kif ġejjin: </w:t>
      </w:r>
    </w:p>
    <w:p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EUR 140 miljun ġew assenjati għall-fondi operazzjonali għall-organizzazzjonijiet tal-produtturi fis-settur tal-frott u tal-ħxejjex, u</w:t>
      </w:r>
    </w:p>
    <w:p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EUR 938 miljun ġew assenjati għall-iskema ta’ pagament bażiku. 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It-total tal-approprjazzjonijiet ivvutati u tad-dħul assenjat għal dawn l-iskemi jikkorrispondi għal:</w:t>
      </w:r>
    </w:p>
    <w:p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EUR 849 miljun għall-fondi operazzjonali għall-organizzazzjonijiet tal-produtturi fis-settur tal-frott u l-ħxejjex, u</w:t>
      </w:r>
    </w:p>
    <w:p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EUR 17 149 miljun għall-iskema ta’ pagament bażiku.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Fl-anness, li jippreżenta l-implimentazzjoni proviżorja tal-baġit għall-2019, iċ-ċifri tal-approprjazzjonijiet baġitarji fil-livell tal-artikoli għall-frott u l-ħxejjex u għall-pagamenti diretti diżakkoppjati, ma jqisux id-dħul assenjat imsemmi hawn fuq. Dawn iċ-ċifri jippreżentaw l-approprjazzjonijiet ivvutati għal dawn l-artikoli, li jammontaw għal EUR 715 miljun u għal EUR 34 388 miljun rispettivament. 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Wara li jiġi inkluż id-dħul assenjat għal dawn l-artikoli, l-ammonti totali previsti fil-baġit tal-2019 huma ta’ EUR 855 miljun għas-settur tal-frott u l-ħxejjex u ta’ EUR 35 326 miljun għall-pagamenti diretti diżakkoppjati. </w:t>
      </w:r>
    </w:p>
    <w:p>
      <w:pPr>
        <w:pStyle w:val="Heading1"/>
        <w:rPr>
          <w:noProof/>
        </w:rPr>
      </w:pPr>
      <w:bookmarkStart w:id="4" w:name="_Toc23843943"/>
      <w:r>
        <w:rPr>
          <w:noProof/>
        </w:rPr>
        <w:t>L-osservazzjonijiet dwar l-implimentazzjoni proviżorja tal-baġit tal-FAEG għall-2019</w:t>
      </w:r>
      <w:bookmarkEnd w:id="4"/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L-Anness għal dan ir-rapport jippreżenta l-implimentazzjoni proviżorja tal-baġit għall-perjodu bejn is-16 ta’ Ottubru 2018 u l-31 ta’ Awwissu 2019. It-tqabbil qed isir bejn il-livell ta’ implimentazzjoni u l-profil tan-nefqa tas-Sistema ta’ Twissija Bikrija (STB) li ġiet stabbilita skont l-Artikolu 28 tar-Regolament (UE) Nru 1306/2013.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pStyle w:val="Heading2"/>
        <w:rPr>
          <w:noProof/>
        </w:rPr>
      </w:pPr>
      <w:bookmarkStart w:id="5" w:name="_Toc23843944"/>
      <w:r>
        <w:rPr>
          <w:noProof/>
        </w:rPr>
        <w:t>Miżuri tas-suq</w:t>
      </w:r>
      <w:bookmarkEnd w:id="5"/>
    </w:p>
    <w:p>
      <w:pPr>
        <w:pStyle w:val="Text1"/>
        <w:rPr>
          <w:noProof/>
        </w:rPr>
      </w:pPr>
      <w:r>
        <w:rPr>
          <w:noProof/>
        </w:rPr>
        <w:t>L-użu tal-approprjazzjonijiet kien aktar baxx milli mistenni fis-setturi taż-żejt taż-żebbuġa, tal-inbid, tal-ħalib u tal-iskemi għall-iskejjel. L-implimentazzjoni tal-baġit fis-settur tal-frott u l-ħxejjex, min-naħa l-oħra, marret aħjar milli kien imbassar fil-profil tan-nefqa.</w:t>
      </w:r>
    </w:p>
    <w:p>
      <w:pPr>
        <w:pStyle w:val="Heading3"/>
        <w:rPr>
          <w:noProof/>
        </w:rPr>
      </w:pPr>
      <w:bookmarkStart w:id="6" w:name="_Toc23843945"/>
      <w:r>
        <w:rPr>
          <w:noProof/>
        </w:rPr>
        <w:t>Żejt taż-żebbuġa</w:t>
      </w:r>
      <w:bookmarkEnd w:id="6"/>
    </w:p>
    <w:p>
      <w:pPr>
        <w:pStyle w:val="Text1"/>
        <w:rPr>
          <w:noProof/>
        </w:rPr>
      </w:pPr>
      <w:r>
        <w:rPr>
          <w:noProof/>
        </w:rPr>
        <w:t>In-nefqa magħmula għall-programmi ta’ titjib tal-kwalità kienet ta’ EUR 10 miljun inqas milli kien mistenni fl-aħħar ta’ Awwissu skont il-profil tan-nefqa. Huwa mistenni li l-ammont ibbaġitjat jiġi implimentat sa tmiem is-sena baġitarja.</w:t>
      </w:r>
    </w:p>
    <w:p>
      <w:pPr>
        <w:pStyle w:val="Heading3"/>
        <w:rPr>
          <w:noProof/>
        </w:rPr>
      </w:pPr>
      <w:bookmarkStart w:id="7" w:name="_Toc23843946"/>
      <w:r>
        <w:rPr>
          <w:noProof/>
        </w:rPr>
        <w:t>Frott u ħxejjex</w:t>
      </w:r>
      <w:bookmarkEnd w:id="7"/>
    </w:p>
    <w:p>
      <w:pPr>
        <w:pStyle w:val="Text1"/>
        <w:rPr>
          <w:noProof/>
        </w:rPr>
      </w:pPr>
      <w:r>
        <w:rPr>
          <w:noProof/>
        </w:rPr>
        <w:t xml:space="preserve">In-nefqa ddikjarata f’dan is-settur hija ta’ kważi EUR 64 miljun aktar mill-profil. Madankollu, f’dan il-mument, huwa mistenni li l-ammont totali bbaġitjat ikun biżżejjed biex ikopri l-ħtiġijiet kollha. </w:t>
      </w:r>
    </w:p>
    <w:p>
      <w:pPr>
        <w:pStyle w:val="Heading3"/>
        <w:rPr>
          <w:noProof/>
        </w:rPr>
      </w:pPr>
      <w:bookmarkStart w:id="8" w:name="_Toc23843947"/>
      <w:r>
        <w:rPr>
          <w:noProof/>
        </w:rPr>
        <w:t>Prodotti tas-settur vinikolu</w:t>
      </w:r>
      <w:bookmarkEnd w:id="8"/>
    </w:p>
    <w:p>
      <w:pPr>
        <w:pStyle w:val="Text1"/>
        <w:rPr>
          <w:noProof/>
        </w:rPr>
      </w:pPr>
      <w:r>
        <w:rPr>
          <w:noProof/>
        </w:rPr>
        <w:t>Għal dan l-artikolu tal-baġit, in-nefqa ddikjarata s’issa hija ta’ EUR 49 miljun inqas mill-profil tan-nefqa. Id-diverġenza żgħira hija kkunsidrata temporanja u l-ammont ibbaġitjat mistenni li jiġi implimentat lejn tmiem is-sena.</w:t>
      </w:r>
    </w:p>
    <w:p>
      <w:pPr>
        <w:pStyle w:val="Heading3"/>
        <w:rPr>
          <w:noProof/>
        </w:rPr>
      </w:pPr>
      <w:bookmarkStart w:id="9" w:name="_Toc23843948"/>
      <w:r>
        <w:rPr>
          <w:noProof/>
        </w:rPr>
        <w:t>Ħalib u prodotti tal-ħalib</w:t>
      </w:r>
      <w:bookmarkEnd w:id="9"/>
      <w:r>
        <w:rPr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t>Id-devjazzjoni mill-profil tan-nefqa (EUR 67 miljun inqas) hija spjegata mid-dikjarazzjoni tal-qligħ mill-Istati Membri (imqabbla mal-valur tal-kontabbiltà) fuq il-bejgħ tat-trab tal-ħalib xkumat. Id-deprezzament tal-aħħar tas-sena tal-istokkijiet pubbliċi tat-trab tal-ħalib xkumat kien irreġistrat fis-sena finanzjarja 2018 biex il-valur tal-istokk jiġi aġġustat għall-prezz tal-bejgħ prevedibbli f’dak il-mument. Minn dak iż-żmien, is-suq kien f’xejra kostanti ’l fuq. Għalhekk, it-trab tal-ħalib xkumat qed jinbiegħ bi prezz ogħla mill-valur kontabilistiku u dan jipproduċi l-qligħ, kif iddikjarat mill-Istati Membri.</w:t>
      </w:r>
    </w:p>
    <w:p>
      <w:pPr>
        <w:pStyle w:val="Heading3"/>
        <w:rPr>
          <w:noProof/>
        </w:rPr>
      </w:pPr>
      <w:bookmarkStart w:id="10" w:name="_Toc23843949"/>
      <w:r>
        <w:rPr>
          <w:noProof/>
        </w:rPr>
        <w:t>Skemi għall-iskejjel</w:t>
      </w:r>
      <w:bookmarkEnd w:id="10"/>
    </w:p>
    <w:p>
      <w:pPr>
        <w:pStyle w:val="Text1"/>
        <w:rPr>
          <w:noProof/>
        </w:rPr>
      </w:pPr>
      <w:r>
        <w:rPr>
          <w:noProof/>
        </w:rPr>
        <w:t>Id-diverġenza mill-profil (EUR 19-il miljun inqas) titqies bħala temporanja u l-ammont ibbaġitjat huwa mistenni li jiġi implimentat lejn tmiem is-sena.</w:t>
      </w:r>
    </w:p>
    <w:p>
      <w:pPr>
        <w:pStyle w:val="Text1"/>
        <w:rPr>
          <w:noProof/>
        </w:rPr>
      </w:pPr>
    </w:p>
    <w:p>
      <w:pPr>
        <w:pStyle w:val="Heading2"/>
        <w:rPr>
          <w:noProof/>
        </w:rPr>
      </w:pPr>
      <w:bookmarkStart w:id="11" w:name="_Toc23843950"/>
      <w:r>
        <w:rPr>
          <w:noProof/>
        </w:rPr>
        <w:t>Pagamenti diretti</w:t>
      </w:r>
      <w:bookmarkEnd w:id="11"/>
      <w:r>
        <w:rPr>
          <w:noProof/>
        </w:rPr>
        <w:t xml:space="preserve"> 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L-użu tal-approprjazzjonijiet għall-pagamenti diretti kien kemxejn ogħla milli previst.</w:t>
      </w:r>
    </w:p>
    <w:p>
      <w:pPr>
        <w:pStyle w:val="Heading3"/>
        <w:rPr>
          <w:noProof/>
        </w:rPr>
      </w:pPr>
      <w:bookmarkStart w:id="12" w:name="_Toc23843951"/>
      <w:r>
        <w:rPr>
          <w:noProof/>
        </w:rPr>
        <w:t>Pagamenti diretti diżakkoppjati</w:t>
      </w:r>
      <w:bookmarkEnd w:id="12"/>
    </w:p>
    <w:p>
      <w:pPr>
        <w:pStyle w:val="Text1"/>
        <w:rPr>
          <w:noProof/>
        </w:rPr>
      </w:pPr>
      <w:r>
        <w:rPr>
          <w:noProof/>
        </w:rPr>
        <w:t xml:space="preserve">In-nefqa ddikjarata hija ta’ EUR 926 miljun aktar mill-profil. Madankollu, meta jitqies id-dħul assenjat stmat disponibbli għall-artikolu, jiġifieri EUR 938 miljun, il-mudell ta’ implimentazzjoni jaqbel kompletament mal-profil storiku. Għalhekk ma hemm l-ebda nuqqas ta’ approprjazzjonijiet kif jidher mill-profil mingħajr dħul assenjat. </w:t>
      </w:r>
    </w:p>
    <w:p>
      <w:pPr>
        <w:pStyle w:val="Heading3"/>
        <w:rPr>
          <w:noProof/>
        </w:rPr>
      </w:pPr>
      <w:bookmarkStart w:id="13" w:name="_Toc23843952"/>
      <w:r>
        <w:rPr>
          <w:noProof/>
        </w:rPr>
        <w:t>Pagamenti diretti oħrajn</w:t>
      </w:r>
      <w:bookmarkEnd w:id="13"/>
    </w:p>
    <w:p>
      <w:pPr>
        <w:pStyle w:val="Text1"/>
        <w:rPr>
          <w:noProof/>
        </w:rPr>
      </w:pPr>
      <w:r>
        <w:rPr>
          <w:noProof/>
        </w:rPr>
        <w:t>In-nefqa ddikjarata skont dan l-artikolu tal-baġit hija ftit anqas mill-profil, b’EUR 115 miljun. Madankollu, huwa mistenni li l-ammont ibbaġitjat jiġi implimentat lejn tmiem is-sena.</w:t>
      </w:r>
    </w:p>
    <w:p>
      <w:pPr>
        <w:pStyle w:val="Text1"/>
        <w:rPr>
          <w:noProof/>
        </w:rPr>
      </w:pPr>
    </w:p>
    <w:p>
      <w:pPr>
        <w:pStyle w:val="Heading1"/>
        <w:rPr>
          <w:noProof/>
        </w:rPr>
      </w:pPr>
      <w:bookmarkStart w:id="14" w:name="_Toc23843953"/>
      <w:r>
        <w:rPr>
          <w:noProof/>
        </w:rPr>
        <w:t>L-implimentazzjoni tad-dħul assenjat għall-FAEG</w:t>
      </w:r>
      <w:bookmarkEnd w:id="14"/>
    </w:p>
    <w:p>
      <w:pPr>
        <w:spacing w:before="90" w:after="120" w:line="240" w:lineRule="auto"/>
        <w:ind w:left="851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It-tabella fl-anness turi li d-dħul assenjat li jammonta għal EUR 634.2 miljun inġabar sal-aħħar ta’ Awwissu 2019, li huwa EUR 0.2 miljun aktar milli mistenni meta ġie adottat il-baġit għall-2019. Dan jinkludi b’mod partikolari:</w:t>
      </w:r>
    </w:p>
    <w:p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id-dħul mill-korrezzjonijiet abbażi ta’ deċiżjonijiet tal-kontabbiltà u tal-approvazzjoni tal-konformità li kien jammonta għal EUR 494.4 miljun,</w:t>
      </w:r>
    </w:p>
    <w:p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id-dħul mill-irregolaritajiet li kien jammonta għal EUR 137.9 miljun, u </w:t>
      </w:r>
    </w:p>
    <w:p>
      <w:pPr>
        <w:numPr>
          <w:ilvl w:val="0"/>
          <w:numId w:val="12"/>
        </w:numPr>
        <w:spacing w:before="120" w:after="120" w:line="240" w:lineRule="auto"/>
        <w:ind w:left="1208" w:hanging="35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xi dħul li kien għad fadal jinġabar mill-imposta fuq il-ħalib li kien jammonta għal EUR 1.9 miljun.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Flimkien mal-ammont ta’ EUR 448.8 miljun ta’ dħul riportat mis-sena preċedenti, dan iwassal għal total ta’ EUR 1 083.0 miljun ta’ dħul assenjat disponibbli fil-31 ta’ Awwissu 2019. Huwa mistenni li jinġabru ammonti addizzjonali matul is-sena baġitarja.</w:t>
      </w:r>
    </w:p>
    <w:p>
      <w:pPr>
        <w:pStyle w:val="Heading1"/>
        <w:rPr>
          <w:noProof/>
        </w:rPr>
      </w:pPr>
      <w:bookmarkStart w:id="15" w:name="_Toc23843954"/>
      <w:r>
        <w:rPr>
          <w:noProof/>
        </w:rPr>
        <w:t>Konklużjonijiet</w:t>
      </w:r>
      <w:bookmarkEnd w:id="15"/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L-eżekuzzjoni proviżorja tal-approprjazzjonijiet tal-baġit tal-FAEG għall-2019, għall-perjodu sal-31 ta’ Awwissu 2019, turi li r-rimborżi ta’ kull xahar lill-Istati Membri huma ogħla b’EUR 680 miljun mill-profil tal-konsum ikkalkulat. 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Diġà huwa disponibbli dħul assenjat ta’ EUR 1 083 miljun, u huwa mistenni li jinġabru ammonti addizzjonali ta’ dħul matul is-sena baġitarja. </w:t>
      </w:r>
    </w:p>
    <w:p>
      <w:pPr>
        <w:spacing w:before="120" w:after="120" w:line="240" w:lineRule="auto"/>
        <w:ind w:left="850"/>
        <w:jc w:val="both"/>
        <w:rPr>
          <w:noProof/>
        </w:rPr>
      </w:pPr>
      <w:r>
        <w:rPr>
          <w:rFonts w:ascii="Times New Roman" w:hAnsi="Times New Roman"/>
          <w:noProof/>
        </w:rPr>
        <w:t>Fil-preżent, il-Kummissjoni tistenna li l-approprjazzjonijiet ivvutati flimkien mal-ammont tad-dħul assenjat li se jkunu disponibbli sa tmiem is-sena baġitarja se jkunu biżżejjed biex ikopru n-nefqa kollha. Għalhekk, fl-Ittra Emendatorja Nru 1 tal-Abbozz tal-Baġit Ġenerali għall-2020, il-Kummissjoni stmat li d-dħul assenjat ta’ EUR 280 miljun se jkun disponibbli biex jiġi riportat mill-baġit għall-2019 għal dak għall-2020.</w:t>
      </w:r>
    </w:p>
    <w:sectPr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/>
      <w:pgMar w:top="1134" w:right="1418" w:bottom="1134" w:left="1440" w:header="595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1</w:t>
    </w:r>
    <w:r>
      <w:rPr>
        <w:szCs w:val="24"/>
      </w:rP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6403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spacing w:after="60"/>
        <w:ind w:left="851" w:hanging="851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L-Artikolu 12(4)(b) tar-Regolament (UE, Euratom) Nru 2018/1046 tal-Parlament Ewropew u tal-Kunsill dwar ir-regoli finanzjarji applikabbli għall-baġit ġenerali tal-Unjoni, jiddetermina li l-approprjazzjonijiet li jikkorrispondu għad-dħul assenjat intern jistgħu jiġi riportati biss għas-sena finanzjarja ta’ wara.</w:t>
      </w:r>
      <w:r>
        <w:t xml:space="preserve"> </w:t>
      </w:r>
      <w:r>
        <w:rPr>
          <w:rFonts w:ascii="Times New Roman" w:hAnsi="Times New Roman"/>
        </w:rPr>
        <w:t xml:space="preserve">Għalhekk, fl-interessi tal-ġestjoni soda tal-baġit, dan id-dħul assenjat ġeneralment jintuża l-ewwel, qabel l-approprjazzjoni vvutata tal-artikolu tal-baġit ikkonċernat.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243"/>
    <w:multiLevelType w:val="hybridMultilevel"/>
    <w:tmpl w:val="F10CF124"/>
    <w:lvl w:ilvl="0" w:tplc="0809000F">
      <w:start w:val="1"/>
      <w:numFmt w:val="decimal"/>
      <w:lvlText w:val="%1.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2E871E7"/>
    <w:multiLevelType w:val="hybridMultilevel"/>
    <w:tmpl w:val="FE3E400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1043F95"/>
    <w:multiLevelType w:val="hybridMultilevel"/>
    <w:tmpl w:val="EC6A6122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53F47367"/>
    <w:multiLevelType w:val="singleLevel"/>
    <w:tmpl w:val="B4E8C9F0"/>
    <w:name w:val="LegalNumbering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5EA2AD9"/>
    <w:multiLevelType w:val="hybridMultilevel"/>
    <w:tmpl w:val="FB28C2BA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4A12FA4"/>
    <w:multiLevelType w:val="multilevel"/>
    <w:tmpl w:val="3BE63518"/>
    <w:lvl w:ilvl="0">
      <w:start w:val="1"/>
      <w:numFmt w:val="decimal"/>
      <w:pStyle w:val="Heading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4E147BA"/>
    <w:multiLevelType w:val="hybridMultilevel"/>
    <w:tmpl w:val="C4FC6E94"/>
    <w:lvl w:ilvl="0" w:tplc="0809000F">
      <w:start w:val="1"/>
      <w:numFmt w:val="decimal"/>
      <w:lvlText w:val="%1.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6C827C2A"/>
    <w:multiLevelType w:val="hybridMultilevel"/>
    <w:tmpl w:val="253E2B00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6E6B4B85"/>
    <w:multiLevelType w:val="hybridMultilevel"/>
    <w:tmpl w:val="E67CE6C8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71632DBE"/>
    <w:multiLevelType w:val="hybridMultilevel"/>
    <w:tmpl w:val="253CB540"/>
    <w:lvl w:ilvl="0" w:tplc="0809000F">
      <w:start w:val="1"/>
      <w:numFmt w:val="decimal"/>
      <w:lvlText w:val="%1.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3C689504-7F35-4522-AF1B-65A8D419B201"/>
    <w:docVar w:name="LW_COVERPAGE_TYPE" w:val="1"/>
    <w:docVar w:name="LW_CROSSREFERENCE" w:val="&lt;UNUSED&gt;"/>
    <w:docVar w:name="LW_DocType" w:val="NORMAL"/>
    <w:docVar w:name="LW_EMISSION" w:val="19.12.2019"/>
    <w:docVar w:name="LW_EMISSION_ISODATE" w:val="2019-12-19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6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dwar in-nefqa tal-FAEG_x000d__x000d__x000d__x000d__x000d__x000d__x000d__x000d__x000d__x000d__x000d__x000d__x000d__x000d__x000d__x000d__x000d__x000d__x000d__x000b__x000d__x000d__x000d__x000d__x000d__x000d__x000d__x000d__x000d__x000d__x000d__x000d__x000d__x000d__x000d__x000d__x000d__x000d__x000d__x000b_Is-Sistema ta\u8217? Twissija Bikrija Nru 7-10/2019"/>
    <w:docVar w:name="LW_TYPE.DOC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t-M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unhideWhenUsed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unhideWhenUsed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semiHidden/>
    <w:unhideWhenUsed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lang w:eastAsia="en-US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bCs/>
      <w:smallCaps/>
      <w:sz w:val="24"/>
      <w:szCs w:val="32"/>
      <w:lang w:eastAsia="en-US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bCs/>
      <w:i/>
      <w:sz w:val="24"/>
      <w:szCs w:val="26"/>
      <w:lang w:eastAsia="en-US"/>
    </w:rPr>
  </w:style>
  <w:style w:type="character" w:customStyle="1" w:styleId="Heading4Char">
    <w:name w:val="Heading 4 Char"/>
    <w:link w:val="Heading4"/>
    <w:semiHidden/>
    <w:rPr>
      <w:rFonts w:ascii="Times New Roman" w:eastAsia="Times New Roman" w:hAnsi="Times New Roman"/>
      <w:bCs/>
      <w:sz w:val="24"/>
      <w:szCs w:val="28"/>
      <w:lang w:eastAsia="en-US"/>
    </w:rPr>
  </w:style>
  <w:style w:type="paragraph" w:customStyle="1" w:styleId="Text1">
    <w:name w:val="Text 1"/>
    <w:basedOn w:val="Normal"/>
    <w:link w:val="Text1Char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ext1Char">
    <w:name w:val="Text 1 Char"/>
    <w:link w:val="Text1"/>
    <w:locked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iret1">
    <w:name w:val="Tiret 1"/>
    <w:basedOn w:val="Normal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Text2">
    <w:name w:val="Text 2"/>
    <w:basedOn w:val="Normal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pPr>
      <w:ind w:left="44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en-US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eastAsiaTheme="minorHAnsi" w:hAnsi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eastAsiaTheme="minorHAnsi" w:hAnsi="Times New Roman"/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lid-translation">
    <w:name w:val="tlid-translation"/>
    <w:basedOn w:val="DefaultParagraphFont"/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t-M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unhideWhenUsed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unhideWhenUsed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semiHidden/>
    <w:unhideWhenUsed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lang w:eastAsia="en-US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bCs/>
      <w:smallCaps/>
      <w:sz w:val="24"/>
      <w:szCs w:val="32"/>
      <w:lang w:eastAsia="en-US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bCs/>
      <w:i/>
      <w:sz w:val="24"/>
      <w:szCs w:val="26"/>
      <w:lang w:eastAsia="en-US"/>
    </w:rPr>
  </w:style>
  <w:style w:type="character" w:customStyle="1" w:styleId="Heading4Char">
    <w:name w:val="Heading 4 Char"/>
    <w:link w:val="Heading4"/>
    <w:semiHidden/>
    <w:rPr>
      <w:rFonts w:ascii="Times New Roman" w:eastAsia="Times New Roman" w:hAnsi="Times New Roman"/>
      <w:bCs/>
      <w:sz w:val="24"/>
      <w:szCs w:val="28"/>
      <w:lang w:eastAsia="en-US"/>
    </w:rPr>
  </w:style>
  <w:style w:type="paragraph" w:customStyle="1" w:styleId="Text1">
    <w:name w:val="Text 1"/>
    <w:basedOn w:val="Normal"/>
    <w:link w:val="Text1Char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ext1Char">
    <w:name w:val="Text 1 Char"/>
    <w:link w:val="Text1"/>
    <w:locked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iret1">
    <w:name w:val="Tiret 1"/>
    <w:basedOn w:val="Normal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Text2">
    <w:name w:val="Text 2"/>
    <w:basedOn w:val="Normal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pPr>
      <w:ind w:left="44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en-US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eastAsiaTheme="minorHAnsi" w:hAnsi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eastAsiaTheme="minorHAnsi" w:hAnsi="Times New Roman"/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lid-translation">
    <w:name w:val="tlid-translation"/>
    <w:basedOn w:val="DefaultParagraphFont"/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2FE4-556C-45CC-B607-C10D4859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1218</Words>
  <Characters>8576</Characters>
  <Application>Microsoft Office Word</Application>
  <DocSecurity>0</DocSecurity>
  <Lines>171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15</cp:revision>
  <cp:lastPrinted>2019-10-18T14:35:00Z</cp:lastPrinted>
  <dcterms:created xsi:type="dcterms:W3CDTF">2019-10-18T14:46:00Z</dcterms:created>
  <dcterms:modified xsi:type="dcterms:W3CDTF">2019-12-20T08:43:00Z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Level of sensitivity">
    <vt:lpwstr>Standard treatment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6.0.1, Build 20180503</vt:lpwstr>
  </property>
  <property fmtid="{D5CDD505-2E9C-101B-9397-08002B2CF9AE}" pid="9" name="CPTemplateID">
    <vt:lpwstr>CP-006</vt:lpwstr>
  </property>
</Properties>
</file>