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6227E6DF-ABE0-4E00-A1E4-EF59C2A0BD6A" style="width:451.7pt;height:334.2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600" w:charSpace="36864"/>
        </w:sectPr>
      </w:pPr>
    </w:p>
    <w:p>
      <w:pPr>
        <w:spacing w:after="0" w:line="100" w:lineRule="atLeast"/>
        <w:jc w:val="right"/>
        <w:rPr>
          <w:rFonts w:ascii="Times New Roman" w:hAnsi="Times New Roman" w:cs="Times New Roman"/>
          <w:noProof/>
          <w:sz w:val="24"/>
          <w:szCs w:val="24"/>
        </w:rPr>
      </w:pPr>
      <w:bookmarkStart w:id="1" w:name="_GoBack"/>
      <w:bookmarkEnd w:id="1"/>
      <w:r>
        <w:rPr>
          <w:rFonts w:ascii="Times New Roman" w:hAnsi="Times New Roman"/>
          <w:bCs/>
          <w:i/>
          <w:noProof/>
          <w:sz w:val="24"/>
          <w:szCs w:val="24"/>
        </w:rPr>
        <w:lastRenderedPageBreak/>
        <w:t>„</w:t>
      </w:r>
      <w:r>
        <w:rPr>
          <w:rFonts w:ascii="Times New Roman" w:hAnsi="Times New Roman"/>
          <w:noProof/>
          <w:sz w:val="24"/>
          <w:szCs w:val="24"/>
        </w:rPr>
        <w:t>Noriu, kad Europa siektų daugiau socialinio teisingumo</w:t>
      </w:r>
    </w:p>
    <w:p>
      <w:pPr>
        <w:spacing w:after="0" w:line="100" w:lineRule="atLeast"/>
        <w:jc w:val="right"/>
        <w:rPr>
          <w:rFonts w:ascii="Times New Roman" w:hAnsi="Times New Roman" w:cs="Times New Roman"/>
          <w:bCs/>
          <w:noProof/>
          <w:sz w:val="24"/>
          <w:szCs w:val="24"/>
        </w:rPr>
      </w:pPr>
      <w:r>
        <w:rPr>
          <w:rFonts w:ascii="Times New Roman" w:hAnsi="Times New Roman"/>
          <w:noProof/>
          <w:sz w:val="24"/>
          <w:szCs w:val="24"/>
        </w:rPr>
        <w:t xml:space="preserve"> ir gerovės. Tai vienas iš pamatinių mūsų Sąjungos pažadų.</w:t>
      </w:r>
      <w:r>
        <w:rPr>
          <w:rFonts w:ascii="Times New Roman" w:hAnsi="Times New Roman"/>
          <w:bCs/>
          <w:i/>
          <w:noProof/>
          <w:sz w:val="24"/>
          <w:szCs w:val="24"/>
        </w:rPr>
        <w:t>“</w:t>
      </w:r>
    </w:p>
    <w:p>
      <w:pPr>
        <w:spacing w:after="0" w:line="100" w:lineRule="atLeast"/>
        <w:jc w:val="right"/>
        <w:rPr>
          <w:rFonts w:ascii="Times New Roman" w:hAnsi="Times New Roman" w:cs="Times New Roman"/>
          <w:b/>
          <w:bCs/>
          <w:smallCaps/>
          <w:noProof/>
          <w:sz w:val="24"/>
          <w:szCs w:val="24"/>
        </w:rPr>
      </w:pPr>
      <w:r>
        <w:rPr>
          <w:rFonts w:ascii="Times New Roman" w:hAnsi="Times New Roman"/>
          <w:bCs/>
          <w:noProof/>
          <w:sz w:val="24"/>
          <w:szCs w:val="24"/>
        </w:rPr>
        <w:t>Ursula von der Leyen, 2019 m. liepos 16 d.</w:t>
      </w:r>
    </w:p>
    <w:p>
      <w:pPr>
        <w:jc w:val="both"/>
        <w:rPr>
          <w:rFonts w:ascii="Times New Roman" w:hAnsi="Times New Roman" w:cs="Times New Roman"/>
          <w:b/>
          <w:bCs/>
          <w:smallCaps/>
          <w:noProof/>
          <w:sz w:val="24"/>
          <w:szCs w:val="24"/>
        </w:rPr>
      </w:pPr>
    </w:p>
    <w:p>
      <w:pPr>
        <w:jc w:val="both"/>
        <w:rPr>
          <w:rFonts w:ascii="Times New Roman" w:hAnsi="Times New Roman"/>
          <w:b/>
          <w:bCs/>
          <w:noProof/>
          <w:sz w:val="24"/>
          <w:szCs w:val="24"/>
        </w:rPr>
      </w:pPr>
      <w:r>
        <w:rPr>
          <w:rFonts w:ascii="Times New Roman" w:hAnsi="Times New Roman"/>
          <w:b/>
          <w:bCs/>
          <w:smallCaps/>
          <w:noProof/>
          <w:sz w:val="24"/>
          <w:szCs w:val="24"/>
        </w:rPr>
        <w:t>Įvadas</w:t>
      </w:r>
    </w:p>
    <w:p>
      <w:pPr>
        <w:jc w:val="both"/>
        <w:rPr>
          <w:rFonts w:ascii="Times New Roman" w:hAnsi="Times New Roman" w:cs="Times New Roman"/>
          <w:b/>
          <w:noProof/>
          <w:color w:val="000000"/>
          <w:sz w:val="24"/>
          <w:szCs w:val="24"/>
        </w:rPr>
      </w:pPr>
      <w:r>
        <w:rPr>
          <w:rFonts w:ascii="Times New Roman" w:hAnsi="Times New Roman"/>
          <w:b/>
          <w:bCs/>
          <w:noProof/>
          <w:sz w:val="24"/>
          <w:szCs w:val="24"/>
        </w:rPr>
        <w:t>Ekonomikos augimas pats savaime nėra tikslas. Ekonomika turi tarnauti žmonėms ir planetai.</w:t>
      </w:r>
      <w:r>
        <w:rPr>
          <w:rFonts w:ascii="Times New Roman" w:hAnsi="Times New Roman"/>
          <w:noProof/>
          <w:sz w:val="24"/>
          <w:szCs w:val="24"/>
        </w:rPr>
        <w:t xml:space="preserve"> Susirūpinimą keliantys klimato ir aplinkos klausimai, technologinė pažanga ir demografiniai pokyčiai iš esmės pakeis mūsų visuomenes. Europos Sąjunga ir jos valstybės narės turi reaguoti į šiuos struktūrinius pokyčius dabar, taikydamos naują augimo modelį, kuriuo bus paisoma mūsų gamtos išteklių ribotumo ir užtikrinamas darbo vietų kūrimas bei ilgalaikė gerovė ateityje. </w:t>
      </w:r>
    </w:p>
    <w:p>
      <w:pPr>
        <w:jc w:val="both"/>
        <w:rPr>
          <w:rFonts w:ascii="Times New Roman" w:hAnsi="Times New Roman" w:cs="Times New Roman"/>
          <w:noProof/>
          <w:color w:val="000000"/>
          <w:sz w:val="24"/>
          <w:szCs w:val="24"/>
        </w:rPr>
      </w:pPr>
      <w:r>
        <w:rPr>
          <w:rFonts w:ascii="Times New Roman" w:hAnsi="Times New Roman"/>
          <w:b/>
          <w:noProof/>
          <w:sz w:val="24"/>
          <w:szCs w:val="24"/>
        </w:rPr>
        <w:t xml:space="preserve">Europos ekonomika finansų krizės valdymo metus jau sėkmingai paliko praeityje. </w:t>
      </w:r>
      <w:r>
        <w:rPr>
          <w:rFonts w:ascii="Times New Roman" w:hAnsi="Times New Roman"/>
          <w:noProof/>
          <w:sz w:val="24"/>
          <w:szCs w:val="24"/>
        </w:rPr>
        <w:t xml:space="preserve">Nors ji auga jau septintus metus iš eilės, išorinės ir geopolitinės perspektyvos tampa vis niūresnės, netikrumas didėja ir panašu, kad Europa pereina prie vangaus augimo ir mažos infliacijos laikotarpio. </w:t>
      </w:r>
    </w:p>
    <w:p>
      <w:pPr>
        <w:jc w:val="both"/>
        <w:rPr>
          <w:rFonts w:ascii="Times New Roman" w:hAnsi="Times New Roman" w:cs="Times New Roman"/>
          <w:bCs/>
          <w:noProof/>
          <w:color w:val="000000"/>
          <w:sz w:val="24"/>
          <w:szCs w:val="24"/>
        </w:rPr>
      </w:pPr>
      <w:r>
        <w:rPr>
          <w:rFonts w:ascii="Times New Roman" w:hAnsi="Times New Roman"/>
          <w:b/>
          <w:noProof/>
          <w:sz w:val="24"/>
          <w:szCs w:val="24"/>
        </w:rPr>
        <w:t xml:space="preserve">Kad išliktume konkurencingi rytdienos pasaulyje ir pasiektume Europos tikslą neutralizuoti poveikį klimatui, dabar turime spręsti ilgesnio laikotarpio ekonomikos uždavinius. </w:t>
      </w:r>
      <w:r>
        <w:rPr>
          <w:rFonts w:ascii="Times New Roman" w:hAnsi="Times New Roman"/>
          <w:bCs/>
          <w:noProof/>
          <w:sz w:val="24"/>
          <w:szCs w:val="24"/>
        </w:rPr>
        <w:t xml:space="preserve">Naujosios Komisijos, siekiančios įgyvendinti plataus užmojo iniciatyvą „Europos žaliasis kursas“ ir teikiančios pirmenybę Europai, kuri tarnauja žmonėms ir yra prisitaikiusi prie skaitmeninio amžiaus, kadencijos pradžia – tinkamas metas pradėti taikyti šį naują tvarų augimo modelį. </w:t>
      </w:r>
    </w:p>
    <w:p>
      <w:pPr>
        <w:jc w:val="both"/>
        <w:rPr>
          <w:rFonts w:ascii="Times New Roman" w:hAnsi="Times New Roman" w:cs="Times New Roman"/>
          <w:noProof/>
          <w:color w:val="000000"/>
          <w:sz w:val="24"/>
          <w:szCs w:val="24"/>
        </w:rPr>
      </w:pPr>
      <w:r>
        <w:rPr>
          <w:rFonts w:ascii="Times New Roman" w:hAnsi="Times New Roman"/>
          <w:b/>
          <w:noProof/>
          <w:sz w:val="24"/>
          <w:szCs w:val="24"/>
        </w:rPr>
        <w:t>Ši ekonominė darbotvarkė turėtų paversti Sąjungos ekonomiką tvaria ir padėti ES ir jos valstybėms narėms pasiekti Jungtinių Tautų darnaus vystymosi tikslus, kuriuos jos įsipareigojo įgyvendinti</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Ji turi paskatinti ir papildyti skaitmeninę ir su klimato kaita susijusią pertvarką ir pakeisti mūsų socialinės rinkos ekonomiką siekiant užtikrinti, kad Europos gerovės sistemos ir toliau būtų pažangiausios pasaulyje ir Europa būtų klestintis inovacijų ir konkurencingo verslumo centras. </w:t>
      </w:r>
    </w:p>
    <w:p>
      <w:pPr>
        <w:jc w:val="both"/>
        <w:rPr>
          <w:rFonts w:ascii="Times New Roman" w:hAnsi="Times New Roman" w:cs="Times New Roman"/>
          <w:noProof/>
          <w:color w:val="000000"/>
          <w:sz w:val="24"/>
          <w:szCs w:val="24"/>
        </w:rPr>
      </w:pPr>
      <w:r>
        <w:rPr>
          <w:rFonts w:ascii="Times New Roman" w:hAnsi="Times New Roman"/>
          <w:b/>
          <w:noProof/>
          <w:sz w:val="24"/>
          <w:szCs w:val="24"/>
        </w:rPr>
        <w:t>Europos žaliasis kursas yra mūsų naujoji augimo strategija. Pagal ją mūsų veiksmų pagrindas yra tvarumas – visomis formomis – ir piliečių gerovė. Tam reikia susieti keturis aspektus: aplinkos, našumo, stabilumo ir teisingumo.</w:t>
      </w:r>
      <w:r>
        <w:rPr>
          <w:rFonts w:ascii="Times New Roman" w:hAnsi="Times New Roman"/>
          <w:noProof/>
          <w:sz w:val="24"/>
          <w:szCs w:val="24"/>
        </w:rPr>
        <w:t xml:space="preserve"> </w:t>
      </w:r>
    </w:p>
    <w:p>
      <w:pPr>
        <w:jc w:val="both"/>
        <w:rPr>
          <w:rFonts w:ascii="Times New Roman" w:hAnsi="Times New Roman" w:cs="Times New Roman"/>
          <w:noProof/>
          <w:color w:val="000000"/>
          <w:sz w:val="24"/>
          <w:szCs w:val="24"/>
        </w:rPr>
      </w:pPr>
      <w:r>
        <w:rPr>
          <w:rFonts w:ascii="Times New Roman" w:hAnsi="Times New Roman"/>
          <w:noProof/>
          <w:sz w:val="24"/>
          <w:szCs w:val="24"/>
        </w:rPr>
        <w:t>Šie keturi vienas kitą papildantys aspektai yra mūsų augimo strategijos pagrindas.</w:t>
      </w:r>
    </w:p>
    <w:p>
      <w:pPr>
        <w:jc w:val="both"/>
        <w:rPr>
          <w:rFonts w:ascii="Times New Roman" w:hAnsi="Times New Roman" w:cs="Times New Roman"/>
          <w:noProof/>
          <w:color w:val="000000"/>
          <w:sz w:val="24"/>
          <w:szCs w:val="24"/>
        </w:rPr>
      </w:pPr>
      <w:r>
        <w:rPr>
          <w:rFonts w:ascii="Times New Roman" w:hAnsi="Times New Roman"/>
          <w:noProof/>
          <w:sz w:val="24"/>
          <w:szCs w:val="24"/>
        </w:rPr>
        <w:t>Pirma, reikėtų sutelkti pastangas, kad iki 2050 m. Europa taptų gamtai palankiu ir neutralaus poveikio klimatui žemynu, kartu užtikrinant, kad dėl to atsiradusiomis galimybėmis galėtų pasinaudoti visi.</w:t>
      </w:r>
    </w:p>
    <w:p>
      <w:pPr>
        <w:jc w:val="both"/>
        <w:rPr>
          <w:rFonts w:ascii="Times New Roman" w:hAnsi="Times New Roman" w:cs="Times New Roman"/>
          <w:noProof/>
          <w:color w:val="000000"/>
          <w:sz w:val="24"/>
          <w:szCs w:val="24"/>
        </w:rPr>
      </w:pPr>
      <w:r>
        <w:rPr>
          <w:rFonts w:ascii="Times New Roman" w:hAnsi="Times New Roman"/>
          <w:noProof/>
          <w:sz w:val="24"/>
          <w:szCs w:val="24"/>
        </w:rPr>
        <w:t>Antra, kurdama naujas technologijas ir tvarius sprendimus Europa gali pirmauti būsimo ekonomikos augimo lenktynėse ir tapti lydere vis labiau skaitmeniniame pasaulyje, įskaitant tokias jos technologiniam suverenumui svarbias sritis kaip kibernetinis saugumas, dirbtinis intelektas ir 5G tinklai. Skaitmeninės technologijos yra esminis Europos žaliojo kurso veiksnys.</w:t>
      </w:r>
    </w:p>
    <w:p>
      <w:pPr>
        <w:jc w:val="both"/>
        <w:rPr>
          <w:rFonts w:ascii="Times New Roman" w:hAnsi="Times New Roman" w:cs="Times New Roman"/>
          <w:noProof/>
          <w:color w:val="000000"/>
          <w:sz w:val="24"/>
          <w:szCs w:val="24"/>
        </w:rPr>
      </w:pPr>
      <w:r>
        <w:rPr>
          <w:rFonts w:ascii="Times New Roman" w:hAnsi="Times New Roman"/>
          <w:noProof/>
          <w:sz w:val="24"/>
          <w:szCs w:val="24"/>
        </w:rPr>
        <w:lastRenderedPageBreak/>
        <w:t>Trečia, Europa turi baigti kurti savo ekonominę ir pinigų sąjungą siekdama užtikrinti, kad stipraus neigiamo ekonominio sukrėtimo atveju visos ekonominės priemonės būtų parengtos ir prieinamos. Siekiant stiprinti Europos įtaką pasaulyje ir pasaulio rinkose ir padėti apsaugoti Europos įmones, vartotojus ir vyriausybes nuo nepalankių išorės pokyčių, būtina stiprinti tarptautinį euro vaidmenį. Gyvybinga ir atspari ekonominė ir pinigų sąjunga, turinti tokius tvirtus pamatus kaip bankų sąjunga ir kapitalo rinkų sąjunga, yra geriausia priemonė siekiant padidinti Europos finansinį stabilumą ir kartu sustiprinti tarptautinį euro vaidmenį.</w:t>
      </w:r>
    </w:p>
    <w:p>
      <w:pPr>
        <w:jc w:val="both"/>
        <w:rPr>
          <w:rFonts w:ascii="Times New Roman" w:hAnsi="Times New Roman" w:cs="Times New Roman"/>
          <w:noProof/>
          <w:color w:val="000000"/>
          <w:sz w:val="24"/>
          <w:szCs w:val="24"/>
        </w:rPr>
      </w:pPr>
      <w:r>
        <w:rPr>
          <w:rFonts w:ascii="Times New Roman" w:hAnsi="Times New Roman"/>
          <w:noProof/>
          <w:sz w:val="24"/>
          <w:szCs w:val="24"/>
        </w:rPr>
        <w:t xml:space="preserve">Ketvirta, naujoji ekonominė darbotvarkė turi užtikrinti, kad perėjimas būtų teisingas ir įtraukus ir kad pirmenybė būtų teikiama žmonėms. Ypatingą dėmesį būtina skirti regionams, pramonės sektoriams ir darbuotojams, kurių laukia didžiausio masto permainos.  </w:t>
      </w:r>
    </w:p>
    <w:p>
      <w:pPr>
        <w:jc w:val="both"/>
        <w:rPr>
          <w:rFonts w:ascii="Times New Roman" w:hAnsi="Times New Roman" w:cs="Times New Roman"/>
          <w:noProof/>
          <w:color w:val="000000"/>
          <w:sz w:val="24"/>
          <w:szCs w:val="24"/>
        </w:rPr>
      </w:pPr>
      <w:r>
        <w:rPr>
          <w:rFonts w:ascii="Times New Roman" w:hAnsi="Times New Roman"/>
          <w:b/>
          <w:noProof/>
          <w:sz w:val="24"/>
          <w:szCs w:val="24"/>
        </w:rPr>
        <w:t>Svarbiausias elementas bus pramonės strategija, tvirtai pagrįsta bendrosios rinkos principais ir suteikianti galimybę mūsų įmonėms diegti inovacijas ir naujas technologijas, o kartu didinti žiediškumą ir kurti naujas rinkas</w:t>
      </w:r>
      <w:r>
        <w:rPr>
          <w:rFonts w:ascii="Times New Roman" w:hAnsi="Times New Roman"/>
          <w:b/>
          <w:bCs/>
          <w:noProof/>
          <w:sz w:val="24"/>
          <w:szCs w:val="24"/>
        </w:rPr>
        <w:t>. Tai reiškia, kad Europos ekonominę politiką reikia perorientuoti į ilgalaikę perspektyvą, kad visų Europos šalių jaunajai kartai galėtume užtikrinti tvarumą ir klestėjimą ateityje.</w:t>
      </w:r>
      <w:r>
        <w:rPr>
          <w:rFonts w:ascii="Times New Roman" w:hAnsi="Times New Roman"/>
          <w:noProof/>
          <w:sz w:val="24"/>
          <w:szCs w:val="24"/>
        </w:rPr>
        <w:t xml:space="preserve"> Visose politikos srityse turime pereiti nuo inkrementinio prie sisteminio metodo, laikydamiesi požiūrio, kad veiksmų reikia imtis visais valdžios lygmenimis. Tai turės būti įtraukus procesas, parengtas kartu su Europos Parlamentu, valstybėmis narėmis, socialiniais partneriais ir suinteresuotosiomis šalimis.</w:t>
      </w:r>
      <w:r>
        <w:rPr>
          <w:rFonts w:ascii="Times New Roman" w:hAnsi="Times New Roman"/>
          <w:b/>
          <w:noProof/>
          <w:sz w:val="24"/>
          <w:szCs w:val="24"/>
        </w:rPr>
        <w:t xml:space="preserve"> </w:t>
      </w:r>
      <w:r>
        <w:rPr>
          <w:rFonts w:ascii="Times New Roman" w:hAnsi="Times New Roman"/>
          <w:noProof/>
          <w:sz w:val="24"/>
          <w:szCs w:val="24"/>
        </w:rPr>
        <w:t xml:space="preserve">ES politika ir veiksmai bus rengiami vadovaujantis darnaus vystymosi tikslais. Tam naudingas Europos semestras – gerai įtvirtinta ekonominės ir užimtumo politikos koordinavimo, kuriuo siekiama duoti Sąjungai ir jos valstybėms narėms gaires vykstant šioms visai ekonomikai svarbioms permainoms, sistema. Šioje metinėje tvaraus augimo strategijoje Komisija išdėsto ES ekonominės ir užimtumo politikos prioritetus. Laikantis šio požiūrio galima rasti sąsajų ir kompromisų tarp visų keturių augimo darbotvarkės aspektų ir pateikti sprendimų. </w:t>
      </w:r>
    </w:p>
    <w:p>
      <w:pPr>
        <w:jc w:val="both"/>
        <w:rPr>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color w:val="000000"/>
          <w:sz w:val="24"/>
          <w:szCs w:val="24"/>
        </w:rPr>
      </w:pPr>
      <w:r>
        <w:rPr>
          <w:rFonts w:ascii="Times New Roman" w:hAnsi="Times New Roman"/>
          <w:b/>
          <w:noProof/>
          <w:sz w:val="24"/>
          <w:szCs w:val="24"/>
        </w:rPr>
        <w:t>Europos ekonominė perspektyva</w:t>
      </w:r>
    </w:p>
    <w:p>
      <w:pPr>
        <w:jc w:val="both"/>
        <w:rPr>
          <w:rStyle w:val="CommentReference1"/>
          <w:rFonts w:ascii="Times New Roman" w:hAnsi="Times New Roman" w:cs="Times New Roman"/>
          <w:b/>
          <w:noProof/>
          <w:color w:val="000000"/>
          <w:sz w:val="24"/>
          <w:szCs w:val="24"/>
        </w:rPr>
      </w:pPr>
      <w:r>
        <w:rPr>
          <w:rFonts w:ascii="Times New Roman" w:hAnsi="Times New Roman"/>
          <w:b/>
          <w:noProof/>
          <w:sz w:val="24"/>
          <w:szCs w:val="24"/>
        </w:rPr>
        <w:t>Europos ekonomika auga jau septynerius metus iš eilės.</w:t>
      </w:r>
      <w:r>
        <w:rPr>
          <w:rFonts w:ascii="Times New Roman" w:hAnsi="Times New Roman"/>
          <w:noProof/>
          <w:sz w:val="24"/>
          <w:szCs w:val="24"/>
        </w:rPr>
        <w:t xml:space="preserve"> 2020 ir 2021 m. ekonomika turėtų toliau augti, net jeigu augimo perspektyvos ir suprastėjo. Darbo rinkos tebėra stiprios, o nedarbas toliau mažėja, nors ir lėčiau</w:t>
      </w:r>
      <w:r>
        <w:rPr>
          <w:noProof/>
          <w:sz w:val="24"/>
          <w:szCs w:val="24"/>
        </w:rPr>
        <w:t xml:space="preserve"> </w:t>
      </w:r>
      <w:r>
        <w:rPr>
          <w:rStyle w:val="CommentReference1"/>
          <w:rFonts w:ascii="Times New Roman" w:hAnsi="Times New Roman"/>
          <w:noProof/>
          <w:sz w:val="24"/>
          <w:szCs w:val="24"/>
        </w:rPr>
        <w:t>(</w:t>
      </w:r>
      <w:r>
        <w:rPr>
          <w:rStyle w:val="FootnoteReference"/>
          <w:rFonts w:ascii="Times New Roman" w:hAnsi="Times New Roman" w:cs="Times New Roman"/>
          <w:noProof/>
          <w:sz w:val="24"/>
          <w:szCs w:val="24"/>
        </w:rPr>
        <w:footnoteReference w:id="2"/>
      </w:r>
      <w:r>
        <w:rPr>
          <w:rStyle w:val="CommentReference1"/>
          <w:rFonts w:ascii="Times New Roman" w:hAnsi="Times New Roman"/>
          <w:noProof/>
          <w:sz w:val="24"/>
          <w:szCs w:val="24"/>
        </w:rPr>
        <w:t xml:space="preserve">). </w:t>
      </w:r>
      <w:r>
        <w:rPr>
          <w:rFonts w:ascii="Times New Roman" w:hAnsi="Times New Roman"/>
          <w:noProof/>
          <w:sz w:val="24"/>
          <w:szCs w:val="24"/>
        </w:rPr>
        <w:t>Viešųjų finansų būklė toliau gerėja, mūsų bankų sistema tapo patikimesnė, o mūsų ekonominės ir pinigų sąjungos pamatai – tvirtesni. Tačiau investicijos ir potencialus augimas vis dar nesiekia prieš krizę buvusio lygio.</w:t>
      </w:r>
      <w:r>
        <w:rPr>
          <w:rStyle w:val="CommentReference1"/>
          <w:rFonts w:ascii="Times New Roman" w:hAnsi="Times New Roman"/>
          <w:noProof/>
          <w:sz w:val="24"/>
          <w:szCs w:val="24"/>
        </w:rPr>
        <w:t xml:space="preserve"> Manoma, kad valdžios sektoriaus biudžeto balansai 2019–2021 m. šiek tiek pablogės dėl mažesnio augimo poveikio ir šiek tiek laisvesnės diskrecinės arba ekspansinės fiskalinės politikos kai kuriose valstybėse narėse.</w:t>
      </w:r>
    </w:p>
    <w:p>
      <w:pPr>
        <w:jc w:val="both"/>
        <w:rPr>
          <w:rStyle w:val="CommentReference1"/>
          <w:rFonts w:ascii="Times New Roman" w:hAnsi="Times New Roman" w:cs="Times New Roman"/>
          <w:noProof/>
          <w:color w:val="000000"/>
          <w:sz w:val="24"/>
          <w:szCs w:val="24"/>
        </w:rPr>
      </w:pPr>
      <w:r>
        <w:rPr>
          <w:rFonts w:ascii="Times New Roman" w:hAnsi="Times New Roman"/>
          <w:b/>
          <w:bCs/>
          <w:noProof/>
          <w:sz w:val="24"/>
          <w:szCs w:val="24"/>
        </w:rPr>
        <w:t>Artimiausio laikotarpio ekonominę perspektyvą temdo kur kas nepalankesnė ekonominė ir geopolitinė aplinka ir didelis netikrumas.</w:t>
      </w:r>
      <w:r>
        <w:rPr>
          <w:rFonts w:ascii="Times New Roman" w:hAnsi="Times New Roman"/>
          <w:b/>
          <w:noProof/>
          <w:sz w:val="24"/>
          <w:szCs w:val="24"/>
        </w:rPr>
        <w:t xml:space="preserve"> </w:t>
      </w:r>
      <w:r>
        <w:rPr>
          <w:rFonts w:ascii="Times New Roman" w:hAnsi="Times New Roman"/>
          <w:noProof/>
          <w:sz w:val="24"/>
          <w:szCs w:val="24"/>
        </w:rPr>
        <w:t>Pasaulinio augimo perspektyvos trapios. Įtampa dėl prekybos gamybos sektoriuje ir geopolitinis netikrumas neigiamai veikia investicinius sprendimus. Šiuo metu pasaulyje vis labiau viena su kita varžosi Jungtinės Amerikos Valstijos ir Kinija, todėl sumažėjęs prekybos intensyvumas ir mažas našumo augimas gali turėti ilgalaikį poveikį Europos pozicijai. Visų pirma tai daro neigiamą poveikį gamybos sektoriui, kuriame taip pat vyksta struktūriniai pokyčiai. Todėl panašu, kad Europos ekonomika pereina prie vangesnio augimo ir mažos infliacijos laikotarpio. Dabar prognozuojama, kad 2019 m. euro zonos bendrasis vidaus produktas (BVP) išaugs 1,1 %, o 2020 ir 2021 m. – 1,2 %. 2019–2021 m. visos ES BVP turėtų didėti 1,4 % per metus.</w:t>
      </w:r>
      <w:r>
        <w:rPr>
          <w:rStyle w:val="CommentReference1"/>
          <w:rFonts w:ascii="Times New Roman" w:hAnsi="Times New Roman"/>
          <w:noProof/>
          <w:sz w:val="24"/>
          <w:szCs w:val="24"/>
        </w:rPr>
        <w:t xml:space="preserve"> </w:t>
      </w:r>
    </w:p>
    <w:p>
      <w:pPr>
        <w:jc w:val="both"/>
        <w:rPr>
          <w:rStyle w:val="CommentReference1"/>
          <w:rFonts w:ascii="Times New Roman" w:hAnsi="Times New Roman" w:cs="Times New Roman"/>
          <w:noProof/>
          <w:sz w:val="24"/>
          <w:szCs w:val="24"/>
        </w:rPr>
      </w:pPr>
      <w:r>
        <w:rPr>
          <w:rFonts w:ascii="Times New Roman" w:hAnsi="Times New Roman"/>
          <w:b/>
          <w:noProof/>
          <w:sz w:val="24"/>
          <w:szCs w:val="24"/>
        </w:rPr>
        <w:t xml:space="preserve">Vidutinio laikotarpio ekonomikos perspektyvas temdo visuomenės senėjimas, vangus našumo augimas ir vis didėjantis aplinkos būklės blogėjimo poveikis. </w:t>
      </w:r>
      <w:r>
        <w:rPr>
          <w:rFonts w:ascii="Times New Roman" w:hAnsi="Times New Roman"/>
          <w:noProof/>
          <w:sz w:val="24"/>
          <w:szCs w:val="24"/>
        </w:rPr>
        <w:t>Numatoma, kad iki 2024 m. dėl visuomenės senėjimo 11 valstybių narių darbo jėga sumažės daugiau nei 3 %, palyginti su šiandiena</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Iki 2060 m. ES darbo jėga sumažės 12 % procentų. Visa tai ir dešimtmečius trunkanti mažėjančio našumo augimo tendencija varžo ekonomikos augimo potencialą ir darys spaudimą viešiesiems finansams ateityje. Be to, numatoma, kad ekonominę veiklą vis labiau veiks aplinkos būklės blogėjimas, nes dažniau susidarys ekstremalios oro sąlygos, bus daromas poveikis žmonių sveikatai, o galimybių naudotis materialiniais ištekliais ir ekosisteminėmis paslaugomis, tikėtina, ne visada bus. </w:t>
      </w:r>
    </w:p>
    <w:p>
      <w:pPr>
        <w:jc w:val="both"/>
        <w:rPr>
          <w:rStyle w:val="CommentReference1"/>
          <w:rFonts w:ascii="Times New Roman" w:hAnsi="Times New Roman" w:cs="Times New Roman"/>
          <w:noProof/>
          <w:color w:val="000000"/>
          <w:sz w:val="24"/>
          <w:szCs w:val="24"/>
        </w:rPr>
      </w:pPr>
      <w:r>
        <w:rPr>
          <w:rStyle w:val="CommentReference1"/>
          <w:rFonts w:ascii="Times New Roman" w:hAnsi="Times New Roman"/>
          <w:b/>
          <w:noProof/>
          <w:sz w:val="24"/>
          <w:szCs w:val="24"/>
        </w:rPr>
        <w:t xml:space="preserve">Padangei niaukiantis, Europa turi sukurti naują augimo paradigmą, kurią įgyvendinus būtų galima veiksmingai išspręsti ilgalaikes visuomenę keičiančias problemas. </w:t>
      </w:r>
      <w:r>
        <w:rPr>
          <w:rStyle w:val="CommentReference1"/>
          <w:rFonts w:ascii="Times New Roman" w:hAnsi="Times New Roman"/>
          <w:noProof/>
          <w:sz w:val="24"/>
          <w:szCs w:val="24"/>
        </w:rPr>
        <w:t>Ši nauja paradigma taip pat bus svarbi įtvirtinant Europos politinę ir ekonominę lyderystę pasaulio mastu. Be to, ji padidins potencialų augimą ir taip padės užtikrinti, kad artimiausiu metu didėjant netikrumui Europa išliktų stipri.</w:t>
      </w:r>
    </w:p>
    <w:p>
      <w:pPr>
        <w:jc w:val="both"/>
        <w:rPr>
          <w:rStyle w:val="CommentReference1"/>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color w:val="000000"/>
          <w:sz w:val="24"/>
          <w:szCs w:val="24"/>
        </w:rPr>
      </w:pPr>
      <w:r>
        <w:rPr>
          <w:rFonts w:ascii="Times New Roman" w:hAnsi="Times New Roman"/>
          <w:b/>
          <w:noProof/>
          <w:sz w:val="24"/>
          <w:szCs w:val="24"/>
        </w:rPr>
        <w:t xml:space="preserve">Nauja paradigma tarpusavyje susijusioms pagrindinėms problemoms spręsti </w:t>
      </w:r>
    </w:p>
    <w:p>
      <w:pPr>
        <w:spacing w:after="120"/>
        <w:jc w:val="both"/>
        <w:rPr>
          <w:rFonts w:ascii="Times New Roman" w:hAnsi="Times New Roman" w:cs="Times New Roman"/>
          <w:b/>
          <w:bCs/>
          <w:noProof/>
          <w:color w:val="000000"/>
          <w:sz w:val="24"/>
          <w:szCs w:val="24"/>
        </w:rPr>
      </w:pPr>
      <w:r>
        <w:rPr>
          <w:rFonts w:ascii="Times New Roman" w:hAnsi="Times New Roman"/>
          <w:b/>
          <w:bCs/>
          <w:noProof/>
          <w:sz w:val="24"/>
          <w:szCs w:val="24"/>
        </w:rPr>
        <w:t>Konkurencingas tvarumas visuomet atliko esminį vaidmenį Europos socialinės rinkos ekonomikoje ir turėtų likti pagrindinis jos principas ateityje</w:t>
      </w:r>
      <w:r>
        <w:rPr>
          <w:rFonts w:ascii="Times New Roman" w:hAnsi="Times New Roman"/>
          <w:bCs/>
          <w:noProof/>
          <w:sz w:val="24"/>
          <w:szCs w:val="24"/>
        </w:rPr>
        <w:t>.</w:t>
      </w:r>
      <w:r>
        <w:rPr>
          <w:rFonts w:ascii="Times New Roman" w:hAnsi="Times New Roman"/>
          <w:noProof/>
          <w:sz w:val="24"/>
          <w:szCs w:val="24"/>
        </w:rPr>
        <w:t xml:space="preserve"> Perėjusi prie tvaraus ekonomikos modelio, pagrįsto skaitmeninėmis ir švariomis technologijomis, Europa gali tapti pertvarkos proceso lydere. Lyderystė aplinkos apsaugos srityje ir tvirta, novatoriška pramoninė bazė turi būti matomos kaip dvi to paties medalio pusės, suteikiančios ES konkurencinį pradininko pranašumą. Stabili ekonomika, suteikianti galimybę orientuoti politiką į ilgalaikę perspektyvą, ir teisingas perėjimas tiems, kuriuos pertvarka veikia labiausiai, yra būtina sėkmės sąlyga ir turėtų papildyti mūsų sistemą.</w:t>
      </w:r>
    </w:p>
    <w:p>
      <w:pPr>
        <w:spacing w:after="120"/>
        <w:jc w:val="both"/>
        <w:rPr>
          <w:noProof/>
          <w:sz w:val="24"/>
          <w:szCs w:val="24"/>
        </w:rPr>
      </w:pPr>
      <w:r>
        <w:rPr>
          <w:rFonts w:ascii="Times New Roman" w:hAnsi="Times New Roman"/>
          <w:b/>
          <w:bCs/>
          <w:noProof/>
          <w:sz w:val="24"/>
          <w:szCs w:val="24"/>
        </w:rPr>
        <w:t xml:space="preserve">Artimiausiais metais aplinkos tvarumas, našumo augimas, teisingumas ir makroekonominis stabilumas bus keturi pagrindiniai mūsų ekonominės politikos aspektai. </w:t>
      </w:r>
      <w:r>
        <w:rPr>
          <w:rFonts w:ascii="Times New Roman" w:hAnsi="Times New Roman"/>
          <w:bCs/>
          <w:noProof/>
          <w:sz w:val="24"/>
          <w:szCs w:val="24"/>
        </w:rPr>
        <w:t>Šiais aspektais, kurie yra glaudžiai tarpusavyje susiję ir vieni kitus sustiprina, reikėtų vadovautis vykdant struktūrines reformas, investuojant ir formuojant atsakingą fiskalinę politiką visose valstybėse narėse.</w:t>
      </w:r>
      <w:r>
        <w:rPr>
          <w:rFonts w:ascii="Times New Roman" w:hAnsi="Times New Roman"/>
          <w:b/>
          <w:noProof/>
          <w:sz w:val="24"/>
          <w:szCs w:val="24"/>
        </w:rPr>
        <w:t xml:space="preserve"> </w:t>
      </w:r>
    </w:p>
    <w:p>
      <w:pPr>
        <w:spacing w:after="120"/>
        <w:jc w:val="both"/>
        <w:rPr>
          <w:rFonts w:ascii="Times New Roman" w:hAnsi="Times New Roman" w:cs="Times New Roman"/>
          <w:noProof/>
          <w:color w:val="000000"/>
          <w:sz w:val="24"/>
          <w:szCs w:val="24"/>
        </w:rPr>
      </w:pPr>
      <w:r>
        <w:rPr>
          <w:rFonts w:ascii="Times New Roman" w:hAnsi="Times New Roman"/>
          <w:b/>
          <w:noProof/>
          <w:sz w:val="24"/>
          <w:szCs w:val="24"/>
        </w:rPr>
        <w:t>Šie keturi pagrindiniai aspektai bus labai svarbūs įgyvendinant darnaus vystymosi tikslus (DVT).</w:t>
      </w:r>
      <w:r>
        <w:rPr>
          <w:rFonts w:ascii="Times New Roman" w:hAnsi="Times New Roman"/>
          <w:noProof/>
          <w:sz w:val="24"/>
          <w:szCs w:val="24"/>
        </w:rPr>
        <w:t xml:space="preserve"> Įtraukus DVT į Europos semestrą, ypatingą dėmesį skiriant ekonominiams ir užimtumo aspektams, atsiranda unikali galimybė ekonominėje politikoje daugiausiai dėmesio skirti žmonėms, jų sveikatai ir planetai. Dėmesio sutelkimas į DVT rengiant Sąjungos politiką ir veiksmus taip pat yra aiški žinia šiandienos geopolitiniame kontekste apie Europos įsipareigojimą siekti tvarumo.</w:t>
      </w:r>
    </w:p>
    <w:p>
      <w:pPr>
        <w:pStyle w:val="ListParagraph"/>
        <w:ind w:left="0"/>
        <w:rPr>
          <w:noProof/>
          <w:sz w:val="24"/>
          <w:szCs w:val="24"/>
        </w:rPr>
      </w:pPr>
    </w:p>
    <w:p>
      <w:pPr>
        <w:pStyle w:val="ListParagraph"/>
        <w:ind w:left="0"/>
        <w:rPr>
          <w:rFonts w:ascii="Times New Roman" w:hAnsi="Times New Roman" w:cs="Times New Roman"/>
          <w:noProof/>
          <w:sz w:val="24"/>
          <w:szCs w:val="24"/>
        </w:rPr>
      </w:pPr>
      <w:r>
        <w:rPr>
          <w:noProof/>
          <w:lang w:val="en-GB" w:eastAsia="en-GB"/>
        </w:rPr>
        <w:drawing>
          <wp:inline distT="0" distB="0" distL="0" distR="0">
            <wp:extent cx="5759450" cy="41683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168336"/>
                    </a:xfrm>
                    <a:prstGeom prst="rect">
                      <a:avLst/>
                    </a:prstGeom>
                    <a:noFill/>
                    <a:ln>
                      <a:noFill/>
                    </a:ln>
                  </pic:spPr>
                </pic:pic>
              </a:graphicData>
            </a:graphic>
          </wp:inline>
        </w:drawing>
      </w:r>
    </w:p>
    <w:p>
      <w:pPr>
        <w:pStyle w:val="ListParagraph"/>
        <w:ind w:left="0"/>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b/>
          <w:noProof/>
          <w:sz w:val="24"/>
          <w:szCs w:val="24"/>
        </w:rPr>
        <w:t>Kad lydėtų sėkmė, trumpuoju ir ilguoju laikotarpiais reikia užtikrinti naudos ir išlaidų pusiausvyrą.</w:t>
      </w:r>
      <w:r>
        <w:rPr>
          <w:rFonts w:ascii="Times New Roman" w:hAnsi="Times New Roman"/>
          <w:noProof/>
          <w:sz w:val="24"/>
          <w:szCs w:val="24"/>
        </w:rPr>
        <w:t xml:space="preserve"> Nauda reikėtų dalytis, o išlaidų neturėtų padengti labiausiai pažeidžiami asmenys. Tiek pati klimato kaita, tiek gretutinė politika, reikalinga jos keliamoms problemoms spręsti, turi reikšmingų pasiskirstymo pasekmių, ypač trumpuoju laikotarpiu. Formuodami politiką ir rengdami rekomendacijas dėl struktūrinių reformų, turime užtikrinti, kad būtų suteikta parama šių socialinių pokyčių labiausiai paveiktiems žmonėms. Kita vertus, pereinant prie žaliosios ekonomikos taip pat bus sukurta naujų darbo vietų ir didesnė gerovė, pavyzdžiui, sveikesnė darbo ir gyvenimo aplinka.</w:t>
      </w:r>
      <w:r>
        <w:rPr>
          <w:noProof/>
          <w:sz w:val="24"/>
          <w:szCs w:val="24"/>
        </w:rPr>
        <w:t xml:space="preserve"> </w:t>
      </w:r>
      <w:r>
        <w:rPr>
          <w:rFonts w:ascii="Times New Roman" w:hAnsi="Times New Roman"/>
          <w:noProof/>
          <w:sz w:val="24"/>
          <w:szCs w:val="24"/>
        </w:rPr>
        <w:t xml:space="preserve">Kitose politikos srityse taip pat esama trumpalaikių kompromisų. Pavyzdžiui, kai siekiama įtraukesnio augimo, į darbo rinką integravus daugiau žemos kvalifikacijos darbuotojų trumpuoju laikotarpiu gali sumažėti vidutinis našumas. Tačiau tai nemenkina darbo rinkos integracijos teikiamos ilgalaikės naudos: ilgainiui tai padeda kurti geriau subalansuotą ir klestinčią visuomenę. Siekiant kuo labiau padidinti įvairių nustatytų politikos tikslų sinergiją, reikės didelių viešųjų ir privačiųjų investicijų, pavyzdžiui, į švietimą, perkvalifikavimą ir inovacijas. </w:t>
      </w:r>
    </w:p>
    <w:p>
      <w:pPr>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b/>
          <w:noProof/>
          <w:sz w:val="24"/>
          <w:szCs w:val="24"/>
        </w:rPr>
        <w:t>Aplinkos tvarumas</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Spręsti klimato ir aplinkos problemas yra pamatinis šios kartos uždavinys. </w:t>
      </w:r>
      <w:r>
        <w:rPr>
          <w:rFonts w:ascii="Times New Roman" w:hAnsi="Times New Roman"/>
          <w:noProof/>
          <w:sz w:val="24"/>
          <w:szCs w:val="24"/>
        </w:rPr>
        <w:t>Ir taip bus dar ilgai.</w:t>
      </w:r>
      <w:r>
        <w:rPr>
          <w:rFonts w:ascii="Times New Roman" w:hAnsi="Times New Roman"/>
          <w:b/>
          <w:noProof/>
          <w:sz w:val="24"/>
          <w:szCs w:val="24"/>
        </w:rPr>
        <w:t xml:space="preserve"> </w:t>
      </w:r>
      <w:r>
        <w:rPr>
          <w:rFonts w:ascii="Times New Roman" w:hAnsi="Times New Roman"/>
          <w:noProof/>
          <w:sz w:val="24"/>
          <w:szCs w:val="24"/>
        </w:rPr>
        <w:t>Siekiant pereiti prie neutralaus poveikio klimatui ekonomikos, reikia iš esmės pertvarkyti ekonomiką per vienos kartos gyvenimą. Šie pokyčiai yra susiję ne tik su energetikos, statybos ir transporto sektoriais, bet ir su pramonės, žemės ūkio bei paslaugų sektoriais. Tuo pat metu jie suteikia unikalią galimybę modernizuoti senstančias ES ekonomikos kapitalo atsargas ir tvariai vėl padidinti konkurencingumą, daugiausiai dėmesio perėjimo procese skiriant žmonėms.</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Skyrus daugiau dėmesio klimato ir aplinkos politikai sustiprinamas Europos semestro, kaip visa apimančios ekonominės ir užimtumo politikos priemonės, vaidmuo. </w:t>
      </w:r>
      <w:r>
        <w:rPr>
          <w:rFonts w:ascii="Times New Roman" w:hAnsi="Times New Roman"/>
          <w:noProof/>
          <w:sz w:val="24"/>
          <w:szCs w:val="24"/>
        </w:rPr>
        <w:t>Augimo galimybės, atsirandančios dėl didesnio dėmesio aplinkos tvarumui, yra esminė Europos ekonominės darbotvarkės dalis. Per semestrą valstybėms narėms galima pateikti konkrečių rekomendacijų dėl to, kuriose srityse labiausiai reikia struktūrinių reformų ir investicijų siekiant įgyvendinti tvaresnį ir konkurencingesnį ekonomikos modelį. Semestras taip pat gali padėti valstybėms narėms nustatyti pagrindinius kompromisus ir imtis reikiamų veiksmų, pavyzdžiui, socialinį didėjančių energijos kainų poveikį mažinti tinkama socialine ir fiskaline politika. Europa turi ryžtingai imtis veiksmų tokiose srityse kaip žiedinė ekonomika, atsinaujinančioji energija, efektyviai energiją vartojantys pastatai ir mažataršis transportas. Europos pramonė energijos vartojimo požiūriu jau dabar yra viena iš efektyviausių pasaulyje. Europa turi tuo pasinaudoti ir suteikti papildomų paskatų įmonėms ir investuotojams, kad valstybės narės galėtų pasiekti plataus užmojo klimato tikslus. Vykdant reformas reikia numatyti paramą žmonėms, sektoriams ir regionams, kuriuos pertvarka paveiks labiausiai. Strategiją padės įgyvendinti toliau didinamas dėmesys žaliosioms ir skaitmeninėms investicijoms sanglaudos politikoje.</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Europa turi investuoti rekordines sumas į pažangiausius mokslinius tyrimus ir inovacijas, naudodamasi visomis kito ES biudžeto lankstumo galimybėmis ir sutelkdama dėmesį į tas sritis, kurių potencialas didžiausias. Investicijas reikėtų nukreipti į švarų turtą, kuris padėtų našiausiai švelninti klimato kaitą, ir į ardomųjų inovacijų pastangas tiek ES, tiek nacionaliniu lygmenimis. Nustatytiems 2030 m. klimato ir energetikos tikslams pasiekti 2021–2030 m. kasmet reikės 260 mlrd. EUR papildomų investicijų į energijos sistemą. Didžiausio investicijų postūmio reikės energijos vartojimo efektyvumui didinti gyvenamųjų namų ir paslaugų sektoriuose. Be to, reikės daug investuoti į elektros energijos gamybos ir tinklų infrastruktūrą. Kad automobilių pramonė pasiektų naujiems automobiliams keliamus išmetamųjų teršalų tikslus, per kitus dvejus metus bus labai svarbu sparčiai diegti alternatyviųjų degalų infrastruktūrą. </w:t>
      </w:r>
    </w:p>
    <w:p>
      <w:pPr>
        <w:spacing w:after="120"/>
        <w:jc w:val="both"/>
        <w:rPr>
          <w:rFonts w:ascii="Times New Roman" w:hAnsi="Times New Roman" w:cs="Times New Roman"/>
          <w:b/>
          <w:noProof/>
          <w:sz w:val="24"/>
          <w:szCs w:val="24"/>
        </w:rPr>
      </w:pPr>
      <w:r>
        <w:rPr>
          <w:rFonts w:ascii="Times New Roman" w:hAnsi="Times New Roman"/>
          <w:noProof/>
          <w:sz w:val="24"/>
          <w:szCs w:val="24"/>
        </w:rPr>
        <w:t xml:space="preserve">Atsižvelgiant į tai, reikia mokesčių ir (arba) subsidijų sistemų pakeitimų, siekiant užtikrinti, kad paskatos būtų palankios klimatui ir aplinkai, ir pritraukti investicijoms būtiną finansavimą. Tačiau vien viešojo finansavimo neužteks. Turime išnaudoti privačiąsias investicijas, žaliajam ir tvariam finansavimui skirdami daugiausia dėmesio Europos investicijų grandinėje ir finansų sistemoje. </w:t>
      </w:r>
    </w:p>
    <w:p>
      <w:pPr>
        <w:spacing w:after="120"/>
        <w:jc w:val="both"/>
        <w:rPr>
          <w:rFonts w:ascii="Times New Roman" w:hAnsi="Times New Roman" w:cs="Times New Roman"/>
          <w:noProof/>
          <w:sz w:val="24"/>
          <w:szCs w:val="24"/>
        </w:rPr>
      </w:pPr>
      <w:r>
        <w:rPr>
          <w:rFonts w:ascii="Times New Roman" w:hAnsi="Times New Roman"/>
          <w:b/>
          <w:noProof/>
          <w:sz w:val="24"/>
          <w:szCs w:val="24"/>
        </w:rPr>
        <w:t xml:space="preserve">Paskatinti privačiąsias ir viešąsias žaliąsias investicijas Europos Sąjunga gali įgyvendindama Tvarios Europos investicijų planą. </w:t>
      </w:r>
      <w:r>
        <w:rPr>
          <w:rFonts w:ascii="Times New Roman" w:hAnsi="Times New Roman"/>
          <w:noProof/>
          <w:sz w:val="24"/>
          <w:szCs w:val="24"/>
        </w:rPr>
        <w:t xml:space="preserve">Šiame plane bus derinamas tikslinis finansavimas tvarioms investicijoms remti ir pasiūlymai dėl patobulintos reguliavimo sistemos, siekiant pritraukti tvarių investicijų į kiekvieną ES kampelį. Tai bus pasiekta klimato veiksmams skiriant kaip niekad didelę ES išlaidų dalį, pritraukiant privatųjį finansavimą (suteikiant garantijas), sukuriant galimybių atveriančią sistemą ir padedant projektų vykdytojams parengti finansiškai naudingus žaliuosius projektus. Šioje srityje daug prisidės programa „InvestEU“. Be to, Europos investicijų banko (EIB) grupė taps Europos klimato banku: jo klimato srities tikslas dvigubai padidintas iki 50 %. Pagal būsimą Teisingos pertvarkos mechanizmą Komisija taip pat dirbs su EIB grupe siekdama pritraukti daug investicijų į regionus, kuriems reikės ypatingos pagalbos vykstant su aplinka ir klimatu susijusiai pertvarkai per kitos daugiametės finansinės programos (DFP) laikotarpį. </w:t>
      </w:r>
    </w:p>
    <w:p>
      <w:pPr>
        <w:spacing w:after="120"/>
        <w:jc w:val="both"/>
        <w:rPr>
          <w:rFonts w:ascii="Times New Roman" w:hAnsi="Times New Roman" w:cs="Times New Roman"/>
          <w:noProof/>
          <w:sz w:val="24"/>
          <w:szCs w:val="24"/>
        </w:rPr>
      </w:pPr>
      <w:r>
        <w:rPr>
          <w:rFonts w:ascii="Times New Roman" w:hAnsi="Times New Roman"/>
          <w:b/>
          <w:noProof/>
          <w:sz w:val="24"/>
          <w:szCs w:val="24"/>
        </w:rPr>
        <w:t>Papildomas klimato veiksmų ir ekonomikos modernizavimo finansavimo šaltinis yra didėjančios pajamos iš ES šiltnamio efektą sukeliančių dujų apyvartinių taršos leidimų prekybos sistemos (ATLPS).</w:t>
      </w:r>
      <w:r>
        <w:rPr>
          <w:rFonts w:ascii="Times New Roman" w:hAnsi="Times New Roman"/>
          <w:noProof/>
          <w:sz w:val="24"/>
          <w:szCs w:val="24"/>
        </w:rPr>
        <w:t xml:space="preserve"> 2018 m. pajamos iš ATLPS aukcionų siekė maždaug 14 mlrd. EUR. Numatoma, kad 2019 m. pajamos iš ATLPS aukcionų turėtų būti dar didesnės, artimiausiais metais metinės pajamos taip pat išliks didelės. Šiomis lėšomis reikėtų pasinaudoti siekiant 2030 m. klimato ir energetikos tikslų ir jas investuoti į perėjimą prie neutralaus poveikio klimatui ekonomikos.</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b/>
          <w:noProof/>
          <w:sz w:val="24"/>
          <w:szCs w:val="24"/>
        </w:rPr>
        <w:t xml:space="preserve">Našumo augimas </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Senėjant visuomenei ir vis didėjant dėl ribotų išteklių kylantiems suvaržymams, būsimas pajamų ir užimtumo augimas Europoje labai priklausys nuo didesnio našumo ir inovacijų. </w:t>
      </w:r>
      <w:r>
        <w:rPr>
          <w:rFonts w:ascii="Times New Roman" w:hAnsi="Times New Roman"/>
          <w:noProof/>
          <w:sz w:val="24"/>
          <w:szCs w:val="24"/>
        </w:rPr>
        <w:t>ES našumo augimas ir toliau gerokai atsilieka nuo kitų pasaulinio masto veikėjų. XX a. 9-ajame dešimtmetyje valstybių narių ir JAV konvergencijos procesas sustojo. Tai atspindi ir pasaulinę Europos įmonių padėtį. Iš 100 didžiausių biržinių bendrovių šiandien tik 23 yra iš Europos. Prieš dešimt metų jų buvo 40. Tuo pat metu padidėjo skirtumai ES viduje: 10 % pirmaujančių regionų našumas daugiau nei šešis kartus didesnis nei 10 % atsiliekančių regionų. Valstybėse narėse diskutuojant dėl našumo didinimo būdų galėtų būti naudinga įsteigti nacionalines produktyvumo tarybas, nes jos teiktų aukštos kokybės nepriklausomą analizę ir didintų nacionalinę atsakomybę už struktūrines reformas.</w:t>
      </w:r>
    </w:p>
    <w:p>
      <w:pPr>
        <w:spacing w:after="120"/>
        <w:jc w:val="both"/>
        <w:rPr>
          <w:rFonts w:ascii="Times New Roman" w:hAnsi="Times New Roman" w:cs="Times New Roman"/>
          <w:b/>
          <w:noProof/>
          <w:sz w:val="24"/>
          <w:szCs w:val="24"/>
        </w:rPr>
      </w:pPr>
      <w:r>
        <w:rPr>
          <w:rFonts w:ascii="Times New Roman" w:hAnsi="Times New Roman"/>
          <w:b/>
          <w:bCs/>
          <w:noProof/>
          <w:sz w:val="24"/>
          <w:szCs w:val="24"/>
        </w:rPr>
        <w:t>Kad padidėtų našumas, reikia sisteminės ir į ateitį orientuotos mokslinių tyrimų ir inovacijų strategijos.</w:t>
      </w:r>
      <w:r>
        <w:rPr>
          <w:rFonts w:ascii="Times New Roman" w:hAnsi="Times New Roman"/>
          <w:noProof/>
          <w:sz w:val="24"/>
          <w:szCs w:val="24"/>
        </w:rPr>
        <w:t xml:space="preserve"> Daugumoje valstybių narių padidėjo našumo atotrūkis tarp geriausių rezultatų pasiekusių ir atsiliekančių įmonių. Įgyvendinus struktūrines reformas, kuriomis siekiama skatinti inovacijų sklaidą ir suteikti daugiau galimybių gauti finansavimą, gerokai daugiau įvairių įmonių galėtų pasinaudoti inovacijomis, ir tai paskatintų našumo augimą. Reikėtų remti viešąsias ir privačiąsias investicijas į novatoriškas technologijas, įskaitant pažangiąsias skaitmenines technologijas, siekiant paskatinti naujų prekių, paslaugų ir verslo modelių kūrimą. Reikia daugiau jaunų ir sumanių novatorių, kuriančių proveržio technologijas, tokių, kokie šios kartos technologijų gigantai buvo tik prieš dešimtmetį.</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Našesnei žaliajai ekonomikai itin svarbios skaitmeninės technologijos, kaip antai dirbtinis intelektas ar daiktų internetas, ir prieiga prie duomenų. </w:t>
      </w:r>
      <w:r>
        <w:rPr>
          <w:rFonts w:ascii="Times New Roman" w:hAnsi="Times New Roman"/>
          <w:noProof/>
          <w:sz w:val="24"/>
          <w:szCs w:val="24"/>
        </w:rPr>
        <w:t xml:space="preserve">Dėl jų mes kitaip bendraujame, gyvename ir dirbame. </w:t>
      </w:r>
      <w:r>
        <w:rPr>
          <w:rFonts w:ascii="Times New Roman" w:hAnsi="Times New Roman"/>
          <w:bCs/>
          <w:noProof/>
          <w:sz w:val="24"/>
          <w:szCs w:val="24"/>
        </w:rPr>
        <w:t>Dėl skaitmeninės transformacijos keičiantis dinamikai reikia užsibrėžti platesnio užmojo ES ir nacionalinio lygmens tikslus, susijusius su didesnėmis investicijomis, inovacijoms palankiu reglamentavimu, veiksmingomis reformomis ir į žmogų orientuotu požiūriu, pagrįstu Europos vertybėmis</w:t>
      </w:r>
      <w:r>
        <w:rPr>
          <w:rFonts w:ascii="Times New Roman" w:hAnsi="Times New Roman"/>
          <w:i/>
          <w:iCs/>
          <w:noProof/>
          <w:sz w:val="24"/>
          <w:szCs w:val="24"/>
        </w:rPr>
        <w:t xml:space="preserve">. </w:t>
      </w:r>
      <w:r>
        <w:rPr>
          <w:rFonts w:ascii="Times New Roman" w:hAnsi="Times New Roman"/>
          <w:noProof/>
          <w:sz w:val="24"/>
          <w:szCs w:val="24"/>
        </w:rPr>
        <w:t>Kad Europa galėtų pati gaminti technologijas, kurios būtinos, kad ji pirmautų pasaulinės konkurencijos sąlygomis, Europai reikia stiprios pramoninės bazės, grindžiamos bendra strategija ir pagrindiniuose sektoriuose sutelktais ištekliais. Kad išliktų technologiškai nepriklausoma, Europa taip pat turi investuoti į tokias novatoriškas technologijas kaip blokų grandinės, itin naši ir kvantinė kompiuterija, algoritmai ir priemonės, leidžiančios dalytis ir naudotis duomenimis. Duomenys ir dirbtinis intelektas</w:t>
      </w:r>
      <w:r>
        <w:rPr>
          <w:rFonts w:ascii="Times New Roman" w:hAnsi="Times New Roman"/>
          <w:b/>
          <w:noProof/>
          <w:sz w:val="24"/>
          <w:szCs w:val="24"/>
        </w:rPr>
        <w:t xml:space="preserve"> </w:t>
      </w:r>
      <w:r>
        <w:rPr>
          <w:rFonts w:ascii="Times New Roman" w:hAnsi="Times New Roman"/>
          <w:noProof/>
          <w:sz w:val="24"/>
          <w:szCs w:val="24"/>
        </w:rPr>
        <w:t xml:space="preserve">yra pagrindinės inovacijų varomosios jėgos, kurios gali padėti mums spręsti visuomenės uždavinius – nuo sveikatos iki ūkininkavimo ir maisto gamybos, nuo saugumo iki gamybos. </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Augančios pasaulinės įtampos laikais ES bendroji rinka suteikia valstybėms narėms daug įvairių galimybių plėsti prekybą, kurti darbo vietas ir skatinti augimą. </w:t>
      </w:r>
      <w:r>
        <w:rPr>
          <w:rFonts w:ascii="Times New Roman" w:hAnsi="Times New Roman"/>
          <w:noProof/>
          <w:sz w:val="24"/>
          <w:szCs w:val="24"/>
        </w:rPr>
        <w:t xml:space="preserve">Bendroji rinka yra vienas iš svarbiausių ES ekonomikos atsparumo šaltinių. Europos konkurentai yra žemyno dydžio ekonomikos, taigi ES reikia tikros žemyno dydžio bendrosios rinkos. Nauda akivaizdi: bendrojoje rinkoje sparčiau plinta technologinė pažanga. Tinkamai veikiančios produktų ir paslaugų rinkos yra pagrindinis našumo augimo veiksnys, nes jos sudaro sąlygas veiksmingiau paskirstyti išteklius. Tačiau rinkų integracijos pažanga nevienoda ir mums reikia naujo impulso, visų pirma bendrajai skaitmeninei rinkai, Europos tinklams ir kapitalo rinkų sąjungai. </w:t>
      </w:r>
    </w:p>
    <w:p>
      <w:pPr>
        <w:spacing w:after="120"/>
        <w:jc w:val="both"/>
        <w:rPr>
          <w:rFonts w:ascii="Times New Roman" w:hAnsi="Times New Roman" w:cs="Times New Roman"/>
          <w:noProof/>
          <w:sz w:val="24"/>
          <w:szCs w:val="24"/>
        </w:rPr>
      </w:pPr>
      <w:r>
        <w:rPr>
          <w:rFonts w:ascii="Times New Roman" w:hAnsi="Times New Roman"/>
          <w:b/>
          <w:bCs/>
          <w:noProof/>
          <w:sz w:val="24"/>
          <w:szCs w:val="24"/>
        </w:rPr>
        <w:t>Įgyvendinant ES darnaus vystymosi darbotvarkę svarbų vaidmenį atlieka standartizavimas – esminis bendrosios rinkos elementas.</w:t>
      </w:r>
      <w:r>
        <w:rPr>
          <w:rFonts w:ascii="Times New Roman" w:hAnsi="Times New Roman"/>
          <w:noProof/>
          <w:sz w:val="24"/>
          <w:szCs w:val="24"/>
        </w:rPr>
        <w:t xml:space="preserve"> Standartai atlieka esminį vaidmenį nukreipiant verslą siekti darnaus vystymosi tikslų, nes jie susieja teisines nuostatas ir realią techninę praktiką. Standartai taip pat padeda didinti konkurencingumą, nes sumažėja gamybos sąnaudos ir padidėja rinka. Dėl šių priežasčių standartizacija gali padėti kurti naujausia technologine pažanga pagrįstus novatoriškus produktus ir gamybos procesus, kurie prisidėtų prie energijos vartojimo efektyvumo, efektyvesnio perdirbimo ir tvarios gamybos. Akivaizdžiausi standartų vaidmens skatinant įgyvendinti darnaus vystymosi darbotvarkę pavyzdžiai yra ekologinis projektavimas ir energijos vartojimo efektyvumo ženklinimo politikos sistema</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Galiausiai, standartai taip pat prisideda prie sąžiningos pasaulinės konkurencijos.</w:t>
      </w:r>
    </w:p>
    <w:p>
      <w:pPr>
        <w:spacing w:after="0"/>
        <w:jc w:val="both"/>
        <w:rPr>
          <w:noProof/>
          <w:sz w:val="24"/>
          <w:szCs w:val="24"/>
        </w:rPr>
      </w:pPr>
    </w:p>
    <w:p>
      <w:pPr>
        <w:spacing w:after="0"/>
        <w:jc w:val="both"/>
        <w:rPr>
          <w:rFonts w:ascii="Times New Roman" w:hAnsi="Times New Roman" w:cs="Times New Roman"/>
          <w:noProof/>
          <w:sz w:val="24"/>
          <w:szCs w:val="24"/>
        </w:rPr>
      </w:pPr>
      <w:r>
        <w:rPr>
          <w:rFonts w:ascii="Times New Roman" w:hAnsi="Times New Roman"/>
          <w:noProof/>
          <w:sz w:val="24"/>
          <w:szCs w:val="24"/>
        </w:rPr>
        <w:t>1 langelis. Bendrosios rinkos indėlis ir bendrosios rinkos veikimo rezultatų ataskaita</w:t>
      </w:r>
      <w:r>
        <w:rPr>
          <w:rStyle w:val="FootnoteReference"/>
          <w:rFonts w:ascii="Times New Roman" w:hAnsi="Times New Roman" w:cs="Times New Roman"/>
          <w:noProof/>
          <w:sz w:val="24"/>
          <w:szCs w:val="24"/>
        </w:rPr>
        <w:footnoteReference w:id="5"/>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Bendroji rinka yra labai svarbus Sąjungos turtas.</w:t>
      </w:r>
      <w:r>
        <w:rPr>
          <w:rFonts w:ascii="Times New Roman" w:hAnsi="Times New Roman"/>
          <w:noProof/>
          <w:sz w:val="24"/>
          <w:szCs w:val="24"/>
        </w:rPr>
        <w:t xml:space="preserve"> Beprecedenčio 25 metus trukusio integracijos proceso rezultatas – glaudesni ekonominiai ir socialiniai asmenų ir įmonių ryšiai visose valstybėse narėse. Asmenims ir įmonėms bendroji rinka gali suteikti dar daugiau naudos.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Bendrąją rinką būtina baigti kurti ir įgyvendinti tose srityse, kuriose įdėtos pastangos iki šiol neatitinka lūkesčių,</w:t>
      </w:r>
      <w:r>
        <w:rPr>
          <w:rFonts w:ascii="Times New Roman" w:hAnsi="Times New Roman"/>
          <w:noProof/>
          <w:sz w:val="24"/>
          <w:szCs w:val="24"/>
        </w:rPr>
        <w:t xml:space="preserve"> taip pat ją reikia nuolat atnaujinti, kad būtų galima atsiliepti į naujus iššūkius. Tas pats pasakytina ir apie neseniai priimtus teisės aktus, turinčius įtakos </w:t>
      </w:r>
      <w:r>
        <w:rPr>
          <w:rFonts w:ascii="Times New Roman" w:hAnsi="Times New Roman"/>
          <w:b/>
          <w:noProof/>
          <w:sz w:val="24"/>
          <w:szCs w:val="24"/>
        </w:rPr>
        <w:t>skaitmeninei</w:t>
      </w:r>
      <w:r>
        <w:rPr>
          <w:rFonts w:ascii="Times New Roman" w:hAnsi="Times New Roman"/>
          <w:noProof/>
          <w:sz w:val="24"/>
          <w:szCs w:val="24"/>
        </w:rPr>
        <w:t xml:space="preserve"> ekonomikos daliai. Finansų krizė pabrėžė stabilumo ir integracijos svarbą </w:t>
      </w:r>
      <w:r>
        <w:rPr>
          <w:rFonts w:ascii="Times New Roman" w:hAnsi="Times New Roman"/>
          <w:b/>
          <w:noProof/>
          <w:sz w:val="24"/>
          <w:szCs w:val="24"/>
        </w:rPr>
        <w:t>kapitalo ir finansų rinkose</w:t>
      </w:r>
      <w:r>
        <w:rPr>
          <w:rFonts w:ascii="Times New Roman" w:hAnsi="Times New Roman"/>
          <w:noProof/>
          <w:sz w:val="24"/>
          <w:szCs w:val="24"/>
        </w:rPr>
        <w:t xml:space="preserve">, kurių fragmentacija ir toliau trukdo įmonėms augti ir investuoti. Vienu iš svarbiausių Sąjungos integracijos elementų tapo </w:t>
      </w:r>
      <w:r>
        <w:rPr>
          <w:rFonts w:ascii="Times New Roman" w:hAnsi="Times New Roman"/>
          <w:b/>
          <w:noProof/>
          <w:sz w:val="24"/>
          <w:szCs w:val="24"/>
        </w:rPr>
        <w:t>energija</w:t>
      </w:r>
      <w:r>
        <w:rPr>
          <w:rFonts w:ascii="Times New Roman" w:hAnsi="Times New Roman"/>
          <w:noProof/>
          <w:sz w:val="24"/>
          <w:szCs w:val="24"/>
        </w:rPr>
        <w:t xml:space="preserve">, tačiau energijos rinkų fragmentacija nacionaliniu mastu tebėra didelė. Siekiant užtikrinti, kad bendrosios rinkos veikimas pateisintų visuomenės lūkesčius, itin svarbu pasiekti aplinkos, klimato ir infrastruktūros tikslus. Bendroji rinka iš esmės pertvarkoma, kad ES įmonės ir asmenys galėtų kuo daugiau pasinaudoti naujų technologijų, pavyzdžiui, skaitmeninimo, teikiamomis galimybėmis.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Bendroji rinka labai svarbi Europos semestrui, o Europos semestras labai svarbus bendrajai rinkai.</w:t>
      </w:r>
      <w:r>
        <w:rPr>
          <w:rFonts w:ascii="Times New Roman" w:hAnsi="Times New Roman"/>
          <w:noProof/>
          <w:sz w:val="24"/>
          <w:szCs w:val="24"/>
        </w:rPr>
        <w:t xml:space="preserve"> Dauguma struktūrinių kliūčių, trukdančių visapusiškai pasinaudoti bendrosios rinkos teikiama nauda, faktiškai kyla dėl teisės aktų ar administracinės praktikos nacionaliniu, regioniniu ar vietos lygmeniu, dėl kurių prastėja verslo aplinka, o įmonės atgrasomos nuo tarpvalstybinės veiklos. Administracinio pajėgumo ar kvalifikuotų darbuotojų trūkumas kai kuriose valstybėse narėse neigiamai veikia viešųjų pirkimų rinkų rezultatus.</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Šios išvados atsispindi </w:t>
      </w:r>
      <w:r>
        <w:rPr>
          <w:rFonts w:ascii="Times New Roman" w:hAnsi="Times New Roman"/>
          <w:b/>
          <w:noProof/>
          <w:sz w:val="24"/>
          <w:szCs w:val="24"/>
        </w:rPr>
        <w:t>bendrosios rinkos veikimo rezultatų ataskaitoje</w:t>
      </w:r>
      <w:r>
        <w:rPr>
          <w:rFonts w:ascii="Times New Roman" w:hAnsi="Times New Roman"/>
          <w:noProof/>
          <w:sz w:val="24"/>
          <w:szCs w:val="24"/>
        </w:rPr>
        <w:t xml:space="preserve">; ši ataskaita, skelbiama kartu su šia metine tvaraus augimo strategija, yra 2020 m. Europos semestro ciklo naujiena.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Ataskaitos tikslas – </w:t>
      </w:r>
      <w:r>
        <w:rPr>
          <w:rFonts w:ascii="Times New Roman" w:hAnsi="Times New Roman"/>
          <w:b/>
          <w:noProof/>
          <w:sz w:val="24"/>
          <w:szCs w:val="24"/>
        </w:rPr>
        <w:t>įvertinti realiosios ekonomikos veikimą bendrojoje rinkoje</w:t>
      </w:r>
      <w:r>
        <w:rPr>
          <w:rFonts w:ascii="Times New Roman" w:hAnsi="Times New Roman"/>
          <w:noProof/>
          <w:sz w:val="24"/>
          <w:szCs w:val="24"/>
        </w:rPr>
        <w:t xml:space="preserve">. Anksčiau daugiausia stengtasi stebėti bendrosios rinkos teisines sąlygas siekiant užtikrinti, kad jos būtų tinkamai sudaromos, o dabar ataskaitoje daugiausiai dėmesio skiriama </w:t>
      </w:r>
      <w:r>
        <w:rPr>
          <w:rFonts w:ascii="Times New Roman" w:hAnsi="Times New Roman"/>
          <w:b/>
          <w:noProof/>
          <w:sz w:val="24"/>
          <w:szCs w:val="24"/>
        </w:rPr>
        <w:t>bendrosios rinkos rezultatams ir laimėjimams</w:t>
      </w:r>
      <w:r>
        <w:rPr>
          <w:rFonts w:ascii="Times New Roman" w:hAnsi="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Ataskaitoje pirmiausia aptariamos </w:t>
      </w:r>
      <w:r>
        <w:rPr>
          <w:rFonts w:ascii="Times New Roman" w:hAnsi="Times New Roman"/>
          <w:b/>
          <w:noProof/>
          <w:sz w:val="24"/>
          <w:szCs w:val="24"/>
        </w:rPr>
        <w:t>kliūtys, trukdančios piliečiams ir įmonėms gauti bendrosios rinkos teikiamą naudą</w:t>
      </w:r>
      <w:r>
        <w:rPr>
          <w:rFonts w:ascii="Times New Roman" w:hAnsi="Times New Roman"/>
          <w:noProof/>
          <w:sz w:val="24"/>
          <w:szCs w:val="24"/>
        </w:rPr>
        <w:t xml:space="preserve">. Antra, joje vertinami </w:t>
      </w:r>
      <w:r>
        <w:rPr>
          <w:rFonts w:ascii="Times New Roman" w:hAnsi="Times New Roman"/>
          <w:b/>
          <w:noProof/>
          <w:sz w:val="24"/>
          <w:szCs w:val="24"/>
        </w:rPr>
        <w:t>bendrosios rinkos laimėjimai</w:t>
      </w:r>
      <w:r>
        <w:rPr>
          <w:rFonts w:ascii="Times New Roman" w:hAnsi="Times New Roman"/>
          <w:noProof/>
          <w:sz w:val="24"/>
          <w:szCs w:val="24"/>
        </w:rPr>
        <w:t xml:space="preserve">: daugiau pasirinkimo galimybių vartotojams ir įmonėms, mažesnės kainos ir aukšti vartotojų saugos bei aplinkos apsaugos standartai. Galiausiai, joje nagrinėjama įvairių rūšių veikla, svarbi geram bendrosios rinkos veikimui, </w:t>
      </w:r>
      <w:r>
        <w:rPr>
          <w:rFonts w:ascii="Times New Roman" w:hAnsi="Times New Roman"/>
          <w:b/>
          <w:noProof/>
          <w:sz w:val="24"/>
          <w:szCs w:val="24"/>
        </w:rPr>
        <w:t>įskaitant jos aplinkosauginį veiksmingumą ir skaimeninimą</w:t>
      </w:r>
      <w:r>
        <w:rPr>
          <w:rFonts w:ascii="Times New Roman" w:hAnsi="Times New Roman"/>
          <w:noProof/>
          <w:sz w:val="24"/>
          <w:szCs w:val="24"/>
        </w:rPr>
        <w:t xml:space="preserve">. Atsižvelgiant į šias aplinkybes, bendrosios rinkos veikimo rezultatų ataskaitoje siekiama pabrėžti valstybės narės lygmens struktūrinių reformų svarbą geram bendrosios rinkos veikimui. </w:t>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noProof/>
          <w:sz w:val="24"/>
          <w:szCs w:val="24"/>
        </w:rPr>
      </w:pPr>
      <w:r>
        <w:rPr>
          <w:rFonts w:ascii="Times New Roman" w:hAnsi="Times New Roman"/>
          <w:b/>
          <w:noProof/>
          <w:sz w:val="24"/>
          <w:szCs w:val="24"/>
        </w:rPr>
        <w:t>Didesnis dėmesys bendrosios rinkos klausimams taip pat paskatins integraciją.</w:t>
      </w:r>
      <w:r>
        <w:rPr>
          <w:rFonts w:ascii="Times New Roman" w:hAnsi="Times New Roman"/>
          <w:noProof/>
          <w:sz w:val="24"/>
          <w:szCs w:val="24"/>
        </w:rPr>
        <w:t xml:space="preserve"> Struktūrinės reformos glaudžiai integruotoje rinkoje bus naudingos ne tik šalies, kurioje tokios reformos vykdomos, vartotojams, bet ir kitų valstybių narių vartotojams. </w:t>
      </w: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b/>
          <w:noProof/>
          <w:sz w:val="24"/>
          <w:szCs w:val="24"/>
        </w:rPr>
        <w:t>Europos finansų sektorius turi labiau remti inovacijas ir investicijas į ekonomiką.</w:t>
      </w:r>
      <w:r>
        <w:rPr>
          <w:rFonts w:ascii="Times New Roman" w:hAnsi="Times New Roman"/>
          <w:noProof/>
          <w:sz w:val="24"/>
          <w:szCs w:val="24"/>
        </w:rPr>
        <w:t xml:space="preserve"> Europa turi toliau plėsti savo finansų rinkas, kad visos perspektyvios bendrovės, įskaitant novatoriškas ateities įmones, galėtų gauti finansavimą ir investuoti į darbo vietų kūrimą ir augimą. Tolesnės priemonės, kurių tikslas – baigti kurti kapitalo rinkų sąjungą, užtikrins, kad įmonės galėtų gauti finansavimą, kurio joms reikia norint augti, diegti inovacijas ir plėsti veiklą. Reikia, kad įmonės, visų pirma MVĮ, visapusiškai pasinaudotų galimybėmis, kurias teikia integracija į tarpvalstybines vertės grandines ir glaudi pramonės ir paslaugų sąsaja, būdinga skaitmeniniam amžiui. Siekti šio tikslo padės ir ES biudžetas, nes paskatins privačiąsias investicijas į šiuos sektorius. </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Didesnio našumo ir inovacijų nepavyks užtikrinti be didelių investicijų į švietimą ir įgūdžių ugdymą. </w:t>
      </w:r>
      <w:r>
        <w:rPr>
          <w:rFonts w:ascii="Times New Roman" w:hAnsi="Times New Roman"/>
          <w:noProof/>
          <w:sz w:val="24"/>
          <w:szCs w:val="24"/>
        </w:rPr>
        <w:t>Labai svarbu remti suaugusius darbuotojus, visų pirma 60 milijonų žemos kvalifikacijos suaugusiųjų, kad jie įgytų daugiau aukštesnio lygmens įgūdžių. Taip pat reikia imtis pirminio švietimo ir mokymo reformų, kad prastai besimokančiųjų dalis (dabar daugiau nei 20 % mokinių skaitymo, matematikos ir tiksliųjų mokslų rezultatai prasti) nustotų didėti. Būtina mažinti skaitmeninių įgūdžių trūkumą. Išsamios įgūdžių ugdymo strategijos turėtų būti orientuotos į individualius kvalifikacijos kėlimo ir perkvalifikavimo poreikius, bendrą asmenų, įmonių ir vyriausybių atsakomybę, atsižvelgiant į labiausiai pažeidžiamų asmenų poreikius</w:t>
      </w:r>
      <w:r>
        <w:rPr>
          <w:noProof/>
          <w:color w:val="1F497D"/>
          <w:sz w:val="24"/>
          <w:szCs w:val="24"/>
        </w:rPr>
        <w:t>.</w:t>
      </w:r>
    </w:p>
    <w:p>
      <w:pPr>
        <w:spacing w:after="120"/>
        <w:jc w:val="both"/>
        <w:rPr>
          <w:rFonts w:ascii="Times New Roman" w:hAnsi="Times New Roman"/>
          <w:noProof/>
          <w:sz w:val="24"/>
          <w:szCs w:val="24"/>
        </w:rPr>
      </w:pPr>
      <w:r>
        <w:rPr>
          <w:rFonts w:ascii="Times New Roman" w:hAnsi="Times New Roman"/>
          <w:b/>
          <w:noProof/>
          <w:sz w:val="24"/>
          <w:szCs w:val="24"/>
        </w:rPr>
        <w:t xml:space="preserve">Augimą ir našumą reikia skatinti konkurencingomis ir veiksmingomis rinkomis ir struktūrinėmis reformomis, kuriomis šalinamos verslo aplinkos kliūtys. </w:t>
      </w:r>
      <w:r>
        <w:rPr>
          <w:rFonts w:ascii="Times New Roman" w:hAnsi="Times New Roman"/>
          <w:noProof/>
          <w:sz w:val="24"/>
          <w:szCs w:val="24"/>
        </w:rPr>
        <w:t>Svarbūs valstybės narės verslo aplinkos veiksniai yra geras valdymas, veiksmingos institucijos, nepriklausomos ir efektyvios teisingumo sistemos, kokybiškos viešojo administravimo institucijos, patikimos kovos su korupcija sistemos, veiksmingi viešieji pirkimai ir efektyvios nemokumo ir mokesčių sistemos. Visi šie aspektai, įskaitant su teisine valstybe susijusius aspektus, gali turėti įtakos investiciniams sprendimams ir dėl to yra svarbūs siekiant tikslo didinti našumą ir konkurencingumą.</w:t>
      </w:r>
      <w:r>
        <w:rPr>
          <w:rFonts w:ascii="Times New Roman" w:hAnsi="Times New Roman"/>
          <w:b/>
          <w:noProof/>
          <w:sz w:val="24"/>
          <w:szCs w:val="24"/>
        </w:rPr>
        <w:t xml:space="preserve"> </w:t>
      </w:r>
      <w:r>
        <w:rPr>
          <w:rFonts w:ascii="Times New Roman" w:hAnsi="Times New Roman"/>
          <w:noProof/>
          <w:sz w:val="24"/>
          <w:szCs w:val="24"/>
        </w:rPr>
        <w:t xml:space="preserve">Tai dar aktualiau globalioje ir skaitmeninėje labai judaus kapitalo aplinkoje. Per kitus esamus valdymo procesus gautomis įžvalgomis apie valstybių narių institucinius ir administracinius veiklos rezultatus bus pasinaudota per Europos semestrą ir atliekant makroekonominį vertinimą. </w:t>
      </w:r>
    </w:p>
    <w:p>
      <w:pPr>
        <w:spacing w:after="120"/>
        <w:jc w:val="both"/>
        <w:rPr>
          <w:rFonts w:ascii="Times New Roman" w:hAnsi="Times New Roman" w:cs="Times New Roman"/>
          <w:b/>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Teisingumas</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Kad pagerintų savo ekonominės ir socialinės veiklos rezultatus, ES turi visiškai įgyvendinti Europos socialinių teisių ramsčio principus. </w:t>
      </w:r>
      <w:r>
        <w:rPr>
          <w:rFonts w:ascii="Times New Roman" w:hAnsi="Times New Roman"/>
          <w:noProof/>
          <w:sz w:val="24"/>
          <w:szCs w:val="24"/>
        </w:rPr>
        <w:t>Nors ekonomikos atsigavimas visoje Europoje padėjo pagerinti užimtumo ir socialinius rezultatus, reikia imtis veiksmų siekiant užtikrinti galimybes naudotis socialinėmis teisėmis ir mažinti augančios socialinės atskirties keliamą riziką.</w:t>
      </w:r>
    </w:p>
    <w:p>
      <w:pPr>
        <w:spacing w:after="120"/>
        <w:jc w:val="both"/>
        <w:rPr>
          <w:rFonts w:ascii="Times New Roman" w:hAnsi="Times New Roman" w:cs="Times New Roman"/>
          <w:b/>
          <w:bCs/>
          <w:noProof/>
          <w:sz w:val="24"/>
          <w:szCs w:val="24"/>
        </w:rPr>
      </w:pPr>
      <w:r>
        <w:rPr>
          <w:rFonts w:ascii="Times New Roman" w:hAnsi="Times New Roman"/>
          <w:b/>
          <w:bCs/>
          <w:noProof/>
          <w:sz w:val="24"/>
          <w:szCs w:val="24"/>
        </w:rPr>
        <w:t xml:space="preserve">Kiekvienas darbuotojas Europoje nusipelno teisingų darbo sąlygų. </w:t>
      </w:r>
      <w:r>
        <w:rPr>
          <w:rFonts w:ascii="Times New Roman" w:hAnsi="Times New Roman"/>
          <w:bCs/>
          <w:noProof/>
          <w:sz w:val="24"/>
          <w:szCs w:val="24"/>
        </w:rPr>
        <w:t>Dirbančiųjų skurdas daugelyje ES šalių vis dar viršija prieš krizę buvusį lygį: beveik 1 iš 10 darbuotojų Europoje gresia skurdas. Nesavanoriško darbo ne visą darbo dieną lygis keliose valstybėse narėse vis dar aukštas, nors ir mažėja, o plintantis netipinių formų darbas didina darbo rinkos segmentaciją. Šiuo atžvilgiu svarbūs politikos tikslai yra užtikrinti, kad kiekvienas darbuotojas gautų sąžiningą darbo užmokestį, skatinti perėjimą prie neterminuotų darbo visą darbo dieną sutarčių, taip pat investuoti į žmones ir jų įgūdžius. Šalyse, kuriose socialinis dialogas silpnas, reikėtų skatinti aktyvesnį socialinių partnerių dalyvavimą ir labiau remti jų pajėgumų didinimą. Kad parama darbuotojams būtų toliau teikiama ir stipraus ekonominio sukrėtimo atveju</w:t>
      </w:r>
      <w:r>
        <w:rPr>
          <w:rFonts w:ascii="Times New Roman" w:hAnsi="Times New Roman"/>
          <w:noProof/>
          <w:sz w:val="24"/>
          <w:szCs w:val="24"/>
        </w:rPr>
        <w:t>, nacionalinius veiksmus galėtų papildyti Europos nedarbo draudimo išmokų perdraudimo sistema. Be to, ES turėtų dėti daugiau pastangų kovojant su visų formų neteisėtu užimtumu, kuris prisideda prie socialinio dempingo ir darbuotojų išnaudojimo.</w:t>
      </w:r>
    </w:p>
    <w:p>
      <w:pPr>
        <w:spacing w:after="120"/>
        <w:jc w:val="both"/>
        <w:rPr>
          <w:rFonts w:ascii="Times New Roman" w:hAnsi="Times New Roman" w:cs="Times New Roman"/>
          <w:b/>
          <w:noProof/>
          <w:sz w:val="24"/>
          <w:szCs w:val="24"/>
        </w:rPr>
      </w:pPr>
      <w:r>
        <w:rPr>
          <w:rFonts w:ascii="Times New Roman" w:hAnsi="Times New Roman"/>
          <w:b/>
          <w:bCs/>
          <w:noProof/>
          <w:sz w:val="24"/>
          <w:szCs w:val="24"/>
        </w:rPr>
        <w:t>Moterų padėtis darbo rinkoje tebėra nepalanki.</w:t>
      </w:r>
      <w:r>
        <w:rPr>
          <w:rFonts w:ascii="Times New Roman" w:hAnsi="Times New Roman"/>
          <w:bCs/>
          <w:noProof/>
          <w:sz w:val="24"/>
          <w:szCs w:val="24"/>
        </w:rPr>
        <w:t xml:space="preserve"> Nepaisant apskritai geresnių moterų mokymosi rezultatų, moterų ir vyrų užimtumo lygio ir darbo užmokesčio skirtumai per pastaruosius kelerius metus iš esmės nesikeitė. Pašalinus šiuos skirtumus būtų padarytas teigiamas poveikis ekonomikai ir visuomenei. Siekiant padidinti moterų užimtumo lygį ir padėti kovoti su vaikų skurdu, labai svarbu vykdyti veiksmingą profesinio ir šeimos gyvenimo pusiausvyros politiką, užtikrinti galimybę naudotis kokybiškomis vaiko priežiūros paslaugomis ir šalinti mokesčių ir išmokų sistemos paskatas nedirbti.</w:t>
      </w:r>
    </w:p>
    <w:p>
      <w:pPr>
        <w:spacing w:after="120"/>
        <w:jc w:val="both"/>
        <w:rPr>
          <w:rFonts w:ascii="Times New Roman" w:hAnsi="Times New Roman" w:cs="Times New Roman"/>
          <w:noProof/>
          <w:sz w:val="24"/>
          <w:szCs w:val="24"/>
        </w:rPr>
      </w:pPr>
      <w:r>
        <w:rPr>
          <w:rFonts w:ascii="Times New Roman" w:hAnsi="Times New Roman"/>
          <w:b/>
          <w:noProof/>
          <w:sz w:val="24"/>
          <w:szCs w:val="24"/>
        </w:rPr>
        <w:t xml:space="preserve">Norint padidinti teisingumą, būtina investuoti į įgūdžius, adekvačias ir tvarias socialinės apsaugos sistemas ir kovoti su atskirtimi. </w:t>
      </w:r>
      <w:r>
        <w:rPr>
          <w:rFonts w:ascii="Times New Roman" w:hAnsi="Times New Roman"/>
          <w:noProof/>
          <w:sz w:val="24"/>
          <w:szCs w:val="24"/>
        </w:rPr>
        <w:t xml:space="preserve">Siekiant ateityje į visuomenę įtraukti visus žmones, labai svarbu didinti švietimo ir mokymo sistemų įtraukumą ir gerinti kokybę. Reikėtų mažinti mokyklos nebaigusių asmenų skaičių ir gerinti profesinio rengimo ir mokymo kokybę bei didinti patrauklumą. Tačiau investicijos į įgūdžius dar toli gražu nepakankamos. Socialinės apsaugos sistemas būtina pritaikyti taip, kad būtų apsaugoti visi, kuriems to reikia, nepriklausomai nuo jų užimtumo statuso. Europa turi veiksmingiau mažinti grupių, kurioms gresia atskirtis, be kita ko, neįgaliųjų, romų ir migrantų, nelygybę, siekdama užtikrinti, kad jie galėtų visapusiškai išnaudoti savo potencialą prisidėti prie ekonomikos, socialinės apsaugos sistemų ir visuomenės. Senėjant visuomenei vis svarbiau investuoti į sveikatos ir ilgalaikę priežiūrą, kartu užtikrinant socialinės apsaugos sistemos tvarumą, kad būtų užtikrintas kartų tarpusavio teisingumas. </w:t>
      </w:r>
    </w:p>
    <w:p>
      <w:pPr>
        <w:spacing w:after="120"/>
        <w:jc w:val="both"/>
        <w:rPr>
          <w:rFonts w:ascii="Times New Roman" w:hAnsi="Times New Roman" w:cs="Times New Roman"/>
          <w:noProof/>
          <w:sz w:val="24"/>
          <w:szCs w:val="24"/>
        </w:rPr>
      </w:pPr>
      <w:r>
        <w:rPr>
          <w:rFonts w:ascii="Times New Roman" w:hAnsi="Times New Roman"/>
          <w:b/>
          <w:noProof/>
          <w:sz w:val="24"/>
          <w:szCs w:val="24"/>
        </w:rPr>
        <w:t>Tiek tarpvalstybiniu mastu, tiek atskirose valstybėse narėse padidėjo sanglaudos politikos iššūkiai.</w:t>
      </w:r>
      <w:r>
        <w:rPr>
          <w:rFonts w:ascii="Times New Roman" w:hAnsi="Times New Roman"/>
          <w:bCs/>
          <w:noProof/>
          <w:sz w:val="24"/>
          <w:szCs w:val="24"/>
        </w:rPr>
        <w:t xml:space="preserve"> </w:t>
      </w:r>
      <w:r>
        <w:rPr>
          <w:rFonts w:ascii="Times New Roman" w:hAnsi="Times New Roman"/>
          <w:noProof/>
          <w:sz w:val="24"/>
          <w:szCs w:val="24"/>
        </w:rPr>
        <w:t xml:space="preserve">Po ekonomikos ir finansų krizės valstybėse narėse padidėjo pajamų ir galimybių naudotis pagrindinėmis paslaugomis nelygybė. Problemų Europoje ir toliau kelia regioniniai skirtumai, nes jie turi neigiamą poveikį augimui. Nors skurdžiausių regionų padėtis nuo 2010 m. pagerėjo, jų ekonominis atsilikimas nuo turtingesnių regionų išaugo, taip pat ir dėl mažėjančių investicijų. Tam tikrais atvejais dėl technologinių pokyčių ir energetikos pertvarkos šis atsilikimas gali dar augti, jeigu nebus imtasi tinkamų priemonių regionų konkurencingumui didinti. </w:t>
      </w:r>
    </w:p>
    <w:p>
      <w:pPr>
        <w:spacing w:after="120"/>
        <w:jc w:val="both"/>
        <w:rPr>
          <w:rFonts w:ascii="Times New Roman" w:hAnsi="Times New Roman" w:cs="Times New Roman"/>
          <w:b/>
          <w:noProof/>
          <w:sz w:val="24"/>
          <w:szCs w:val="24"/>
        </w:rPr>
      </w:pPr>
      <w:r>
        <w:rPr>
          <w:rFonts w:ascii="Times New Roman" w:hAnsi="Times New Roman"/>
          <w:b/>
          <w:noProof/>
          <w:sz w:val="24"/>
          <w:szCs w:val="24"/>
        </w:rPr>
        <w:t>ES ir toliau turi būti sanglaudos variklis.</w:t>
      </w:r>
      <w:r>
        <w:rPr>
          <w:rFonts w:ascii="Times New Roman" w:hAnsi="Times New Roman"/>
          <w:noProof/>
          <w:sz w:val="24"/>
          <w:szCs w:val="24"/>
        </w:rPr>
        <w:t xml:space="preserve"> </w:t>
      </w:r>
      <w:r>
        <w:rPr>
          <w:rFonts w:ascii="Times New Roman" w:hAnsi="Times New Roman"/>
          <w:bCs/>
          <w:noProof/>
          <w:sz w:val="24"/>
          <w:szCs w:val="24"/>
        </w:rPr>
        <w:t>Siekiant mažinti regioninius ir socialinius skirtumus, reikia suteikti galimybių tiems, kurie tiesioginės naudos iš rinkų atvėrimo ir technologinių pokyčių negauna.</w:t>
      </w:r>
      <w:r>
        <w:rPr>
          <w:rFonts w:ascii="Times New Roman" w:hAnsi="Times New Roman"/>
          <w:noProof/>
          <w:sz w:val="24"/>
          <w:szCs w:val="24"/>
        </w:rPr>
        <w:t xml:space="preserve"> Be kita ko, per geresnį švietimą ir mokymą būtina tobulinti įgūdžius ir užtikrinti tinkamą regioninę konvergenciją tokiose srityse kaip sveikatos priežiūros ir kokybiško švietimo prieinamumas. Valstybės narės turi toliau vykdyti reformas, kuriomis siekiama to tikslo, pasinaudodamos visomis ES biudžete numatytomis priemonėmis. Tiek sanglaudai, tiek našumui labai svarbus susisiekimas tarp regionų ir judumo galimybių prieinamumas, o tam reikia tinkamų investicijų. </w:t>
      </w:r>
    </w:p>
    <w:p>
      <w:pPr>
        <w:jc w:val="both"/>
        <w:rPr>
          <w:rFonts w:ascii="Times New Roman" w:hAnsi="Times New Roman" w:cs="Times New Roman"/>
          <w:noProof/>
          <w:sz w:val="24"/>
          <w:szCs w:val="24"/>
        </w:rPr>
      </w:pPr>
      <w:r>
        <w:rPr>
          <w:rFonts w:ascii="Times New Roman" w:hAnsi="Times New Roman"/>
          <w:b/>
          <w:noProof/>
          <w:sz w:val="24"/>
          <w:szCs w:val="24"/>
        </w:rPr>
        <w:t>Ne visos valstybės narės, regionai ir miestai klimato ir aplinkos politiką pradeda rengti ir įgyvendinti iš to paties išeities taško</w:t>
      </w:r>
      <w:r>
        <w:rPr>
          <w:rFonts w:ascii="Times New Roman" w:hAnsi="Times New Roman"/>
          <w:bCs/>
          <w:noProof/>
          <w:sz w:val="24"/>
          <w:szCs w:val="24"/>
        </w:rPr>
        <w:t>. Todėl klimato politika ir toliau turėtų būti rengiama siekiant sanglaudos, kad būtų išvengta neigiamo poveikio konvergencijai</w:t>
      </w:r>
      <w:r>
        <w:rPr>
          <w:rFonts w:ascii="Times New Roman" w:hAnsi="Times New Roman"/>
          <w:noProof/>
          <w:sz w:val="24"/>
          <w:szCs w:val="24"/>
        </w:rPr>
        <w:t>. Perėjimas prie tvaraus ekonomikos modelio vidutinės trukmės laikotarpiu visoje ES gali paskatinti augimą ir užimtumą, tačiau reikia politikos priemonių, kad trumpuoju laikotarpiu būtų sumažintas neigiamas poveikis konkretiems sektoriams ir regionams.</w:t>
      </w:r>
      <w:r>
        <w:rPr>
          <w:rFonts w:ascii="Times New Roman" w:hAnsi="Times New Roman"/>
          <w:b/>
          <w:noProof/>
          <w:sz w:val="24"/>
          <w:szCs w:val="24"/>
        </w:rPr>
        <w:t xml:space="preserve"> </w:t>
      </w:r>
      <w:r>
        <w:rPr>
          <w:rFonts w:ascii="Times New Roman" w:hAnsi="Times New Roman"/>
          <w:noProof/>
          <w:sz w:val="24"/>
          <w:szCs w:val="24"/>
        </w:rPr>
        <w:t>Kai kurie sektoriai turės persitvarkyti, o daugelis kitų turės imtis veiksmų, kad išsaugotų konkurencingumą. Tikėtina, kad šių pokyčių poveikis visoje Europoje bus jaučiamas nevienodai. Naudojant naują Teisingos pertvarkos mechanizmą bus teikiama parama labiausiai paveiktiems žmonėms bei regionams ir užtikrinama, kad niekas neliktų nuošalyje. Ypatingas dėmesys bus skiriamas regionų, kuriems laipsniškas iškastinio kuro atsisakymas turės didžiausią poveikį, pertvarkymui.</w:t>
      </w:r>
    </w:p>
    <w:p>
      <w:pPr>
        <w:spacing w:after="120"/>
        <w:jc w:val="both"/>
        <w:rPr>
          <w:rFonts w:ascii="Times New Roman" w:hAnsi="Times New Roman" w:cs="Times New Roman"/>
          <w:noProof/>
          <w:sz w:val="24"/>
          <w:szCs w:val="24"/>
        </w:rPr>
      </w:pPr>
      <w:r>
        <w:rPr>
          <w:rFonts w:ascii="Times New Roman" w:hAnsi="Times New Roman"/>
          <w:b/>
          <w:bCs/>
          <w:noProof/>
          <w:sz w:val="24"/>
          <w:szCs w:val="24"/>
        </w:rPr>
        <w:t xml:space="preserve">Dėl mokesčių slėpimo ir vengimo ir lenktynių, kas nustatys mažesnius mokesčius, mažėja šalių galimybės nustatyti mokesčių politiką, kuri atitiktų jų ekonomikos ir žmonių poreikius. </w:t>
      </w:r>
      <w:r>
        <w:rPr>
          <w:rFonts w:ascii="Times New Roman" w:hAnsi="Times New Roman"/>
          <w:noProof/>
          <w:sz w:val="24"/>
          <w:szCs w:val="24"/>
        </w:rPr>
        <w:t xml:space="preserve">Kad būtų sustiprintos paskatos dalyvauti darbo rinkoje, padidintas teisingumas ir skaidrumas ir užtikrintas gerovės sistemų finansinis tvarumas bei adekvatumas kintančiame darbo pasaulyje, reikėtų optimizuoti nacionalines mokesčių ir išmokų sistemas. Pasinaudojant mokesčių sistemomis taip pat reikėtų užtikrinti pakankamas pajamas viešosioms investicijoms, švietimui, sveikatos priežiūrai ir gerovei, garantuoti teisingą naštos pasidalijimą ir išvengti įmonių konkurencijos iškraipymo. Šiuo atžvilgiu labai svarbu kovoti su agresyvaus mokesčių planavimo praktika ir užtikrinti teisingą globalių įmonių apmokestinimą. ES pelno mokesčio sistemas reikia skubiai reformuoti. Jos neatitinka šiuolaikinės pasaulio ekonomikos realijų ir neapima naujų verslo modelių skaitmeniniame pasaulyje. Kur gaunamas pelnas, mokesčius ir rinkliavas taip pat reikia naudoti mūsų socialinės apsaugos sistemoms, švietimo bei sveikatos sistemoms ir infrastruktūrai. </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Makroekonominis stabilumas</w:t>
      </w:r>
    </w:p>
    <w:p>
      <w:pPr>
        <w:spacing w:after="120"/>
        <w:jc w:val="both"/>
        <w:rPr>
          <w:rFonts w:ascii="Times New Roman" w:hAnsi="Times New Roman"/>
          <w:noProof/>
          <w:sz w:val="24"/>
          <w:szCs w:val="24"/>
        </w:rPr>
      </w:pPr>
      <w:r>
        <w:rPr>
          <w:rFonts w:ascii="Times New Roman" w:hAnsi="Times New Roman"/>
          <w:b/>
          <w:bCs/>
          <w:noProof/>
          <w:sz w:val="24"/>
          <w:szCs w:val="24"/>
        </w:rPr>
        <w:t xml:space="preserve">Europos Sąjunga turi mažinti likusį pažeidžiamumą nacionaliniu ir ES lygmeniu, kad dar padidintų savo ekonomikos stabilumą. </w:t>
      </w:r>
      <w:r>
        <w:rPr>
          <w:rFonts w:ascii="Times New Roman" w:hAnsi="Times New Roman"/>
          <w:bCs/>
          <w:noProof/>
          <w:sz w:val="24"/>
          <w:szCs w:val="24"/>
        </w:rPr>
        <w:t>Tai būtina sąlyga siekiant užtikrinti atsparumą būsimiems sukrėtimams ir palengvinti pertvarką. Tam reikia atsakingos nacionalinio lygmens ekonominės, fiskalinės ir finansų politikos trumpuoju laikotarpiu ir tinkamo politikos planavimo ilgesnėje perspektyvoje. Taip pat būtina imtis ES lygmens veiksmų ir užbaigti pagrindines reformas, skirtas</w:t>
      </w:r>
      <w:r>
        <w:rPr>
          <w:rFonts w:ascii="Times New Roman" w:hAnsi="Times New Roman"/>
          <w:noProof/>
          <w:sz w:val="24"/>
          <w:szCs w:val="24"/>
        </w:rPr>
        <w:t xml:space="preserve"> euro zonai stiprinti. </w:t>
      </w:r>
    </w:p>
    <w:p>
      <w:pPr>
        <w:jc w:val="both"/>
        <w:rPr>
          <w:rFonts w:ascii="Times New Roman" w:hAnsi="Times New Roman" w:cs="Times New Roman"/>
          <w:noProof/>
          <w:sz w:val="24"/>
          <w:szCs w:val="24"/>
        </w:rPr>
      </w:pPr>
      <w:r>
        <w:rPr>
          <w:rFonts w:ascii="Times New Roman" w:hAnsi="Times New Roman"/>
          <w:b/>
          <w:noProof/>
          <w:sz w:val="24"/>
          <w:szCs w:val="24"/>
        </w:rPr>
        <w:t>Siekiant paremti tinkamą ekonominės ir pinigų sąjungos veikimą, visiškai laikantis Stabilumo ir augimo pakto reikia koordinuoti nacionalinę fiskalinę politiką.</w:t>
      </w:r>
      <w:r>
        <w:rPr>
          <w:rFonts w:ascii="Times New Roman" w:hAnsi="Times New Roman"/>
          <w:noProof/>
          <w:sz w:val="24"/>
          <w:szCs w:val="24"/>
        </w:rPr>
        <w:t xml:space="preserve"> Norint užtikrinti, kad fiskalinė politika galėtų atlikti visas savo funkcijas, ji turi būti atsakinga ir reaktyvi, kad ją vykdant viešieji finansai būtų patikimi ir tvarūs. 2020 ir 2021 m. euro zonos fiskalinė kryptis turėtų būti iš esmės neutrali arba šiek tiek ekspansinė. Tačiau nacionalinė fiskalinė politika vis dar nepakankamai diferencijuota, atsižvelgiant į valstybių narių turimas fiskalinio manevravimo galimybes. Apdairi fiskalinė politika valstybėse narėse, kuriose valstybės skolos lygis yra aukštas, padėtų palaipsniui mažinti valstybės skolą ir pažeidžiamumą sukrėtimų atveju ir sudarytų sąlygas, kad automatinės stabilizavimo priemonės visapusiškai veiktų per ekonomikos nuosmukį. Kita vertus, toliau skatinant investicijas ir kitas produktyvias išlaidas valstybėse narėse, kurių biudžeto padėtis palanki, būtų remiamas augimas trumpuoju ir vidutinės trukmės laikotarpiu, kartu padedant iš naujo subalansuoti euro zonos ekonomiką. Prastėjančios perspektyvos atveju siekiant užtikrinti veiksmingą atsaką reikėtų siekti palankios fiskalinės krypties bendru lygmeniu, kartu vykdant politiką visapusiškai laikantis Stabilumo ir augimo pakto, atsižvelgiant į konkrečios šalies aplinkybes ir kiek įmanoma vengiant procikliškumo.</w:t>
      </w:r>
    </w:p>
    <w:p>
      <w:pPr>
        <w:jc w:val="both"/>
        <w:rPr>
          <w:rFonts w:ascii="Times New Roman" w:hAnsi="Times New Roman" w:cs="Times New Roman"/>
          <w:noProof/>
          <w:sz w:val="24"/>
          <w:szCs w:val="24"/>
        </w:rPr>
      </w:pPr>
      <w:r>
        <w:rPr>
          <w:rFonts w:ascii="Times New Roman" w:hAnsi="Times New Roman"/>
          <w:b/>
          <w:noProof/>
          <w:sz w:val="24"/>
          <w:szCs w:val="24"/>
        </w:rPr>
        <w:t xml:space="preserve">Kad būtų užtikrintas stabilumas, reikia šalinti galimus vidaus ir išorės disbalansų šaltinius ir kartu apsaugoti investicijas į tvarumą ir našumą ateityje. </w:t>
      </w:r>
      <w:r>
        <w:rPr>
          <w:rFonts w:ascii="Times New Roman" w:hAnsi="Times New Roman"/>
          <w:noProof/>
          <w:sz w:val="24"/>
          <w:szCs w:val="24"/>
        </w:rPr>
        <w:t>Naudojant tinkamas stebėjimo priemones ir vykdant struktūrines reformas reikia kontroliuoti tiek vidaus, tiek išorės disbalansus.</w:t>
      </w:r>
      <w:r>
        <w:rPr>
          <w:rFonts w:ascii="Times New Roman" w:hAnsi="Times New Roman"/>
          <w:b/>
          <w:noProof/>
          <w:sz w:val="24"/>
          <w:szCs w:val="24"/>
        </w:rPr>
        <w:t xml:space="preserve"> </w:t>
      </w:r>
      <w:r>
        <w:rPr>
          <w:rFonts w:ascii="Times New Roman" w:hAnsi="Times New Roman"/>
          <w:noProof/>
          <w:sz w:val="24"/>
          <w:szCs w:val="24"/>
        </w:rPr>
        <w:t xml:space="preserve">Mažų palūkanų normų sąlygomis valstybės narės, kurioms reikia mažinti įsiskolinimą, turėtų sparčiai mažinti skolą nekenkdamos investicijoms. Šiuo metu aukštas skolos lygis tam tikrose valstybėse narėse yra pažeidžiamumo šaltinis ir tam tikras apribojimas vyriausybėms tuo atveju, kai reikia vykdyti makroekonominio stabilizavimo politiką. Skolą mažinti reikės ir tam, kad valstybės narės turėtų fiskalinio manevravimo galimybių spręsti būsimus uždavinius ir atlaisvinti lėšų investicijoms. Tai ypač svarbu atsižvelgiant į suvaržytus bankų balansus ir privačiojo sektoriaus įsiskolinimą. Kad pažeidžiamumas sumažėtų, svarbu toliau koreguoti didelį išorės atsargų disbalansą ir mažinti įmonių bei namų ūkių skolą. </w:t>
      </w:r>
    </w:p>
    <w:p>
      <w:pPr>
        <w:pStyle w:val="ListParagraph"/>
        <w:spacing w:line="276" w:lineRule="auto"/>
        <w:ind w:left="0"/>
        <w:jc w:val="both"/>
        <w:rPr>
          <w:rFonts w:ascii="Times New Roman" w:hAnsi="Times New Roman"/>
          <w:noProof/>
          <w:sz w:val="24"/>
          <w:szCs w:val="24"/>
        </w:rPr>
      </w:pPr>
      <w:r>
        <w:rPr>
          <w:rFonts w:ascii="Times New Roman" w:hAnsi="Times New Roman"/>
          <w:b/>
          <w:noProof/>
          <w:sz w:val="24"/>
          <w:szCs w:val="24"/>
        </w:rPr>
        <w:t>Siekiant paskatinti potencialų augimą ir paremti ekonomikos pertvarką, susijusią su klimato ir skaitmeniniais iššūkiais, svarbu gerinti viešųjų finansų kokybę.</w:t>
      </w:r>
      <w:r>
        <w:rPr>
          <w:rFonts w:ascii="Times New Roman" w:hAnsi="Times New Roman"/>
          <w:noProof/>
          <w:sz w:val="24"/>
          <w:szCs w:val="24"/>
        </w:rPr>
        <w:t xml:space="preserve"> Pastangų reikėtų įdėti tiek pajamų, tiek išlaidų srityje: būtina vykdyti reguliarias išlaidų peržiūras, teikti pirmenybę išlaidoms, kuriomis skatinamas ilgalaikis augimas, ir pasinaudoti žaliojo biudžeto priemonėmis.</w:t>
      </w:r>
      <w:r>
        <w:rPr>
          <w:noProof/>
          <w:sz w:val="24"/>
          <w:szCs w:val="24"/>
        </w:rPr>
        <w:t xml:space="preserve"> </w:t>
      </w:r>
      <w:r>
        <w:rPr>
          <w:rFonts w:ascii="Times New Roman" w:hAnsi="Times New Roman"/>
          <w:noProof/>
          <w:sz w:val="24"/>
          <w:szCs w:val="24"/>
        </w:rPr>
        <w:t xml:space="preserve">Kalbant apie išlaidas, reikėtų reguliariai vykdyti išlaidų peržiūras ir teikti pirmenybę išlaidoms, kuriomis skatinamas ilgalaikis augimas, visų pirma švietimo, užimtumo ir investicijų išlaidoms. Kalbant apie pajamas, mokesčiais turėtų būti remiamas perėjimas prie žaliosios ekonomikos, jie turėtų būti teisingesni ir labiau orientuoti į šaltinius, kurių apmokestinimas mažiau kenkia augimui. </w:t>
      </w:r>
    </w:p>
    <w:p>
      <w:pPr>
        <w:pStyle w:val="ListParagraph"/>
        <w:spacing w:line="276" w:lineRule="auto"/>
        <w:ind w:left="0"/>
        <w:jc w:val="both"/>
        <w:rPr>
          <w:rFonts w:ascii="Times New Roman" w:hAnsi="Times New Roman" w:cs="Times New Roman"/>
          <w:b/>
          <w:noProof/>
          <w:sz w:val="24"/>
          <w:szCs w:val="24"/>
        </w:rPr>
      </w:pPr>
      <w:r>
        <w:rPr>
          <w:rFonts w:ascii="Times New Roman" w:hAnsi="Times New Roman"/>
          <w:b/>
          <w:noProof/>
          <w:sz w:val="24"/>
          <w:szCs w:val="24"/>
        </w:rPr>
        <w:t>Siekiant toliau stiprinti finansų sektorių, būtina baigti kurti bankų sąjungą ir kapitalo rinkų sąjungą.</w:t>
      </w:r>
      <w:r>
        <w:rPr>
          <w:rFonts w:ascii="Times New Roman" w:hAnsi="Times New Roman"/>
          <w:noProof/>
          <w:sz w:val="24"/>
          <w:szCs w:val="24"/>
        </w:rPr>
        <w:t xml:space="preserve"> Tai reikėtų padaryti, be kita ko, šiais būdais: sukurti Europos indėlių garantijų sistemą, sumažinti neveiksnių paskolų skaičių, spręsti bankų ir vyriausybių ryšių problemą, tobulinti bankų nemokumo teisės aktus ir priimti tolesnio finansinės integracijos didinimo priemones. Kartu reikėtų atidžiai stebėti tam tikrose šalyse didėjančias vienetui tenkančias darbo sąnaudas arba staigų būsto kainų augimą, taip pat būtina pritaikyti makroprudencines sistemas ir imtis tinkamų priemonių, kai reikia, kad būtų užkirstas kelias naujų disbalansų susidarymui. Būtina toliau dirbti kapitalo rinkų sąjungos srityje, siekiant diversifikuoti įmonių finansavimo šaltinius ir investavimo galimybes santaupų turėtojams ir taip euro zonoje padidinti rizikos pasidalijimą tarp privačiojo sektoriaus subjektų. Taip pat reikia užtikrinti, kad finansų sistema taptų atsparesnė kibernetinėms ir klimato grėsmėms.</w:t>
      </w:r>
    </w:p>
    <w:p>
      <w:pPr>
        <w:spacing w:after="120"/>
        <w:jc w:val="both"/>
        <w:rPr>
          <w:rFonts w:ascii="Times New Roman" w:hAnsi="Times New Roman" w:cs="Times New Roman"/>
          <w:noProof/>
          <w:sz w:val="24"/>
          <w:szCs w:val="24"/>
        </w:rPr>
      </w:pPr>
      <w:r>
        <w:rPr>
          <w:rFonts w:ascii="Times New Roman" w:hAnsi="Times New Roman"/>
          <w:b/>
          <w:noProof/>
          <w:sz w:val="24"/>
          <w:szCs w:val="24"/>
        </w:rPr>
        <w:t>Kad būtų galima paremti perėjimą prie neutralaus poveikio klimatui ir visiškai skaitmeninės ekonomikos, Europai reikia tikslinių investicijų.</w:t>
      </w:r>
      <w:r>
        <w:rPr>
          <w:rFonts w:ascii="Times New Roman" w:hAnsi="Times New Roman"/>
          <w:noProof/>
          <w:sz w:val="24"/>
          <w:szCs w:val="24"/>
        </w:rPr>
        <w:t xml:space="preserve"> Reikėtų visapusiškai pasinaudoti pagal Stabilumo ir augimo paktą numatytomis lankstumo galimybėmis, kad būtų sudarytos sąlygos būtinoms investicijoms, kartu išsaugant fiskalinį tvarumą. Tai padės mums užtikrinti augimui palankesnes fiskalines kryptis euro zonoje ir išsaugoti fiskalinę atsakomybę. Be to, itin svarbu skubiai priimti naująją daugiametę finansinę programą, kad būtų užtikrinta galimybė greitai gauti papildomų lėšų investicijoms, skirtoms skaitmeninei ir klimato transformacijai remti (žr. 2 langelį).</w:t>
      </w:r>
    </w:p>
    <w:p>
      <w:pPr>
        <w:pStyle w:val="ListParagraph"/>
        <w:spacing w:line="276" w:lineRule="auto"/>
        <w:ind w:left="0"/>
        <w:jc w:val="both"/>
        <w:rPr>
          <w:rFonts w:ascii="Times New Roman" w:hAnsi="Times New Roman" w:cs="Times New Roman"/>
          <w:noProof/>
          <w:sz w:val="24"/>
          <w:szCs w:val="24"/>
        </w:rPr>
      </w:pPr>
      <w:r>
        <w:rPr>
          <w:rFonts w:ascii="Times New Roman" w:hAnsi="Times New Roman"/>
          <w:b/>
          <w:noProof/>
          <w:sz w:val="24"/>
          <w:szCs w:val="24"/>
        </w:rPr>
        <w:t xml:space="preserve">Visi šie aspektai bus labai svarbūs siekiant stiprinti tarptautinį euro vaidmenį: tai pagrindinis veiksnys, padedantis didinti Europos įtaką pasaulio rinkose. </w:t>
      </w:r>
      <w:r>
        <w:rPr>
          <w:rFonts w:ascii="Times New Roman" w:hAnsi="Times New Roman"/>
          <w:noProof/>
          <w:sz w:val="24"/>
          <w:szCs w:val="24"/>
        </w:rPr>
        <w:t xml:space="preserve">Tai padės Europos įmonėms, vartotojams ir vyriausybėms atsilaikyti prieš nepalankius išorės pokyčius ir įtvirtinti euro zonos ekonomikos vaidmenį pasaulio arenoje. Dabartinėmis aplinkybėmis, kai pasaulinės varžybos ir grėsmės daugiašalei sistemai kelia naujus ekonominius konfliktus dėl prekybos ir valiutų, kurie gali sumenkinti daugelį iš globalizacijos privalumų, poreikis skubiai imtis veiksmų dar sustiprėjo. </w:t>
      </w:r>
    </w:p>
    <w:p>
      <w:pPr>
        <w:pStyle w:val="ListParagraph"/>
        <w:spacing w:line="276" w:lineRule="auto"/>
        <w:ind w:left="0"/>
        <w:jc w:val="both"/>
        <w:rPr>
          <w:rFonts w:ascii="Times New Roman" w:hAnsi="Times New Roman" w:cs="Times New Roman"/>
          <w:b/>
          <w:noProof/>
          <w:sz w:val="24"/>
          <w:szCs w:val="24"/>
        </w:rPr>
      </w:pPr>
    </w:p>
    <w:p>
      <w:pPr>
        <w:pStyle w:val="ListParagraph"/>
        <w:keepNext/>
        <w:ind w:left="0"/>
        <w:jc w:val="both"/>
        <w:rPr>
          <w:rFonts w:ascii="Times New Roman" w:hAnsi="Times New Roman"/>
          <w:noProof/>
          <w:sz w:val="24"/>
          <w:szCs w:val="24"/>
        </w:rPr>
      </w:pPr>
      <w:r>
        <w:rPr>
          <w:rFonts w:ascii="Times New Roman" w:hAnsi="Times New Roman"/>
          <w:noProof/>
          <w:sz w:val="24"/>
          <w:szCs w:val="24"/>
        </w:rPr>
        <w:t xml:space="preserve">2 langelis. ES biudžeto indėlis. Poreikis skubiai priimti naująją daugiametę finansinę programą </w:t>
      </w:r>
    </w:p>
    <w:p>
      <w:pPr>
        <w:pStyle w:val="ListParagraph"/>
        <w:keepNext/>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sz w:val="24"/>
          <w:szCs w:val="24"/>
        </w:rPr>
      </w:pPr>
      <w:r>
        <w:rPr>
          <w:rFonts w:ascii="Times New Roman" w:hAnsi="Times New Roman"/>
          <w:b/>
          <w:noProof/>
          <w:sz w:val="24"/>
          <w:szCs w:val="24"/>
        </w:rPr>
        <w:t>Europos Sąjungos biudžetas yra ypač svarbi mūsų politinių užmojų įgyvendinimo priemonė</w:t>
      </w:r>
      <w:r>
        <w:rPr>
          <w:rFonts w:ascii="Times New Roman" w:hAnsi="Times New Roman"/>
          <w:noProof/>
          <w:sz w:val="24"/>
          <w:szCs w:val="24"/>
        </w:rPr>
        <w:t xml:space="preserve">.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b/>
          <w:noProof/>
          <w:sz w:val="24"/>
          <w:szCs w:val="24"/>
        </w:rPr>
        <w:t>Tvarios Europos investicijų planas</w:t>
      </w:r>
      <w:r>
        <w:rPr>
          <w:rFonts w:ascii="Times New Roman" w:hAnsi="Times New Roman"/>
          <w:noProof/>
          <w:sz w:val="24"/>
          <w:szCs w:val="24"/>
        </w:rPr>
        <w:t xml:space="preserve">, pagrįstas esamais ir naujais mechanizmais, užtikrins investicijas, būtinas Europos žaliajam kursui įgyvendinti. Pagal </w:t>
      </w:r>
      <w:r>
        <w:rPr>
          <w:rFonts w:ascii="Times New Roman" w:hAnsi="Times New Roman"/>
          <w:b/>
          <w:noProof/>
          <w:sz w:val="24"/>
          <w:szCs w:val="24"/>
        </w:rPr>
        <w:t>Teisingos pertvarkos mechanizmą</w:t>
      </w:r>
      <w:r>
        <w:rPr>
          <w:rFonts w:ascii="Times New Roman" w:hAnsi="Times New Roman"/>
          <w:noProof/>
          <w:sz w:val="24"/>
          <w:szCs w:val="24"/>
        </w:rPr>
        <w:t xml:space="preserve"> bus remiami labiausiai paveikti regionai ir užtikrinama, kad niekas neliktų nuošalyje.</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Pagal programą „InvestEU“, naudojantis ES garantija, iki 2027 m. tikimasi sutelkti daugiau nei 650 mlrd. EUR papildomų investicijų. Tai pagrindinė priemonė privatiems finansiniams ištekliams pritraukti siekiant ES tikslų.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Sanglaudos politikos fondai (Europos regioninės plėtros fondas, „Europos socialinis fondas +“, Sanglaudos fondas) atlieka svarbų vaidmenį remiant socialinę ir teritorinę sanglaudą mūsų valstybėse narėse, regionuose ir kaimo vietovėse, kad jie neatsiliktų nuo mūsų pasaulyje vykstančios skaitmeninės ir žaliosios pertvarkos. Komisijos pasiūlyme dėl kitos daugiametės finansinės programos 2021–2027 m. nustatytas bendras asignavimas sanglaudos politikai yra 374 mlrd. EUR dabartinėmis kainomis.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Esamas ES lygmens priemones papildys Reformų rėmimo programa: pagal ją teikiama techninė ir finansinė parama padės įgyvendinti struktūrines reformas visose valstybėse narėse. Pagal toje programoje numatytą konvergencijai ir konkurencingumui skirtą biudžeto priemonę bus teikiama su reformomis ir investicijomis susijusi parama euro zonos valstybėse narėse.</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b/>
          <w:noProof/>
          <w:sz w:val="24"/>
          <w:szCs w:val="24"/>
        </w:rPr>
      </w:pPr>
      <w:r>
        <w:rPr>
          <w:rFonts w:ascii="Times New Roman" w:hAnsi="Times New Roman"/>
          <w:noProof/>
          <w:sz w:val="24"/>
          <w:szCs w:val="24"/>
        </w:rPr>
        <w:t>Iš ES biudžeto investuosime rekordines sumas į pažangiausius mokslinius tyrimus ir inovacijas, naudodamiesi visomis kito ES biudžeto lankstumo galimybėmis ir sutelkdami dėmesį į tas sritis, kurių potencialas didžiausias. Pagal programą „Europos horizontas“ investicijoms į inovacijas ES bus suteikta 98 mlrd. EUR.</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b/>
          <w:noProof/>
          <w:sz w:val="24"/>
          <w:szCs w:val="24"/>
        </w:rPr>
        <w:t>ES biudžetas bus katalizatorius, padėsiantis pritraukti tvarių privačiųjų ir viešųjų investicijų ir ES paramą, skirtą pereiti prie švarios energijos technologijų, nukreipti ten, kur jos labiausiai reikia.</w:t>
      </w:r>
      <w:r>
        <w:rPr>
          <w:rFonts w:ascii="Times New Roman" w:hAnsi="Times New Roman"/>
          <w:noProof/>
          <w:sz w:val="24"/>
          <w:szCs w:val="24"/>
        </w:rPr>
        <w:t xml:space="preserve"> Jau dabartinio 2014–2020 m. ilgalaikio biudžeto išlaidų programose klimato ir aplinkos svarba yra didesnė. Klimato kaitos švelninimas bei prisitaikymas prie jos buvo integruotas į visas pagrindines ES išlaidų sritis. Pasiūlyme dėl didesnio nei 1 trln. EUR ES biudžeto 2021–2027 m.(</w:t>
      </w:r>
      <w:r>
        <w:rPr>
          <w:rFonts w:ascii="Times New Roman" w:hAnsi="Times New Roman"/>
          <w:noProof/>
          <w:sz w:val="24"/>
          <w:szCs w:val="24"/>
          <w:vertAlign w:val="superscript"/>
        </w:rPr>
        <w:footnoteReference w:id="6"/>
      </w:r>
      <w:r>
        <w:rPr>
          <w:rFonts w:ascii="Times New Roman" w:hAnsi="Times New Roman"/>
          <w:noProof/>
          <w:sz w:val="24"/>
          <w:szCs w:val="24"/>
        </w:rPr>
        <w:t xml:space="preserve">) Europos Komisija padidino savo užmojį ir pasiūlė bent 25 % lėšų skirti su klimatu susijusiems veiksmams; tai yra 320 mlrd. EUR. Pagal būsimąją bendrą žemės ūkio politiką (BŽŪP) nauja žalioji architektūra daugiau prisidės prie rūpinimosi aplinka ir klimatu pastangų: numatyta, kad vykdant BŽŪP veiksmus 40 % viso BŽŪP finansinio paketo bus skirta klimato tikslams įgyvendinti. </w:t>
      </w:r>
    </w:p>
    <w:p>
      <w:pPr>
        <w:pStyle w:val="ListParagraph"/>
        <w:keepNext/>
        <w:spacing w:line="257" w:lineRule="auto"/>
        <w:ind w:left="0"/>
        <w:jc w:val="both"/>
        <w:rPr>
          <w:rFonts w:ascii="Times New Roman" w:hAnsi="Times New Roman" w:cs="Times New Roman"/>
          <w:b/>
          <w:bCs/>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 xml:space="preserve">Europos semestro perorientavimas </w:t>
      </w:r>
    </w:p>
    <w:p>
      <w:pPr>
        <w:spacing w:after="120"/>
        <w:jc w:val="both"/>
        <w:rPr>
          <w:rFonts w:ascii="Times New Roman" w:hAnsi="Times New Roman" w:cs="Times New Roman"/>
          <w:bCs/>
          <w:noProof/>
          <w:sz w:val="24"/>
          <w:szCs w:val="24"/>
        </w:rPr>
      </w:pPr>
      <w:r>
        <w:rPr>
          <w:rFonts w:ascii="Times New Roman" w:hAnsi="Times New Roman"/>
          <w:b/>
          <w:bCs/>
          <w:noProof/>
          <w:sz w:val="24"/>
          <w:szCs w:val="24"/>
        </w:rPr>
        <w:t>Nauja augimo strategija, kurioje daug dėmesio skiriama konkurenciniam tvarumui, padės mums pasiekti darnaus vystymosi tikslus (DVT).</w:t>
      </w:r>
      <w:r>
        <w:rPr>
          <w:rFonts w:ascii="Times New Roman" w:hAnsi="Times New Roman"/>
          <w:bCs/>
          <w:noProof/>
          <w:sz w:val="24"/>
          <w:szCs w:val="24"/>
        </w:rPr>
        <w:t xml:space="preserve"> Ekonominiai, socialiniai ir aplinkos uždaviniai svarbūs visai ekonomikai. Kad mums pavyktų, ES ir nacionaliniu lygmeniu turėsime dėti daug pastangų visose politikos srityse. Pagrindinis sėkmės veiksnys yra valdžios institucijų gebėjimas užtikrinti, kad ekonomine, socialine ir fiskaline politika būtų siekiama DVT. Įvairių ES valdymo lygmenų indėlį siekiant DVT sudėtinga užtikrinti dėl valstybių narių ir ES institucijų kompetencijų pasidalijimo. Nors transformaciniai iššūkiai bendri, išeities taškas skiriasi: kai kurioms valstybėms narėms kyla didesnė ekonominė, socialinė ir su aplinka susijusi rizika arba jos turi padaryti didesnę pažangą siekdamos darnaus vystymosi tikslų. Todėl valstybėse narėse būtina įgyvendinti diferencijuotą, bet glaudžiai koordinuojamą politiką.</w:t>
      </w:r>
      <w:r>
        <w:rPr>
          <w:noProof/>
          <w:sz w:val="24"/>
          <w:szCs w:val="24"/>
        </w:rPr>
        <w:t xml:space="preserve"> </w:t>
      </w:r>
      <w:r>
        <w:rPr>
          <w:rFonts w:ascii="Times New Roman" w:hAnsi="Times New Roman"/>
          <w:bCs/>
          <w:noProof/>
          <w:sz w:val="24"/>
          <w:szCs w:val="24"/>
        </w:rPr>
        <w:t xml:space="preserve">Per pastarąjį dešimtmetį Europos semestras tapo pagrindine nacionalinės ekonominės ir užimtumo politikos koordinavimo priemone. Taigi jis gali padėti užtikrinti, kad ta politika būtų siekiama DVT: per Europos semestrą galima stebėti pažangą ir užtikrinti glaudų nacionalinių pastangų koordinavimą ekonominės ir užimtumo politikos srityje, daugiausiai dėmesio skiriant aspektams, kurie daro poveikį visai ekonomikai. </w:t>
      </w:r>
    </w:p>
    <w:p>
      <w:pPr>
        <w:spacing w:after="120"/>
        <w:jc w:val="both"/>
        <w:rPr>
          <w:rFonts w:ascii="Times New Roman" w:hAnsi="Times New Roman" w:cs="Times New Roman"/>
          <w:bCs/>
          <w:noProof/>
          <w:sz w:val="24"/>
          <w:szCs w:val="24"/>
        </w:rPr>
      </w:pPr>
      <w:r>
        <w:rPr>
          <w:rFonts w:ascii="Times New Roman" w:hAnsi="Times New Roman"/>
          <w:b/>
          <w:bCs/>
          <w:noProof/>
          <w:sz w:val="24"/>
          <w:szCs w:val="24"/>
        </w:rPr>
        <w:t>Europos semestro perorientavimas jau pradėtas į šią metinę tvaraus augimo strategiją įtraukus platesnio pobūdžio ekonominius prioritetus.</w:t>
      </w:r>
      <w:r>
        <w:rPr>
          <w:rFonts w:ascii="Times New Roman" w:hAnsi="Times New Roman"/>
          <w:bCs/>
          <w:noProof/>
          <w:sz w:val="24"/>
          <w:szCs w:val="24"/>
        </w:rPr>
        <w:t xml:space="preserve"> Procesas bus tęsiamas rengiant 2020 m. šalių ataskaitas – Komisijos atliekamą valstybių narių socialinės ir ekonominės padėties analizę. Pirmiausia, rengiant 2020 m. ataskaitas bus atlikta išsamesnė DVT įgyvendinimo analizė ir stebėsena. Į jas bus įtrauktas naujas aplinkosauginiam tvarumui skirtas skirsnis, kuris papildys ekonominių ir socialinių iššūkių analizę. Taip siekiama remti valstybių narių veiksmus nacionaliniu lygmeniu nustatant sinergiją ir kompromisus tarp aplinkos, socialinės ir ekonominės politikos. Ataskaitose pateikta analizė taip pat parems galimybę pasinaudoti ES lėšomis tvarioms investicijoms Europos Sąjungoje. Be šio naujo skirsnio, prie kiekvienos šalies ataskaitos taip pat bus pridėtas naujas priedas, kuriame bus aptarti atskirų šalių DVT įgyvendinimo rezultatai. Šiame priede bus stebima kiekvienos šalies pažanga, remiantis Eurostato parengtu ES DVT rodiklių rinkiniu. Be to, Komisija paragino valstybes nares įvertinti DVT įgyvendinimo pažangą nacionalinėse reformų programose; tai būtų kokybinis per Europos semestrą Komisijos atliekamos rodikliais pagrįstos stebėsenos papildymas, apimantis visai ekonomikai svarbius susijusios politikos aspektus. Šio pakeitimo tikslas – ne užkrauti papildomą administracinę naštą nacionalinėms administracijoms, bet pasinaudoti esamomis nacionalinėmis stebėjimo priemonėmis, pavyzdžiui, JT numatytomis metinėmis savanoriškomis nacionalinėmis peržiūromis, kad būtų galima pateikti naudingesnių gairių ir užtikrinti naudingesnį koordinavimą ES lygmeniu. Remdamasi šalių ataskaitomis, Komisija 2020 m. konkrečioms šalims skirtų rekomendacijų pasiūlymuose, kurie bus priimti gegužės mėn., pabrėš nacionalinių reformų indėlį siekiant konkrečių DVT, kai tai bus svarbu siekiant užtikrinti ekonominės ir užimtumo politikos koordinavimą sprendžiant bendro intereso ekonominius uždavinius. </w:t>
      </w:r>
    </w:p>
    <w:p>
      <w:pPr>
        <w:spacing w:after="120"/>
        <w:jc w:val="both"/>
        <w:rPr>
          <w:rFonts w:ascii="Times New Roman" w:hAnsi="Times New Roman" w:cs="Times New Roman"/>
          <w:bCs/>
          <w:noProof/>
          <w:sz w:val="24"/>
          <w:szCs w:val="24"/>
        </w:rPr>
      </w:pPr>
    </w:p>
    <w:p>
      <w:pPr>
        <w:spacing w:after="120"/>
        <w:jc w:val="both"/>
        <w:rPr>
          <w:rFonts w:ascii="Times New Roman" w:hAnsi="Times New Roman" w:cs="Times New Roman"/>
          <w:b/>
          <w:bCs/>
          <w:noProof/>
          <w:sz w:val="24"/>
          <w:szCs w:val="24"/>
        </w:rPr>
      </w:pPr>
      <w:r>
        <w:rPr>
          <w:rFonts w:ascii="Times New Roman" w:hAnsi="Times New Roman"/>
          <w:b/>
          <w:bCs/>
          <w:noProof/>
          <w:sz w:val="24"/>
          <w:szCs w:val="24"/>
        </w:rPr>
        <w:t>Dėl šio naujo požiūrio per šį ciklą ir ateinančiais metais Europos semestras tiesiogiai padės Europos Sąjungai ir jos valstybėms narėms pasiekti DVT visose ekonominės ir užimtumo politikos srityse ir užtikrins, kad ekonomika tarnautų kiekvienam, o augimas būtų tvarus.</w:t>
      </w:r>
    </w:p>
    <w:p>
      <w:pPr>
        <w:spacing w:after="120"/>
        <w:jc w:val="both"/>
        <w:rPr>
          <w:rFonts w:ascii="Times New Roman" w:hAnsi="Times New Roman" w:cs="Times New Roman"/>
          <w:b/>
          <w:bCs/>
          <w:noProof/>
          <w:sz w:val="24"/>
          <w:szCs w:val="24"/>
        </w:rPr>
      </w:pPr>
      <w:r>
        <w:rPr>
          <w:noProof/>
          <w:lang w:val="en-GB" w:eastAsia="en-GB"/>
        </w:rPr>
        <w:drawing>
          <wp:inline distT="0" distB="0" distL="0" distR="0">
            <wp:extent cx="5759450" cy="2565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565685"/>
                    </a:xfrm>
                    <a:prstGeom prst="rect">
                      <a:avLst/>
                    </a:prstGeom>
                    <a:noFill/>
                    <a:ln>
                      <a:noFill/>
                    </a:ln>
                  </pic:spPr>
                </pic:pic>
              </a:graphicData>
            </a:graphic>
          </wp:inline>
        </w:drawing>
      </w:r>
    </w:p>
    <w:p>
      <w:pPr>
        <w:spacing w:after="120"/>
        <w:jc w:val="both"/>
        <w:rPr>
          <w:rFonts w:ascii="Times New Roman" w:hAnsi="Times New Roman" w:cs="Times New Roman"/>
          <w:b/>
          <w:bCs/>
          <w:noProof/>
          <w:sz w:val="24"/>
          <w:szCs w:val="24"/>
        </w:rPr>
      </w:pPr>
    </w:p>
    <w:p>
      <w:pPr>
        <w:keepNext/>
        <w:jc w:val="both"/>
        <w:rPr>
          <w:rFonts w:ascii="Times New Roman" w:hAnsi="Times New Roman" w:cs="Times New Roman"/>
          <w:b/>
          <w:bCs/>
          <w:noProof/>
          <w:color w:val="000000"/>
          <w:sz w:val="24"/>
          <w:szCs w:val="24"/>
        </w:rPr>
      </w:pPr>
      <w:r>
        <w:rPr>
          <w:rFonts w:ascii="Times New Roman" w:hAnsi="Times New Roman"/>
          <w:b/>
          <w:bCs/>
          <w:smallCaps/>
          <w:noProof/>
          <w:sz w:val="24"/>
          <w:szCs w:val="24"/>
        </w:rPr>
        <w:t>Išvados ir tolesni žingsniai</w:t>
      </w:r>
    </w:p>
    <w:p>
      <w:pPr>
        <w:keepLines/>
        <w:jc w:val="both"/>
        <w:rPr>
          <w:rFonts w:ascii="Times New Roman" w:hAnsi="Times New Roman" w:cs="Times New Roman"/>
          <w:noProof/>
          <w:color w:val="000000"/>
          <w:sz w:val="24"/>
          <w:szCs w:val="24"/>
        </w:rPr>
      </w:pPr>
      <w:r>
        <w:rPr>
          <w:rFonts w:ascii="Times New Roman" w:hAnsi="Times New Roman"/>
          <w:b/>
          <w:bCs/>
          <w:noProof/>
          <w:sz w:val="24"/>
          <w:szCs w:val="24"/>
        </w:rPr>
        <w:t xml:space="preserve">Šios tvaraus augimo strategijos įgyvendinimas yra bendras siekis. </w:t>
      </w:r>
      <w:r>
        <w:rPr>
          <w:rFonts w:ascii="Times New Roman" w:hAnsi="Times New Roman"/>
          <w:noProof/>
          <w:sz w:val="24"/>
          <w:szCs w:val="24"/>
        </w:rPr>
        <w:t xml:space="preserve">Tam reikės visų Europos veikėjų bendrų veiksmų ir įsipareigojimo. Europos Vadovų Taryba raginama patvirtinti šią strategiją. Rengdamos nacionalinę politiką ir strategijas, išdėstytas stabilumo ar konvergencijos programose ir nacionalinėse reformų programose, valstybės narės turėtų atsižvelgti į šiame dokumente Komisijos nurodytus prioritetus. Tuo pagrindu Komisija pateiks konkrečioms šalims skirtas rekomendacijas, o šias valstybės narės galiausiai priims Taryboje. Taigi galutinė atsakomybė už šių rekomendacijų turinį ir įgyvendinimą tenka valstybėms narėms. </w:t>
      </w:r>
    </w:p>
    <w:p>
      <w:pPr>
        <w:pStyle w:val="CommentText"/>
        <w:jc w:val="both"/>
        <w:rPr>
          <w:noProof/>
          <w:sz w:val="24"/>
          <w:szCs w:val="24"/>
        </w:rPr>
      </w:pPr>
      <w:r>
        <w:rPr>
          <w:rFonts w:ascii="Times New Roman" w:hAnsi="Times New Roman"/>
          <w:b/>
          <w:noProof/>
          <w:sz w:val="24"/>
          <w:szCs w:val="24"/>
        </w:rPr>
        <w:t xml:space="preserve">Valstybės narės turėtų visapusiškai pasinaudoti turimomis ES politikos ir finansavimo priemonėmis. </w:t>
      </w:r>
      <w:r>
        <w:rPr>
          <w:rFonts w:ascii="Times New Roman" w:hAnsi="Times New Roman"/>
          <w:noProof/>
          <w:sz w:val="24"/>
          <w:szCs w:val="24"/>
        </w:rPr>
        <w:t>Komisija yra pasirengusi padėti valstybėms narėms vykdyti reformas, teikdama techninę paramą visoms valstybėms narėms, visų pirma pagal savo pasiūlytą Reformų rėmimo programą. Pagal šią programą naudojant konvergencijai ir konkurencingumui skirtą biudžeto priemonę euro zonos valstybėms narėms numatoma teikti specialiai pritaikytas paskatas ir paramą reformoms ir investicijoms. Galiausiai, svarbų vaidmenį remiant socialinę ir teritorinę sanglaudą atlieka sanglaudos politika.</w:t>
      </w:r>
    </w:p>
    <w:p>
      <w:pPr>
        <w:jc w:val="both"/>
        <w:rPr>
          <w:rFonts w:ascii="Times New Roman" w:hAnsi="Times New Roman"/>
          <w:noProof/>
          <w:color w:val="000000"/>
          <w:sz w:val="24"/>
          <w:szCs w:val="24"/>
        </w:rPr>
      </w:pPr>
      <w:r>
        <w:rPr>
          <w:rFonts w:ascii="Times New Roman" w:hAnsi="Times New Roman"/>
          <w:b/>
          <w:bCs/>
          <w:noProof/>
          <w:sz w:val="24"/>
          <w:szCs w:val="24"/>
        </w:rPr>
        <w:t>Ekonomikos valdymas turi būti neatsiejamas nuo demokratinės atskaitomybės.</w:t>
      </w:r>
      <w:r>
        <w:rPr>
          <w:rFonts w:ascii="Times New Roman" w:hAnsi="Times New Roman"/>
          <w:noProof/>
          <w:sz w:val="24"/>
          <w:szCs w:val="24"/>
        </w:rPr>
        <w:t xml:space="preserve"> Europos Parlamentas turėtų atlikti didesnį vaidmenį sprendžiant ES ekonomikos valdymo klausimus. Šiuo tikslu Komisija pradės dialogą su Europos Parlamentu, kaip tai įgyvendinti praktiškai. Pirmas žingsnis – už ekonomikos klausimus atsakingi Komisijos nariai vyks į Europos Parlamentą prieš kiekvieną svarbų Europos semestro ciklo etapą. Ši didesnė demokratinė Europos semestro atskaitomybė turėtų padėti sustiprinti atsakomybę, o kartu ir reformų įgyvendinimą. Apskritai Komisija tęs dialogą su valstybėmis narėmis ir ragina valstybes nares įtraukti nacionalinius parlamentus, socialinius partnerius ir visas kitas suinteresuotąsias šalis. </w:t>
      </w:r>
    </w:p>
    <w:sectPr>
      <w:headerReference w:type="even" r:id="rId18"/>
      <w:headerReference w:type="default" r:id="rId19"/>
      <w:footerReference w:type="even" r:id="rId20"/>
      <w:footerReference w:type="default" r:id="rId21"/>
      <w:headerReference w:type="first" r:id="rId22"/>
      <w:footerReference w:type="first" r:id="rId23"/>
      <w:pgSz w:w="11906" w:h="16838" w:code="9"/>
      <w:pgMar w:top="1134" w:right="1418" w:bottom="1134" w:left="1418" w:header="567" w:footer="567"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4">
    <w:altName w:val="MV Boli"/>
    <w:charset w:val="00"/>
    <w:family w:val="auto"/>
    <w:pitch w:val="variable"/>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8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altName w:val="MV Bol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tab/>
    </w:r>
    <w:r>
      <w:fldChar w:fldCharType="begin"/>
    </w:r>
    <w:r>
      <w:instrText xml:space="preserve"> PAGE </w:instrText>
    </w:r>
    <w:r>
      <w:fldChar w:fldCharType="separate"/>
    </w:r>
    <w:r>
      <w:t>2</w:t>
    </w:r>
    <w: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Times New Roman" w:hAnsi="Times New Roman" w:cs="Times New Roman"/>
      </w:rPr>
    </w:pPr>
    <w:r>
      <w:rPr>
        <w:rFonts w:ascii="Times New Roman" w:hAnsi="Times New Roman"/>
      </w:rPr>
      <w:tab/>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t>Komisijos ir Tarybos pasiūlyme dėl bendros užimtumo ataskaitos, priimtame kartu su metine tvaraus augimo strategija (COM(2019) 653), pateikiama išsami informacija apie darbo rinkos ir socialinės politikos pokyčius, be kita ko, naudojant socialinių rodiklių suvestinę.</w:t>
      </w:r>
    </w:p>
  </w:footnote>
  <w:footnote w:id="3">
    <w:p>
      <w:pPr>
        <w:pStyle w:val="FootnoteText"/>
        <w:rPr>
          <w:rFonts w:ascii="Times New Roman" w:hAnsi="Times New Roman"/>
          <w:sz w:val="18"/>
        </w:rPr>
      </w:pPr>
      <w:r>
        <w:rPr>
          <w:rStyle w:val="FootnoteReference"/>
          <w:rFonts w:ascii="Times New Roman" w:hAnsi="Times New Roman" w:cs="Times New Roman"/>
          <w:sz w:val="18"/>
          <w:szCs w:val="18"/>
        </w:rPr>
        <w:footnoteRef/>
      </w:r>
      <w:r>
        <w:rPr>
          <w:rFonts w:ascii="Times New Roman" w:hAnsi="Times New Roman"/>
          <w:sz w:val="18"/>
          <w:szCs w:val="18"/>
        </w:rPr>
        <w:tab/>
        <w:t xml:space="preserve">2018 m. ataskaita dėl senėjimo, </w:t>
      </w:r>
      <w:hyperlink r:id="rId1" w:history="1">
        <w:r>
          <w:rPr>
            <w:rStyle w:val="Hyperlink"/>
            <w:rFonts w:ascii="Times New Roman" w:hAnsi="Times New Roman"/>
            <w:sz w:val="18"/>
            <w:szCs w:val="18"/>
          </w:rPr>
          <w:t>https://ec.europa.eu/info/sites/info/files/economy-finance/ip079_en.pdf</w:t>
        </w:r>
      </w:hyperlink>
    </w:p>
  </w:footnote>
  <w:footnote w:id="4">
    <w:p>
      <w:pPr>
        <w:spacing w:after="120"/>
        <w:ind w:left="284" w:hanging="284"/>
        <w:jc w:val="both"/>
      </w:pPr>
      <w:r>
        <w:rPr>
          <w:rStyle w:val="FootnoteCharacters"/>
          <w:rFonts w:ascii="Times New Roman" w:hAnsi="Times New Roman"/>
          <w:vertAlign w:val="superscript"/>
        </w:rPr>
        <w:footnoteRef/>
      </w:r>
      <w:r>
        <w:rPr>
          <w:rFonts w:ascii="Times New Roman" w:hAnsi="Times New Roman"/>
          <w:sz w:val="18"/>
          <w:szCs w:val="18"/>
        </w:rPr>
        <w:tab/>
        <w:t xml:space="preserve">Nuo 2009 m. ekologinis projektavimas padėjo sutaupyti daug energijos ir kartu išvengti CO2 išmetimo, taip pat vis daugiau sutaupyti reikšmingai didėjant efektyvumui. </w:t>
      </w:r>
    </w:p>
  </w:footnote>
  <w:footnote w:id="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t>Bendrosios rinkos veikimo rezultatų ataskaita, SWD(2019) 443.</w:t>
      </w:r>
    </w:p>
  </w:footnote>
  <w:footnote w:id="6">
    <w:p>
      <w:pPr>
        <w:pStyle w:val="NormalWeb"/>
        <w:shd w:val="clear" w:color="auto" w:fill="FFFFFF"/>
        <w:spacing w:before="0" w:beforeAutospacing="0" w:after="75" w:afterAutospacing="0"/>
        <w:ind w:left="284" w:hanging="284"/>
      </w:pPr>
      <w:r>
        <w:rPr>
          <w:rStyle w:val="FootnoteCharacters"/>
          <w:sz w:val="22"/>
          <w:vertAlign w:val="superscript"/>
        </w:rPr>
        <w:footnoteRef/>
      </w:r>
      <w:r>
        <w:rPr>
          <w:rStyle w:val="FootnoteCharacters"/>
          <w:sz w:val="18"/>
          <w:szCs w:val="18"/>
        </w:rPr>
        <w:tab/>
      </w:r>
      <w:r>
        <w:rPr>
          <w:sz w:val="18"/>
        </w:rPr>
        <w:t>Komisijos pasiūlymas dėl Tarybos reglamento, kuriuo nustatoma 2021–2027 m. daugiametė finansinė programa, COM(2018) 322.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b/>
        <w:sz w:val="26"/>
      </w:rPr>
    </w:lvl>
    <w:lvl w:ilvl="1">
      <w:start w:val="1"/>
      <w:numFmt w:val="decimal"/>
      <w:lvlText w:val="%2."/>
      <w:lvlJc w:val="left"/>
      <w:pPr>
        <w:tabs>
          <w:tab w:val="num" w:pos="1069"/>
        </w:tabs>
        <w:ind w:left="1069"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ocStatus" w:val="Green"/>
    <w:docVar w:name="LW_CORRIGENDUM" w:val="&lt;UNUSED&gt;"/>
    <w:docVar w:name="LW_COVERPAGE_EXISTS" w:val="True"/>
    <w:docVar w:name="LW_COVERPAGE_GUID" w:val="6227E6DF-ABE0-4E00-A1E4-EF59C2A0BD6A"/>
    <w:docVar w:name="LW_COVERPAGE_TYPE" w:val="1"/>
    <w:docVar w:name="LW_CROSSREFERENCE" w:val="{SWD(2019) 444 final}"/>
    <w:docVar w:name="LW_DocType" w:val="NORMAL"/>
    <w:docVar w:name="LW_EMISSION" w:val="2019 12 17"/>
    <w:docVar w:name="LW_EMISSION_ISODATE" w:val="2019-12-17"/>
    <w:docVar w:name="LW_EMISSION_LOCATION" w:val="BRX"/>
    <w:docVar w:name="LW_EMISSION_PREFIX" w:val="Briuselis, "/>
    <w:docVar w:name="LW_EMISSION_SUFFIX" w:val=" "/>
    <w:docVar w:name="LW_ID_DOCTYPE_NONLW" w:val="CP-009"/>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19) 6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2020 m. metin\u279? tvaraus augimo strategija"/>
    <w:docVar w:name="LW_TYPE.DOC.CP" w:val="KOMISIJOS KOMUNIKATAS"/>
    <w:docVar w:name="LW_TYPE.DOC.CP.USERTEXT" w:val="EUROPOS PARLAMENTUI, TARYBAI, EUROPOS CENTRINIAM BANKUI, EUROPOS EKONOMIKOS IR SOCIALINI\u370? REIKAL\u370? KOMITETUI, REGION\u370? KOMITETUI IR EUROPOS INVESTICIJ\u370? BANKU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semiHidden="0" w:uiPriority="0" w:unhideWhenUsed="0" w:qFormat="1"/>
    <w:lsdException w:name="footnote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24"/>
      <w:sz w:val="22"/>
      <w:szCs w:val="22"/>
      <w:lang w:eastAsia="ar-SA"/>
    </w:rPr>
  </w:style>
  <w:style w:type="paragraph" w:styleId="Heading1">
    <w:name w:val="heading 1"/>
    <w:basedOn w:val="Normal"/>
    <w:next w:val="BodyText"/>
    <w:qFormat/>
    <w:pPr>
      <w:keepNext/>
      <w:keepLines/>
      <w:numPr>
        <w:numId w:val="1"/>
      </w:numPr>
      <w:spacing w:before="240" w:after="240"/>
      <w:jc w:val="both"/>
      <w:outlineLvl w:val="0"/>
    </w:pPr>
    <w:rPr>
      <w:rFonts w:ascii="Times New Roman Bold" w:hAnsi="Times New Roman Bold" w:cs="Times New Roman"/>
      <w:b/>
      <w:smallCaps/>
      <w:sz w:val="24"/>
      <w:szCs w:val="24"/>
    </w:rPr>
  </w:style>
  <w:style w:type="paragraph" w:styleId="Heading3">
    <w:name w:val="heading 3"/>
    <w:basedOn w:val="Normal"/>
    <w:next w:val="BodyText"/>
    <w:qFormat/>
    <w:pPr>
      <w:keepNext/>
      <w:numPr>
        <w:ilvl w:val="2"/>
        <w:numId w:val="1"/>
      </w:numPr>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sz w:val="26"/>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lt-LT"/>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lang w:val="lt-LT"/>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Marker">
    <w:name w:val="Marker"/>
    <w:rPr>
      <w:color w:val="0000FF"/>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FooterCoverPageChar">
    <w:name w:val="Footer Cover Page Char"/>
    <w:rPr>
      <w:rFonts w:ascii="Times New Roman" w:hAnsi="Times New Roman" w:cs="Times New Roman"/>
      <w:sz w:val="24"/>
    </w:rPr>
  </w:style>
  <w:style w:type="character" w:customStyle="1" w:styleId="FooterSensitivityChar">
    <w:name w:val="Footer Sensitivity Char"/>
    <w:rPr>
      <w:rFonts w:ascii="Times New Roman" w:hAnsi="Times New Roman" w:cs="Times New Roman"/>
      <w:b/>
      <w:sz w:val="32"/>
    </w:rPr>
  </w:style>
  <w:style w:type="character" w:customStyle="1" w:styleId="HeaderCoverPageChar">
    <w:name w:val="Header Cover Page Char"/>
    <w:rPr>
      <w:rFonts w:ascii="Times New Roman" w:hAnsi="Times New Roman" w:cs="Times New Roman"/>
      <w:sz w:val="24"/>
    </w:rPr>
  </w:style>
  <w:style w:type="character" w:customStyle="1" w:styleId="HeaderSensitivityChar">
    <w:name w:val="Header Sensitivity Char"/>
    <w:rPr>
      <w:rFonts w:ascii="Times New Roman" w:hAnsi="Times New Roman" w:cs="Times New Roman"/>
      <w:b/>
      <w:sz w:val="32"/>
    </w:rPr>
  </w:style>
  <w:style w:type="character" w:customStyle="1" w:styleId="HeaderSensitivityRightChar">
    <w:name w:val="Header Sensitivity Right Char"/>
    <w:rPr>
      <w:rFonts w:ascii="Times New Roman" w:hAnsi="Times New Roman" w:cs="Times New Roman"/>
      <w:sz w:val="28"/>
    </w:rPr>
  </w:style>
  <w:style w:type="character" w:customStyle="1" w:styleId="Heading1Char">
    <w:name w:val="Heading 1 Char"/>
    <w:rPr>
      <w:rFonts w:ascii="Times New Roman Bold" w:hAnsi="Times New Roman Bold" w:cs="Times New Roman"/>
      <w:b/>
      <w:smallCaps/>
      <w:sz w:val="24"/>
      <w:szCs w:val="24"/>
    </w:rPr>
  </w:style>
  <w:style w:type="character" w:customStyle="1" w:styleId="ListLabel1">
    <w:name w:val="ListLabel 1"/>
    <w:rPr>
      <w:b/>
      <w:sz w:val="26"/>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BalloonTextChar">
    <w:name w:val="Balloon Text Char"/>
    <w:rPr>
      <w:rFonts w:ascii="Segoe UI" w:eastAsia="SimSun" w:hAnsi="Segoe UI" w:cs="Segoe UI"/>
      <w:sz w:val="18"/>
      <w:szCs w:val="18"/>
      <w:lang w:val="lt-LT"/>
    </w:rPr>
  </w:style>
  <w:style w:type="character" w:customStyle="1" w:styleId="CommentReference1">
    <w:name w:val="Comment Reference1"/>
    <w:rPr>
      <w:sz w:val="16"/>
      <w:szCs w:val="16"/>
    </w:rPr>
  </w:style>
  <w:style w:type="character" w:customStyle="1" w:styleId="CommentTextChar">
    <w:name w:val="Comment Text Char"/>
    <w:rPr>
      <w:rFonts w:ascii="Calibri" w:eastAsia="SimSun" w:hAnsi="Calibri" w:cs="font224"/>
      <w:lang w:val="lt-LT"/>
    </w:rPr>
  </w:style>
  <w:style w:type="character" w:customStyle="1" w:styleId="CommentSubjectChar">
    <w:name w:val="Comment Subject Char"/>
    <w:rPr>
      <w:rFonts w:ascii="Calibri" w:eastAsia="SimSun" w:hAnsi="Calibri" w:cs="font224"/>
      <w:b/>
      <w:bCs/>
      <w:lang w:val="lt-LT"/>
    </w:rPr>
  </w:style>
  <w:style w:type="character" w:customStyle="1" w:styleId="FootnoteTextChar">
    <w:name w:val="Footnote Text Char"/>
    <w:rPr>
      <w:rFonts w:ascii="Calibri" w:eastAsia="Calibri" w:hAnsi="Calibri" w:cs="Calibri"/>
    </w:rPr>
  </w:style>
  <w:style w:type="character" w:styleId="Hyperlink">
    <w:name w:val="Hyperlink"/>
    <w:rPr>
      <w:color w:val="0563C1"/>
      <w:u w:val="single"/>
    </w:rPr>
  </w:style>
  <w:style w:type="character" w:customStyle="1" w:styleId="Heading3Char">
    <w:name w:val="Heading 3 Char"/>
    <w:rPr>
      <w:rFonts w:ascii="Calibri Light" w:eastAsia="Times New Roman" w:hAnsi="Calibri Light" w:cs="Times New Roman"/>
      <w:b/>
      <w:bCs/>
      <w:sz w:val="26"/>
      <w:szCs w:val="26"/>
    </w:rPr>
  </w:style>
  <w:style w:type="character" w:customStyle="1" w:styleId="ListLabel4">
    <w:name w:val="ListLabel 4"/>
    <w:rPr>
      <w:b/>
      <w:sz w:val="26"/>
    </w:rPr>
  </w:style>
  <w:style w:type="character" w:customStyle="1" w:styleId="ListLabel5">
    <w:name w:val="ListLabel 5"/>
    <w:rPr>
      <w:rFonts w:cs="OpenSymbol"/>
    </w:rPr>
  </w:style>
  <w:style w:type="character" w:customStyle="1" w:styleId="ListLabel6">
    <w:name w:val="ListLabel 6"/>
    <w:rPr>
      <w:rFonts w:cs="Courier New"/>
    </w:rPr>
  </w:style>
  <w:style w:type="character" w:customStyle="1" w:styleId="FootnoteCharacters">
    <w:name w:val="Footnote Characters"/>
  </w:style>
  <w:style w:type="character" w:styleId="FootnoteReference">
    <w:name w:val="footnote reference"/>
    <w:aliases w:val="Footnote Reference Superscript,BVI fnr, BVI fnr,Footnote symbol,Footnote reference number,Times 10 Point,Exposant 3 Point,EN Footnote Reference,note TESI,Footnote,Footnote Reference Number,E FNZ,-E Fußnotenzeichen,Footnote#,Ref,Nota"/>
    <w:link w:val="FootnotesymbolCarZchn"/>
    <w:uiPriority w:val="99"/>
    <w:qFormat/>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Caption1">
    <w:name w:val="Caption1"/>
    <w:basedOn w:val="Normal"/>
    <w:pPr>
      <w:suppressLineNumbers/>
      <w:spacing w:before="120" w:after="120"/>
    </w:pPr>
    <w:rPr>
      <w:rFonts w:cs="Lucida Sans"/>
      <w:i/>
      <w:iCs/>
      <w:sz w:val="24"/>
      <w:szCs w:val="24"/>
    </w:rPr>
  </w:style>
  <w:style w:type="paragraph" w:customStyle="1" w:styleId="Pagedecouverture">
    <w:name w:val="Page de couverture"/>
    <w:basedOn w:val="Normal"/>
    <w:pPr>
      <w:spacing w:after="0" w:line="100" w:lineRule="atLeast"/>
      <w:jc w:val="both"/>
    </w:pPr>
    <w:rPr>
      <w:rFonts w:ascii="Times New Roman" w:hAnsi="Times New Roman" w:cs="Times New Roman"/>
      <w:sz w:val="24"/>
    </w:rPr>
  </w:style>
  <w:style w:type="paragraph" w:styleId="Header">
    <w:name w:val="header"/>
    <w:basedOn w:val="Normal"/>
    <w:pPr>
      <w:suppressLineNumbers/>
      <w:tabs>
        <w:tab w:val="center" w:pos="4513"/>
        <w:tab w:val="right" w:pos="9026"/>
      </w:tabs>
      <w:spacing w:after="0" w:line="100" w:lineRule="atLeast"/>
    </w:pPr>
  </w:style>
  <w:style w:type="paragraph" w:styleId="Footer">
    <w:name w:val="footer"/>
    <w:basedOn w:val="Normal"/>
    <w:pPr>
      <w:suppressLineNumbers/>
      <w:tabs>
        <w:tab w:val="center" w:pos="4513"/>
        <w:tab w:val="right" w:pos="9026"/>
      </w:tabs>
      <w:spacing w:after="0" w:line="100" w:lineRule="atLeast"/>
    </w:pPr>
  </w:style>
  <w:style w:type="paragraph" w:customStyle="1" w:styleId="FooterCoverPage">
    <w:name w:val="Footer Cover Page"/>
    <w:basedOn w:val="Normal"/>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CoverPage">
    <w:name w:val="Header Cover Page"/>
    <w:basedOn w:val="Normal"/>
    <w:pPr>
      <w:tabs>
        <w:tab w:val="center" w:pos="4535"/>
        <w:tab w:val="right" w:pos="9071"/>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qFormat/>
    <w:pPr>
      <w:spacing w:after="160" w:line="256" w:lineRule="auto"/>
      <w:ind w:left="720"/>
    </w:pPr>
  </w:style>
  <w:style w:type="paragraph" w:styleId="BalloonText">
    <w:name w:val="Balloon Text"/>
    <w:basedOn w:val="Normal"/>
    <w:pPr>
      <w:spacing w:after="0" w:line="100" w:lineRule="atLeast"/>
    </w:pPr>
    <w:rPr>
      <w:rFonts w:ascii="Segoe UI" w:hAnsi="Segoe UI" w:cs="Segoe UI"/>
      <w:sz w:val="18"/>
      <w:szCs w:val="18"/>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Revision">
    <w:name w:val="Revision"/>
    <w:pPr>
      <w:suppressAutoHyphens/>
    </w:pPr>
    <w:rPr>
      <w:rFonts w:ascii="Calibri" w:eastAsia="SimSun" w:hAnsi="Calibri" w:cs="font224"/>
      <w:sz w:val="22"/>
      <w:szCs w:val="22"/>
      <w:lang w:eastAsia="ar-SA"/>
    </w:rPr>
  </w:style>
  <w:style w:type="paragraph" w:customStyle="1" w:styleId="FootnoteText1">
    <w:name w:val="Footnote Text1"/>
    <w:basedOn w:val="Normal"/>
    <w:pPr>
      <w:suppressAutoHyphens w:val="0"/>
      <w:spacing w:after="120"/>
      <w:jc w:val="both"/>
    </w:pPr>
    <w:rPr>
      <w:rFonts w:eastAsia="Calibri" w:cs="Calibri"/>
      <w:sz w:val="20"/>
      <w:szCs w:val="20"/>
    </w:rPr>
  </w:style>
  <w:style w:type="paragraph" w:customStyle="1" w:styleId="Text3">
    <w:name w:val="Text 3"/>
    <w:basedOn w:val="Normal"/>
    <w:pPr>
      <w:tabs>
        <w:tab w:val="left" w:pos="2302"/>
      </w:tabs>
      <w:suppressAutoHyphens w:val="0"/>
      <w:spacing w:after="240" w:line="100" w:lineRule="atLeast"/>
      <w:ind w:left="1916"/>
      <w:jc w:val="both"/>
    </w:pPr>
    <w:rPr>
      <w:rFonts w:ascii="Times New Roman" w:eastAsia="Times New Roman" w:hAnsi="Times New Roman" w:cs="Times New Roman"/>
      <w:sz w:val="24"/>
      <w:szCs w:val="20"/>
    </w:rPr>
  </w:style>
  <w:style w:type="paragraph" w:customStyle="1" w:styleId="Text2">
    <w:name w:val="Text 2"/>
    <w:basedOn w:val="Normal"/>
    <w:pPr>
      <w:tabs>
        <w:tab w:val="left" w:pos="2160"/>
      </w:tabs>
      <w:suppressAutoHyphens w:val="0"/>
      <w:spacing w:after="240" w:line="100" w:lineRule="atLeast"/>
      <w:ind w:left="1077"/>
      <w:jc w:val="both"/>
    </w:pPr>
    <w:rPr>
      <w:rFonts w:ascii="Times New Roman" w:eastAsia="Times New Roman" w:hAnsi="Times New Roman" w:cs="Times New Roman"/>
      <w:sz w:val="24"/>
      <w:szCs w:val="20"/>
    </w:rPr>
  </w:style>
  <w:style w:type="paragraph" w:styleId="FootnoteText">
    <w:name w:val="footnote text"/>
    <w:aliases w:val="Fussnote,stile 1,Fußnote,Podrozdział,Footnote Text Char Char,Footnote Text Char1 Char Char,Footnote Text Char Char Char Char,Footnote Text Char Char1,Char Char,Sprotna opomba - besedilo Znak1,Tekst przypis,o,Char,Märk,Char1,f,Carattere,fn"/>
    <w:basedOn w:val="Normal"/>
    <w:uiPriority w:val="99"/>
    <w:qFormat/>
    <w:pPr>
      <w:suppressLineNumbers/>
      <w:ind w:left="283" w:hanging="283"/>
    </w:pPr>
    <w:rPr>
      <w:sz w:val="20"/>
      <w:szCs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1"/>
    <w:uiPriority w:val="99"/>
    <w:unhideWhenUsed/>
    <w:rPr>
      <w:sz w:val="20"/>
      <w:szCs w:val="20"/>
    </w:rPr>
  </w:style>
  <w:style w:type="character" w:customStyle="1" w:styleId="CommentTextChar1">
    <w:name w:val="Comment Text Char1"/>
    <w:link w:val="CommentText"/>
    <w:uiPriority w:val="99"/>
    <w:rPr>
      <w:rFonts w:ascii="Calibri" w:eastAsia="SimSun" w:hAnsi="Calibri" w:cs="font224"/>
      <w:lang w:eastAsia="ar-SA"/>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uppressAutoHyphens w:val="0"/>
      <w:spacing w:after="160" w:line="240" w:lineRule="exact"/>
      <w:jc w:val="both"/>
    </w:pPr>
    <w:rPr>
      <w:rFonts w:ascii="Times New Roman" w:eastAsia="Times New Roman" w:hAnsi="Times New Roman" w:cs="Times New Roman"/>
      <w:sz w:val="20"/>
      <w:szCs w:val="20"/>
      <w:vertAlign w:val="superscript"/>
      <w:lang w:eastAsia="en-GB"/>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1">
    <w:name w:val="Comment Subject Char1"/>
    <w:link w:val="CommentSubject"/>
    <w:uiPriority w:val="99"/>
    <w:semiHidden/>
    <w:rPr>
      <w:rFonts w:ascii="Calibri" w:eastAsia="SimSun" w:hAnsi="Calibri" w:cs="font224"/>
      <w:b/>
      <w:bCs/>
      <w:lang w:eastAsia="ar-SA"/>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01723">
      <w:bodyDiv w:val="1"/>
      <w:marLeft w:val="0"/>
      <w:marRight w:val="0"/>
      <w:marTop w:val="0"/>
      <w:marBottom w:val="0"/>
      <w:divBdr>
        <w:top w:val="none" w:sz="0" w:space="0" w:color="auto"/>
        <w:left w:val="none" w:sz="0" w:space="0" w:color="auto"/>
        <w:bottom w:val="none" w:sz="0" w:space="0" w:color="auto"/>
        <w:right w:val="none" w:sz="0" w:space="0" w:color="auto"/>
      </w:divBdr>
    </w:div>
    <w:div w:id="473180486">
      <w:bodyDiv w:val="1"/>
      <w:marLeft w:val="0"/>
      <w:marRight w:val="0"/>
      <w:marTop w:val="0"/>
      <w:marBottom w:val="0"/>
      <w:divBdr>
        <w:top w:val="none" w:sz="0" w:space="0" w:color="auto"/>
        <w:left w:val="none" w:sz="0" w:space="0" w:color="auto"/>
        <w:bottom w:val="none" w:sz="0" w:space="0" w:color="auto"/>
        <w:right w:val="none" w:sz="0" w:space="0" w:color="auto"/>
      </w:divBdr>
    </w:div>
    <w:div w:id="733624383">
      <w:bodyDiv w:val="1"/>
      <w:marLeft w:val="0"/>
      <w:marRight w:val="0"/>
      <w:marTop w:val="0"/>
      <w:marBottom w:val="0"/>
      <w:divBdr>
        <w:top w:val="none" w:sz="0" w:space="0" w:color="auto"/>
        <w:left w:val="none" w:sz="0" w:space="0" w:color="auto"/>
        <w:bottom w:val="none" w:sz="0" w:space="0" w:color="auto"/>
        <w:right w:val="none" w:sz="0" w:space="0" w:color="auto"/>
      </w:divBdr>
    </w:div>
    <w:div w:id="9696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sites/info/files/economy-finance/ip079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2A0E7ED-DA0E-49C9-AAE3-4C2740CC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5760</Words>
  <Characters>40384</Characters>
  <Application>Microsoft Office Word</Application>
  <DocSecurity>0</DocSecurity>
  <Lines>585</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WES PDFC Administrator</cp:lastModifiedBy>
  <cp:revision>32</cp:revision>
  <cp:lastPrinted>2019-12-11T17:53:00Z</cp:lastPrinted>
  <dcterms:created xsi:type="dcterms:W3CDTF">2019-12-16T16:11:00Z</dcterms:created>
  <dcterms:modified xsi:type="dcterms:W3CDTF">2019-12-20T14:15:00Z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CP-009</vt:lpwstr>
  </property>
  <property fmtid="{D5CDD505-2E9C-101B-9397-08002B2CF9AE}" pid="14" name="Last edited using">
    <vt:lpwstr>LW 7.0, Build 20190717</vt:lpwstr>
  </property>
  <property fmtid="{D5CDD505-2E9C-101B-9397-08002B2CF9AE}" pid="15" name="Created using">
    <vt:lpwstr>LW 7.0, Build 20190717</vt:lpwstr>
  </property>
</Properties>
</file>