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9C9795E-984D-484A-8E90-DDE0165F7322" style="width:450.75pt;height:362.25pt">
            <v:imagedata r:id="rId9" o:title=""/>
          </v:shape>
        </w:pict>
      </w:r>
    </w:p>
    <w:bookmarkEnd w:id="0"/>
    <w:p>
      <w:pPr>
        <w:pStyle w:val="Pagedecouverture"/>
        <w:rPr>
          <w:noProof/>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600" w:charSpace="36864"/>
        </w:sectPr>
      </w:pPr>
    </w:p>
    <w:p>
      <w:pPr>
        <w:spacing w:after="0" w:line="100" w:lineRule="atLeast"/>
        <w:jc w:val="right"/>
        <w:rPr>
          <w:rFonts w:ascii="Times New Roman" w:hAnsi="Times New Roman" w:cs="Times New Roman"/>
          <w:noProof/>
          <w:sz w:val="24"/>
          <w:szCs w:val="24"/>
        </w:rPr>
      </w:pPr>
      <w:bookmarkStart w:id="1" w:name="_GoBack"/>
      <w:bookmarkEnd w:id="1"/>
      <w:r>
        <w:rPr>
          <w:rFonts w:ascii="Times New Roman" w:hAnsi="Times New Roman"/>
          <w:noProof/>
          <w:sz w:val="24"/>
          <w:szCs w:val="24"/>
        </w:rPr>
        <w:lastRenderedPageBreak/>
        <w:t>”Jag vill att Europa ska bli ambitiösare när det gäller social rättvisa</w:t>
      </w:r>
    </w:p>
    <w:p>
      <w:pPr>
        <w:spacing w:after="0" w:line="100" w:lineRule="atLeast"/>
        <w:jc w:val="right"/>
        <w:rPr>
          <w:rFonts w:ascii="Times New Roman" w:hAnsi="Times New Roman" w:cs="Times New Roman"/>
          <w:bCs/>
          <w:noProof/>
          <w:sz w:val="24"/>
          <w:szCs w:val="24"/>
        </w:rPr>
      </w:pPr>
      <w:r>
        <w:rPr>
          <w:rFonts w:ascii="Times New Roman" w:hAnsi="Times New Roman"/>
          <w:noProof/>
          <w:sz w:val="24"/>
          <w:szCs w:val="24"/>
        </w:rPr>
        <w:t xml:space="preserve"> och välfärd. Detta är EU:s grundläggande löfte.”</w:t>
      </w:r>
    </w:p>
    <w:p>
      <w:pPr>
        <w:spacing w:after="0" w:line="100" w:lineRule="atLeast"/>
        <w:jc w:val="right"/>
        <w:rPr>
          <w:rFonts w:ascii="Times New Roman" w:hAnsi="Times New Roman" w:cs="Times New Roman"/>
          <w:b/>
          <w:bCs/>
          <w:smallCaps/>
          <w:noProof/>
          <w:sz w:val="24"/>
          <w:szCs w:val="24"/>
        </w:rPr>
      </w:pPr>
      <w:r>
        <w:rPr>
          <w:rFonts w:ascii="Times New Roman" w:hAnsi="Times New Roman"/>
          <w:bCs/>
          <w:noProof/>
          <w:sz w:val="24"/>
          <w:szCs w:val="24"/>
        </w:rPr>
        <w:t>Ursula von der Leyen, 16 juli 2019</w:t>
      </w:r>
    </w:p>
    <w:p>
      <w:pPr>
        <w:jc w:val="both"/>
        <w:rPr>
          <w:rFonts w:ascii="Times New Roman" w:hAnsi="Times New Roman" w:cs="Times New Roman"/>
          <w:b/>
          <w:bCs/>
          <w:smallCaps/>
          <w:noProof/>
          <w:sz w:val="24"/>
          <w:szCs w:val="24"/>
        </w:rPr>
      </w:pPr>
    </w:p>
    <w:p>
      <w:pPr>
        <w:jc w:val="both"/>
        <w:rPr>
          <w:rFonts w:ascii="Times New Roman" w:hAnsi="Times New Roman"/>
          <w:b/>
          <w:bCs/>
          <w:noProof/>
          <w:sz w:val="24"/>
          <w:szCs w:val="24"/>
        </w:rPr>
      </w:pPr>
      <w:r>
        <w:rPr>
          <w:rFonts w:ascii="Times New Roman" w:hAnsi="Times New Roman"/>
          <w:b/>
          <w:bCs/>
          <w:smallCaps/>
          <w:noProof/>
          <w:sz w:val="24"/>
          <w:szCs w:val="24"/>
        </w:rPr>
        <w:t>Inledning</w:t>
      </w:r>
    </w:p>
    <w:p>
      <w:pPr>
        <w:jc w:val="both"/>
        <w:rPr>
          <w:rFonts w:ascii="Times New Roman" w:hAnsi="Times New Roman"/>
          <w:noProof/>
          <w:sz w:val="24"/>
          <w:szCs w:val="24"/>
        </w:rPr>
      </w:pPr>
      <w:r>
        <w:rPr>
          <w:rFonts w:ascii="Times New Roman" w:hAnsi="Times New Roman"/>
          <w:b/>
          <w:bCs/>
          <w:noProof/>
          <w:sz w:val="24"/>
          <w:szCs w:val="24"/>
        </w:rPr>
        <w:t>Ekonomisk tillväxt är inte ett självändamål. En ekonomi måste verka för människorna och för planeten.</w:t>
      </w:r>
      <w:r>
        <w:rPr>
          <w:rFonts w:ascii="Times New Roman" w:hAnsi="Times New Roman"/>
          <w:noProof/>
          <w:sz w:val="24"/>
          <w:szCs w:val="24"/>
        </w:rPr>
        <w:t xml:space="preserve"> Klimat- och miljöproblem, tekniska framsteg och demografiska förändringar leder till att våra samhällen förändras i grunden. Europeiska unionen och dess medlemsstater måste nu reagera på dessa strukturomvandlingar med en ny tillväxtmodell som respekterar våra naturresursers gränser och samtidigt skapar jobb och varaktigt välstånd framöver. </w:t>
      </w:r>
    </w:p>
    <w:p>
      <w:pPr>
        <w:jc w:val="both"/>
        <w:rPr>
          <w:rFonts w:ascii="Times New Roman" w:hAnsi="Times New Roman" w:cs="Times New Roman"/>
          <w:noProof/>
          <w:color w:val="000000"/>
          <w:sz w:val="24"/>
          <w:szCs w:val="24"/>
        </w:rPr>
      </w:pPr>
      <w:r>
        <w:rPr>
          <w:rFonts w:ascii="Times New Roman" w:hAnsi="Times New Roman"/>
          <w:b/>
          <w:noProof/>
          <w:sz w:val="24"/>
          <w:szCs w:val="24"/>
        </w:rPr>
        <w:t xml:space="preserve">Den europeiska ekonomin har med framgång lämnat åratals ekonomisk krishantering bakom sig. </w:t>
      </w:r>
      <w:r>
        <w:rPr>
          <w:rFonts w:ascii="Times New Roman" w:hAnsi="Times New Roman"/>
          <w:noProof/>
          <w:sz w:val="24"/>
          <w:szCs w:val="24"/>
        </w:rPr>
        <w:t xml:space="preserve">Även om ekonomin nu har tillväxt för sjunde året i rad, försämras de utrikes- och geopolitiska utsikterna, osäkerheten tilltar och EU ser ut att vara på väg mot en tid av dämpad tillväxt och låg inflation. </w:t>
      </w:r>
    </w:p>
    <w:p>
      <w:pPr>
        <w:jc w:val="both"/>
        <w:rPr>
          <w:rFonts w:ascii="Times New Roman" w:hAnsi="Times New Roman" w:cs="Times New Roman"/>
          <w:bCs/>
          <w:noProof/>
          <w:color w:val="000000"/>
          <w:sz w:val="24"/>
          <w:szCs w:val="24"/>
        </w:rPr>
      </w:pPr>
      <w:r>
        <w:rPr>
          <w:rFonts w:ascii="Times New Roman" w:hAnsi="Times New Roman"/>
          <w:b/>
          <w:noProof/>
          <w:sz w:val="24"/>
          <w:szCs w:val="24"/>
        </w:rPr>
        <w:t xml:space="preserve">För att förbli konkurrenskraftiga i morgondagens värld och uppnå EU:s mål om klimatneutralitet måste vi nu ta itu med de ekonomiska utmaningarna på längre sikt. </w:t>
      </w:r>
      <w:r>
        <w:rPr>
          <w:rFonts w:ascii="Times New Roman" w:hAnsi="Times New Roman"/>
          <w:bCs/>
          <w:noProof/>
          <w:sz w:val="24"/>
          <w:szCs w:val="24"/>
        </w:rPr>
        <w:t xml:space="preserve">Att en ny kommission med en ambitiös europeisk grön giv tillträder, med prioriteringar för ett EU för människorna och ett EU rustat för den digitala tidsåldern, är ett bra tillfälle för en nystart för denna hållbara, nya tillväxtmodell. </w:t>
      </w:r>
    </w:p>
    <w:p>
      <w:pPr>
        <w:jc w:val="both"/>
        <w:rPr>
          <w:rFonts w:ascii="Times New Roman" w:hAnsi="Times New Roman" w:cs="Times New Roman"/>
          <w:noProof/>
          <w:color w:val="000000"/>
          <w:sz w:val="24"/>
          <w:szCs w:val="24"/>
        </w:rPr>
      </w:pPr>
      <w:r>
        <w:rPr>
          <w:rFonts w:ascii="Times New Roman" w:hAnsi="Times New Roman"/>
          <w:b/>
          <w:noProof/>
          <w:sz w:val="24"/>
          <w:szCs w:val="24"/>
        </w:rPr>
        <w:t>Den här ekonomiska agendan måste ställa om EU till en hållbar ekonomi och hjälpa EU och medlemsstaterna att uppfylla FN:s mål för hållbar utveckling, som de åtagit sig att nå</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Den måste driva på och följa med den digitala omställningen och klimatomställningen, och lägga om vår sociala marknadsekonomi så att EU förblir hem för världens mest avancerade välfärdssystem och ett dynamiskt nav för innovation och konkurrenskraftigt entreprenörskap. </w:t>
      </w:r>
    </w:p>
    <w:p>
      <w:pPr>
        <w:jc w:val="both"/>
        <w:rPr>
          <w:rFonts w:ascii="Times New Roman" w:hAnsi="Times New Roman" w:cs="Times New Roman"/>
          <w:noProof/>
          <w:color w:val="000000"/>
          <w:sz w:val="24"/>
          <w:szCs w:val="24"/>
        </w:rPr>
      </w:pPr>
      <w:r>
        <w:rPr>
          <w:rFonts w:ascii="Times New Roman" w:hAnsi="Times New Roman"/>
          <w:b/>
          <w:noProof/>
          <w:sz w:val="24"/>
          <w:szCs w:val="24"/>
        </w:rPr>
        <w:t>Den europeiska gröna given är vår nya tillväxtstrategi. Den sätter hållbarhet i alla bemärkelser och medborgarnas välbefinnande i centrum för allt vi gör. Detta kräver att fyra principer kombineras: miljö, produktivitet, stabilitet och rättvisa.</w:t>
      </w:r>
      <w:r>
        <w:rPr>
          <w:rFonts w:ascii="Times New Roman" w:hAnsi="Times New Roman"/>
          <w:noProof/>
          <w:sz w:val="24"/>
          <w:szCs w:val="24"/>
        </w:rPr>
        <w:t xml:space="preserve"> </w:t>
      </w:r>
    </w:p>
    <w:p>
      <w:pPr>
        <w:jc w:val="both"/>
        <w:rPr>
          <w:rFonts w:ascii="Times New Roman" w:hAnsi="Times New Roman" w:cs="Times New Roman"/>
          <w:noProof/>
          <w:color w:val="000000"/>
          <w:sz w:val="24"/>
          <w:szCs w:val="24"/>
        </w:rPr>
      </w:pPr>
      <w:r>
        <w:rPr>
          <w:rFonts w:ascii="Times New Roman" w:hAnsi="Times New Roman"/>
          <w:noProof/>
          <w:sz w:val="24"/>
          <w:szCs w:val="24"/>
        </w:rPr>
        <w:t>Kärnan i vår tillväxtstrategi är fyra principer som kompletterar varandra.</w:t>
      </w:r>
    </w:p>
    <w:p>
      <w:pPr>
        <w:jc w:val="both"/>
        <w:rPr>
          <w:rFonts w:ascii="Times New Roman" w:hAnsi="Times New Roman" w:cs="Times New Roman"/>
          <w:noProof/>
          <w:color w:val="000000"/>
          <w:sz w:val="24"/>
          <w:szCs w:val="24"/>
        </w:rPr>
      </w:pPr>
      <w:r>
        <w:rPr>
          <w:rFonts w:ascii="Times New Roman" w:hAnsi="Times New Roman"/>
          <w:noProof/>
          <w:sz w:val="24"/>
          <w:szCs w:val="24"/>
        </w:rPr>
        <w:t>För det första bör våra insatser inriktas på att leda omställningen till en naturvänlig och klimatneutral världsdel fram till 2050, och samtidigt se till att alla kan dra nytta av de möjligheter som detta medför.</w:t>
      </w:r>
    </w:p>
    <w:p>
      <w:pPr>
        <w:jc w:val="both"/>
        <w:rPr>
          <w:rFonts w:ascii="Times New Roman" w:hAnsi="Times New Roman" w:cs="Times New Roman"/>
          <w:noProof/>
          <w:color w:val="000000"/>
          <w:sz w:val="24"/>
          <w:szCs w:val="24"/>
        </w:rPr>
      </w:pPr>
      <w:r>
        <w:rPr>
          <w:rFonts w:ascii="Times New Roman" w:hAnsi="Times New Roman"/>
          <w:noProof/>
          <w:sz w:val="24"/>
          <w:szCs w:val="24"/>
        </w:rPr>
        <w:t>För det andra kan EU genom att utveckla ny teknik och hållbara lösningar ligga i framkant för framtidens ekonomiska tillväxt och bli världsledande i en allt med digitaliserad värld, bl.a. på områden av central betydelse för EU:s teknikoberoende som cybersäkerhet, artificiell intelligens och 5G. Digital teknik är en viktig möjliggörande faktor för den europeiska gröna given.</w:t>
      </w:r>
    </w:p>
    <w:p>
      <w:pPr>
        <w:jc w:val="both"/>
        <w:rPr>
          <w:rFonts w:ascii="Times New Roman" w:hAnsi="Times New Roman" w:cs="Times New Roman"/>
          <w:noProof/>
          <w:color w:val="000000"/>
          <w:sz w:val="24"/>
          <w:szCs w:val="24"/>
        </w:rPr>
      </w:pPr>
      <w:r>
        <w:rPr>
          <w:rFonts w:ascii="Times New Roman" w:hAnsi="Times New Roman"/>
          <w:noProof/>
          <w:sz w:val="24"/>
          <w:szCs w:val="24"/>
        </w:rPr>
        <w:t>För det tredje behöver EU färdigställa den ekonomiska och monetära unionen för att se till att alla ekonomiska verktyg finns tillgängliga om en allvarlig negativ ekonomisk chock skulle uppstå. Eurons internationella roll måste stärkas för att öka EU:s inflytande i omvärlden och på världsmarknaderna och hjälpa till att skydda europeiska företag, konsumenter och regeringar från ogynnsamma externa händelser. En dynamisk och motståndskraftig ekonomisk och monetär union, som vilar på den solida grund som bankunionen och kapitalmarknadsunionen ger, är det bästa sättet att öka EU:s finansiella stabilitet och därmed stärka eurons internationella roll.</w:t>
      </w:r>
    </w:p>
    <w:p>
      <w:pPr>
        <w:jc w:val="both"/>
        <w:rPr>
          <w:rFonts w:ascii="Times New Roman" w:hAnsi="Times New Roman" w:cs="Times New Roman"/>
          <w:noProof/>
          <w:color w:val="000000"/>
          <w:sz w:val="24"/>
          <w:szCs w:val="24"/>
        </w:rPr>
      </w:pPr>
      <w:r>
        <w:rPr>
          <w:rFonts w:ascii="Times New Roman" w:hAnsi="Times New Roman"/>
          <w:noProof/>
          <w:sz w:val="24"/>
          <w:szCs w:val="24"/>
        </w:rPr>
        <w:t xml:space="preserve">För det fjärde måste den nya ekonomiska agendan garantera att övergången är rättvis för alla och sätter människorna i centrum. Särskild uppmärksamhet måste ägnas åt de regioner, branscher och arbetstagare som ställs inför de största omställningarna.  </w:t>
      </w:r>
    </w:p>
    <w:p>
      <w:pPr>
        <w:jc w:val="both"/>
        <w:rPr>
          <w:rFonts w:ascii="Times New Roman" w:hAnsi="Times New Roman" w:cs="Times New Roman"/>
          <w:noProof/>
          <w:color w:val="000000"/>
          <w:sz w:val="24"/>
          <w:szCs w:val="24"/>
        </w:rPr>
      </w:pPr>
      <w:r>
        <w:rPr>
          <w:rFonts w:ascii="Times New Roman" w:hAnsi="Times New Roman"/>
          <w:b/>
          <w:noProof/>
          <w:sz w:val="24"/>
          <w:szCs w:val="24"/>
        </w:rPr>
        <w:t>Kärnan i detta blir en industristrategi med stark förankring i den inre marknaden som gör det möjligt för våra företag vara innovativa och utveckla ny teknik, och samtidigt främja den cirkulära ekonomin och skapa nya marknader.</w:t>
      </w:r>
      <w:r>
        <w:rPr>
          <w:rFonts w:ascii="Times New Roman" w:hAnsi="Times New Roman"/>
          <w:b/>
          <w:bCs/>
          <w:noProof/>
          <w:sz w:val="24"/>
          <w:szCs w:val="24"/>
        </w:rPr>
        <w:t xml:space="preserve"> Det innebär att EU:s ekonomiska politik behöver inriktas på prioriteringar på längre sikt, med målet att erbjuda yngre generationer i alla delar av EU en hållbar och blomstrande framtid.</w:t>
      </w:r>
      <w:r>
        <w:rPr>
          <w:rFonts w:ascii="Times New Roman" w:hAnsi="Times New Roman"/>
          <w:noProof/>
          <w:sz w:val="24"/>
          <w:szCs w:val="24"/>
        </w:rPr>
        <w:t xml:space="preserve"> Vi måste gå från ett stegvis till ett övergripande tillvägagångssätt inom alla politikområden, och ta ett helhetsgrepp på politiken. Det måste vara en inkluderande process som utvecklas i samarbete med Europaparlamentet, medlemsstaterna, arbetsmarknadens parter och andra intressenter.</w:t>
      </w:r>
      <w:r>
        <w:rPr>
          <w:rFonts w:ascii="Times New Roman" w:hAnsi="Times New Roman"/>
          <w:b/>
          <w:noProof/>
          <w:sz w:val="24"/>
          <w:szCs w:val="24"/>
        </w:rPr>
        <w:t xml:space="preserve"> </w:t>
      </w:r>
      <w:r>
        <w:rPr>
          <w:rFonts w:ascii="Times New Roman" w:hAnsi="Times New Roman"/>
          <w:noProof/>
          <w:sz w:val="24"/>
          <w:szCs w:val="24"/>
        </w:rPr>
        <w:t xml:space="preserve">Målen för hållbar utveckling ska stå i centrum för EU:s beslutsfattande och insatser. Den europeiska planeringsterminen utgör i detta avseende en väletablerad ram för samordning av den ekonomiska politiken och sysselsättningspolitiken som behövs för att vägleda EU och medlemsstaterna under de här omställningarna, som ju påverkar hela ekonomin. I denna årliga strategi för hållbar tillväxt lägger kommissionen fram de ekonomiska och sysselsättningspolitiska prioriteringarna för EU. Inom detta tillvägagångssätt kan synergier skapas, avvägningar kan göras mellan tillväxtagendans fyra principer och lösningar kan presenteras. </w:t>
      </w:r>
    </w:p>
    <w:p>
      <w:pPr>
        <w:jc w:val="both"/>
        <w:rPr>
          <w:rFonts w:ascii="Times New Roman" w:hAnsi="Times New Roman" w:cs="Times New Roman"/>
          <w:noProof/>
          <w:color w:val="000000"/>
          <w:sz w:val="24"/>
          <w:szCs w:val="24"/>
        </w:rPr>
      </w:pPr>
    </w:p>
    <w:p>
      <w:pPr>
        <w:pStyle w:val="ListParagraph"/>
        <w:keepNext/>
        <w:numPr>
          <w:ilvl w:val="1"/>
          <w:numId w:val="2"/>
        </w:numPr>
        <w:spacing w:line="257" w:lineRule="auto"/>
        <w:ind w:left="1066" w:hanging="357"/>
        <w:jc w:val="both"/>
        <w:rPr>
          <w:rFonts w:ascii="Times New Roman" w:hAnsi="Times New Roman" w:cs="Times New Roman"/>
          <w:b/>
          <w:noProof/>
          <w:color w:val="000000"/>
          <w:sz w:val="24"/>
          <w:szCs w:val="24"/>
        </w:rPr>
      </w:pPr>
      <w:r>
        <w:rPr>
          <w:rFonts w:ascii="Times New Roman" w:hAnsi="Times New Roman"/>
          <w:b/>
          <w:noProof/>
          <w:sz w:val="24"/>
          <w:szCs w:val="24"/>
        </w:rPr>
        <w:t>EU:s ekonomiska utsikter</w:t>
      </w:r>
    </w:p>
    <w:p>
      <w:pPr>
        <w:jc w:val="both"/>
        <w:rPr>
          <w:rStyle w:val="CommentReference1"/>
          <w:rFonts w:ascii="Times New Roman" w:hAnsi="Times New Roman" w:cs="Times New Roman"/>
          <w:b/>
          <w:noProof/>
          <w:color w:val="000000"/>
          <w:sz w:val="24"/>
          <w:szCs w:val="24"/>
        </w:rPr>
      </w:pPr>
      <w:r>
        <w:rPr>
          <w:rFonts w:ascii="Times New Roman" w:hAnsi="Times New Roman"/>
          <w:b/>
          <w:noProof/>
          <w:sz w:val="24"/>
          <w:szCs w:val="24"/>
        </w:rPr>
        <w:t>Ekonomin i EU har nu tillväxt för sjunde året i rad</w:t>
      </w:r>
      <w:r>
        <w:rPr>
          <w:rFonts w:ascii="Times New Roman" w:hAnsi="Times New Roman"/>
          <w:noProof/>
          <w:sz w:val="24"/>
          <w:szCs w:val="24"/>
        </w:rPr>
        <w:t>. Ekonomin spås fortsätta att växa 2020 och 2021, även om tillväxtutsikterna har försvagats. Arbetsmarknaderna förblir starka, och arbetslösheten fortsätter att minska, om än i långsammare takt</w:t>
      </w:r>
      <w:r>
        <w:rPr>
          <w:noProof/>
          <w:sz w:val="24"/>
          <w:szCs w:val="24"/>
        </w:rPr>
        <w:t xml:space="preserve"> </w:t>
      </w:r>
      <w:r>
        <w:rPr>
          <w:rStyle w:val="CommentReference1"/>
          <w:rFonts w:ascii="Times New Roman" w:hAnsi="Times New Roman"/>
          <w:noProof/>
          <w:sz w:val="24"/>
          <w:szCs w:val="24"/>
        </w:rPr>
        <w:t>(</w:t>
      </w:r>
      <w:r>
        <w:rPr>
          <w:rStyle w:val="FootnoteReference"/>
          <w:rFonts w:ascii="Times New Roman" w:hAnsi="Times New Roman" w:cs="Times New Roman"/>
          <w:noProof/>
          <w:sz w:val="24"/>
          <w:szCs w:val="24"/>
        </w:rPr>
        <w:footnoteReference w:id="2"/>
      </w:r>
      <w:r>
        <w:rPr>
          <w:rStyle w:val="CommentReference1"/>
          <w:rFonts w:ascii="Times New Roman" w:hAnsi="Times New Roman"/>
          <w:noProof/>
          <w:sz w:val="24"/>
          <w:szCs w:val="24"/>
        </w:rPr>
        <w:t xml:space="preserve">). </w:t>
      </w:r>
      <w:r>
        <w:rPr>
          <w:rFonts w:ascii="Times New Roman" w:hAnsi="Times New Roman"/>
          <w:noProof/>
          <w:sz w:val="24"/>
          <w:szCs w:val="24"/>
        </w:rPr>
        <w:t>De offentliga finanserna fortsätter att förbättras, våra banksystem är stabilare och grunden för vår ekonomiska och monetära union är starkare. Investeringarna och den potentiella tillväxten är dock fortfarande lägre än före krisen.</w:t>
      </w:r>
      <w:r>
        <w:rPr>
          <w:rStyle w:val="CommentReference1"/>
          <w:rFonts w:ascii="Times New Roman" w:hAnsi="Times New Roman"/>
          <w:noProof/>
          <w:sz w:val="24"/>
          <w:szCs w:val="24"/>
        </w:rPr>
        <w:t xml:space="preserve"> Saldot i de offentliga finanserna tros bli något sämre 2019–2021 på grund av lägre tillväxt och något mindre strikt diskretionär finanspolitik i vissa medlemsstater, i vissa av dem till och med en expansiv finanspolitik.</w:t>
      </w:r>
    </w:p>
    <w:p>
      <w:pPr>
        <w:jc w:val="both"/>
        <w:rPr>
          <w:rStyle w:val="CommentReference1"/>
          <w:rFonts w:ascii="Times New Roman" w:hAnsi="Times New Roman" w:cs="Times New Roman"/>
          <w:noProof/>
          <w:color w:val="000000"/>
          <w:sz w:val="24"/>
          <w:szCs w:val="24"/>
        </w:rPr>
      </w:pPr>
      <w:r>
        <w:rPr>
          <w:rFonts w:ascii="Times New Roman" w:hAnsi="Times New Roman"/>
          <w:b/>
          <w:bCs/>
          <w:noProof/>
          <w:sz w:val="24"/>
          <w:szCs w:val="24"/>
        </w:rPr>
        <w:t xml:space="preserve">De ekonomiska utsikterna på kort sikt överskuggas av betydligt mindre gynnsamma ekonomiska och geopolitiska förutsättningar </w:t>
      </w:r>
      <w:r>
        <w:rPr>
          <w:rFonts w:ascii="Times New Roman" w:hAnsi="Times New Roman"/>
          <w:b/>
          <w:noProof/>
          <w:sz w:val="24"/>
          <w:szCs w:val="24"/>
        </w:rPr>
        <w:t xml:space="preserve">och </w:t>
      </w:r>
      <w:r>
        <w:rPr>
          <w:rFonts w:ascii="Times New Roman" w:hAnsi="Times New Roman"/>
          <w:b/>
          <w:bCs/>
          <w:noProof/>
          <w:sz w:val="24"/>
          <w:szCs w:val="24"/>
        </w:rPr>
        <w:t>hög osäkerhet.</w:t>
      </w:r>
      <w:r>
        <w:rPr>
          <w:rFonts w:ascii="Times New Roman" w:hAnsi="Times New Roman"/>
          <w:b/>
          <w:noProof/>
          <w:sz w:val="24"/>
          <w:szCs w:val="24"/>
        </w:rPr>
        <w:t xml:space="preserve"> </w:t>
      </w:r>
      <w:r>
        <w:rPr>
          <w:rFonts w:ascii="Times New Roman" w:hAnsi="Times New Roman"/>
          <w:noProof/>
          <w:sz w:val="24"/>
          <w:szCs w:val="24"/>
        </w:rPr>
        <w:t>Utsikterna till tillväxt i världen är sköra. Handelspolitiska spänningar i tillverkningsindustrin och geopolitisk osäkerhet påverkar investeringsbesluten negativt. Minskad handel i kombination med låg produktivitetstillväxt kan få långvariga konsekvenser för EU:s ställning i en värld som i allt högre grad kännetecknas av rivaliteten mellan USA och Kina. Det påverkar främst tillverkningsindustrin, som också genomgår en strukturomvandling. Därför verkar ekonomin i EU vara på väg mot en längre period med mer måttfull tillväxt och låg inflation. Enligt prognoserna kommer euroområdets bruttonationalprodukt (BNP) att öka med 1,1 % under 2019 och med 1,2 % 2020 och 2021. För EU som helhet spås BNP öka med 1,4 % per år 2019–2021.</w:t>
      </w:r>
      <w:r>
        <w:rPr>
          <w:rStyle w:val="CommentReference1"/>
          <w:rFonts w:ascii="Times New Roman" w:hAnsi="Times New Roman"/>
          <w:noProof/>
          <w:sz w:val="24"/>
          <w:szCs w:val="24"/>
        </w:rPr>
        <w:t xml:space="preserve"> </w:t>
      </w:r>
    </w:p>
    <w:p>
      <w:pPr>
        <w:jc w:val="both"/>
        <w:rPr>
          <w:rStyle w:val="CommentReference1"/>
          <w:rFonts w:ascii="Times New Roman" w:hAnsi="Times New Roman" w:cs="Times New Roman"/>
          <w:noProof/>
          <w:sz w:val="24"/>
          <w:szCs w:val="24"/>
        </w:rPr>
      </w:pPr>
      <w:r>
        <w:rPr>
          <w:rFonts w:ascii="Times New Roman" w:hAnsi="Times New Roman"/>
          <w:b/>
          <w:noProof/>
          <w:sz w:val="24"/>
          <w:szCs w:val="24"/>
        </w:rPr>
        <w:t xml:space="preserve">De ekonomiska utsikterna på medellång sikt hämmas av den åldrande befolkningen, den tröga produktivitetstillväxten och miljöförstöringens allt större konsekvenser. </w:t>
      </w:r>
      <w:r>
        <w:rPr>
          <w:rFonts w:ascii="Times New Roman" w:hAnsi="Times New Roman"/>
          <w:noProof/>
          <w:sz w:val="24"/>
          <w:szCs w:val="24"/>
        </w:rPr>
        <w:t>Den åldrande befolkningen innebär att 2024 kommer arbetskraften i elva medlemsstater att ha minskat med uppskattningsvis över 3 % jämfört med nu</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Arbetskraften i EU torde 2060 ha minskat med 12 %.  Detta, i kombination med en flera decennier lång tendens av minskad produktivitetstillväxt, sätter press på ekonomins tillväxtpotential och de offentliga finanserna framöver. Dessutom förväntas miljöförstöringens konsekvenser i allt högre grad påverka den ekonomiska aktiviteten genom att extremväder blir vanligare, människors hälsa påverkas och tillgången till materiella resurser och ekosystemtjänster blir mindre tillförlitlig. </w:t>
      </w:r>
    </w:p>
    <w:p>
      <w:pPr>
        <w:jc w:val="both"/>
        <w:rPr>
          <w:rStyle w:val="CommentReference1"/>
          <w:rFonts w:ascii="Times New Roman" w:hAnsi="Times New Roman" w:cs="Times New Roman"/>
          <w:noProof/>
          <w:color w:val="000000"/>
          <w:sz w:val="24"/>
          <w:szCs w:val="24"/>
        </w:rPr>
      </w:pPr>
      <w:r>
        <w:rPr>
          <w:rStyle w:val="CommentReference1"/>
          <w:rFonts w:ascii="Times New Roman" w:hAnsi="Times New Roman"/>
          <w:b/>
          <w:noProof/>
          <w:sz w:val="24"/>
          <w:szCs w:val="24"/>
        </w:rPr>
        <w:t xml:space="preserve">Nu när molnen tornar upp sig vid synranden måste EU utveckla en ny tillväxtmodell som verkningsfullt åtgärdar de långsiktiga utmaningar som omdanar samhället. </w:t>
      </w:r>
      <w:r>
        <w:rPr>
          <w:rStyle w:val="CommentReference1"/>
          <w:rFonts w:ascii="Times New Roman" w:hAnsi="Times New Roman"/>
          <w:noProof/>
          <w:sz w:val="24"/>
          <w:szCs w:val="24"/>
        </w:rPr>
        <w:t>Denna nya modell är också en viktig tillgång för att befästa EU:s politiska och ekonomiska ledarskap i världen. Den torde också öka den potentiella tillväxten och hjälpa EU att förbli starkt trots den ökande osäkerheten på kort sikt.</w:t>
      </w:r>
    </w:p>
    <w:p>
      <w:pPr>
        <w:jc w:val="both"/>
        <w:rPr>
          <w:rStyle w:val="CommentReference1"/>
          <w:rFonts w:ascii="Times New Roman" w:hAnsi="Times New Roman" w:cs="Times New Roman"/>
          <w:noProof/>
          <w:color w:val="000000"/>
          <w:sz w:val="24"/>
          <w:szCs w:val="24"/>
        </w:rPr>
      </w:pPr>
    </w:p>
    <w:p>
      <w:pPr>
        <w:pStyle w:val="ListParagraph"/>
        <w:keepNext/>
        <w:numPr>
          <w:ilvl w:val="1"/>
          <w:numId w:val="2"/>
        </w:numPr>
        <w:spacing w:line="257" w:lineRule="auto"/>
        <w:ind w:left="1066" w:hanging="357"/>
        <w:jc w:val="both"/>
        <w:rPr>
          <w:rFonts w:ascii="Times New Roman" w:hAnsi="Times New Roman" w:cs="Times New Roman"/>
          <w:b/>
          <w:bCs/>
          <w:noProof/>
          <w:color w:val="000000"/>
          <w:sz w:val="24"/>
          <w:szCs w:val="24"/>
        </w:rPr>
      </w:pPr>
      <w:r>
        <w:rPr>
          <w:rFonts w:ascii="Times New Roman" w:hAnsi="Times New Roman"/>
          <w:b/>
          <w:noProof/>
          <w:sz w:val="24"/>
          <w:szCs w:val="24"/>
        </w:rPr>
        <w:t xml:space="preserve">En ny modell för att ta möta utmaningar som hänger samman med varandra </w:t>
      </w:r>
    </w:p>
    <w:p>
      <w:pPr>
        <w:spacing w:after="120"/>
        <w:jc w:val="both"/>
        <w:rPr>
          <w:rFonts w:ascii="Times New Roman" w:hAnsi="Times New Roman" w:cs="Times New Roman"/>
          <w:b/>
          <w:bCs/>
          <w:noProof/>
          <w:color w:val="000000"/>
          <w:sz w:val="24"/>
          <w:szCs w:val="24"/>
        </w:rPr>
      </w:pPr>
      <w:r>
        <w:rPr>
          <w:rFonts w:ascii="Times New Roman" w:hAnsi="Times New Roman"/>
          <w:b/>
          <w:bCs/>
          <w:noProof/>
          <w:sz w:val="24"/>
          <w:szCs w:val="24"/>
        </w:rPr>
        <w:t>Konkurrenskraftig hållbarhet har alltid stått i centrum för den europeiska sociala marknadsekonomin och bör förbli den vägledande principen även i framtiden.</w:t>
      </w:r>
      <w:r>
        <w:rPr>
          <w:rFonts w:ascii="Times New Roman" w:hAnsi="Times New Roman"/>
          <w:noProof/>
          <w:sz w:val="24"/>
          <w:szCs w:val="24"/>
        </w:rPr>
        <w:t xml:space="preserve"> En övergång till en hållbar ekonomisk modell, som möjliggörs av digital och ren teknik, kan göra EU ledande i omställningen. Ledarskap inom miljöskydd och en stark, innovativ industribas måste ses som två sidor av samma mynt, vilket ger EU ett försprång i konkurrenshänseende. En stabil ekonomi, som gör det möjligt att fokusera politiken på långsiktiga frågor, och en rättvis omställning för dem som påverkas mest av förändringarna, är en förutsättning för framgång och bör komplettera vår ram.</w:t>
      </w:r>
    </w:p>
    <w:p>
      <w:pPr>
        <w:spacing w:after="120"/>
        <w:jc w:val="both"/>
        <w:rPr>
          <w:noProof/>
          <w:sz w:val="24"/>
          <w:szCs w:val="24"/>
        </w:rPr>
      </w:pPr>
      <w:r>
        <w:rPr>
          <w:rFonts w:ascii="Times New Roman" w:hAnsi="Times New Roman"/>
          <w:b/>
          <w:bCs/>
          <w:noProof/>
          <w:sz w:val="24"/>
          <w:szCs w:val="24"/>
        </w:rPr>
        <w:t xml:space="preserve">Miljömässig hållbarhet, produktivitetsvinster, rättvisa och makroekonomisk stabilitet är de fyra principerna för vår ekonomiska politik de närmaste åren. </w:t>
      </w:r>
      <w:r>
        <w:rPr>
          <w:rFonts w:ascii="Times New Roman" w:hAnsi="Times New Roman"/>
          <w:bCs/>
          <w:noProof/>
          <w:sz w:val="24"/>
          <w:szCs w:val="24"/>
        </w:rPr>
        <w:t>Dessa principer, som hänger samman med och stärker varandra, bör vara vägledande för strukturreformer, investeringar och en ansvarsfull budgetpolitik i alla medlemsstater.</w:t>
      </w:r>
      <w:r>
        <w:rPr>
          <w:rFonts w:ascii="Times New Roman" w:hAnsi="Times New Roman"/>
          <w:b/>
          <w:noProof/>
          <w:sz w:val="24"/>
          <w:szCs w:val="24"/>
        </w:rPr>
        <w:t xml:space="preserve"> </w:t>
      </w:r>
    </w:p>
    <w:p>
      <w:pPr>
        <w:spacing w:after="120"/>
        <w:jc w:val="both"/>
        <w:rPr>
          <w:rFonts w:ascii="Times New Roman" w:hAnsi="Times New Roman" w:cs="Times New Roman"/>
          <w:noProof/>
          <w:color w:val="000000"/>
          <w:sz w:val="24"/>
          <w:szCs w:val="24"/>
        </w:rPr>
      </w:pPr>
      <w:r>
        <w:rPr>
          <w:rFonts w:ascii="Times New Roman" w:hAnsi="Times New Roman"/>
          <w:b/>
          <w:noProof/>
          <w:sz w:val="24"/>
          <w:szCs w:val="24"/>
        </w:rPr>
        <w:t>Dessa fyra principer är avgörande för uppnåendet av målen för hållbar utveckling.</w:t>
      </w:r>
      <w:r>
        <w:rPr>
          <w:rFonts w:ascii="Times New Roman" w:hAnsi="Times New Roman"/>
          <w:noProof/>
          <w:sz w:val="24"/>
          <w:szCs w:val="24"/>
        </w:rPr>
        <w:t xml:space="preserve"> Att arbeta in målen för hållbar utveckling i den europeiska planeringsterminen, särskilt de ekonomiska aspekterna och sysselsättningsaspekterna, utgör ett unikt tillfälle att sätta människorna, människornas hälsa och planeten i centrum för den ekonomiska politiken. Att sätta målen för hållbar utveckling i centrum för EU:s beslutsfattande och insatser sänder också en stark signal mot den rådande geopolitiska bakgrunden om EU:s hållbarhetsengagemang.</w:t>
      </w:r>
    </w:p>
    <w:p>
      <w:pPr>
        <w:pStyle w:val="ListParagraph"/>
        <w:ind w:left="0"/>
        <w:rPr>
          <w:noProof/>
          <w:sz w:val="24"/>
          <w:szCs w:val="24"/>
        </w:rPr>
      </w:pPr>
    </w:p>
    <w:p>
      <w:pPr>
        <w:pStyle w:val="ListParagraph"/>
        <w:ind w:left="0"/>
        <w:rPr>
          <w:rFonts w:ascii="Times New Roman" w:hAnsi="Times New Roman" w:cs="Times New Roman"/>
          <w:noProof/>
          <w:sz w:val="24"/>
          <w:szCs w:val="24"/>
        </w:rPr>
      </w:pPr>
      <w:r>
        <w:rPr>
          <w:noProof/>
          <w:lang w:val="en-GB" w:eastAsia="en-GB"/>
        </w:rPr>
        <w:drawing>
          <wp:inline distT="0" distB="0" distL="0" distR="0">
            <wp:extent cx="5724940" cy="4300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6355" cy="4301924"/>
                    </a:xfrm>
                    <a:prstGeom prst="rect">
                      <a:avLst/>
                    </a:prstGeom>
                    <a:noFill/>
                    <a:ln>
                      <a:noFill/>
                    </a:ln>
                  </pic:spPr>
                </pic:pic>
              </a:graphicData>
            </a:graphic>
          </wp:inline>
        </w:drawing>
      </w:r>
    </w:p>
    <w:p>
      <w:pPr>
        <w:pStyle w:val="ListParagraph"/>
        <w:ind w:left="0"/>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b/>
          <w:noProof/>
          <w:sz w:val="24"/>
          <w:szCs w:val="24"/>
        </w:rPr>
        <w:t>För att lyckas måste kostnaderna och nyttan vägas mot varandra på kort och lång sikt.</w:t>
      </w:r>
      <w:r>
        <w:rPr>
          <w:rFonts w:ascii="Times New Roman" w:hAnsi="Times New Roman"/>
          <w:noProof/>
          <w:sz w:val="24"/>
          <w:szCs w:val="24"/>
        </w:rPr>
        <w:t xml:space="preserve"> Nyttan bör komma alla till del, medan kostnaderna inte får drabba de mest utsatta. Både klimatförändringarna i sig och den kompletterande politik som krävs för att övervinna de utmaningar som de innebär får stora fördelningspolitiska konsekvenser, särskilt på kort sikt. När vi utformar politiken och utarbetar rekommendationer för strukturreformer måste vi se till att det finns stöd till de människor som påverkas mest av de här samhällsförändringarna. Men den gröna omställningen leder också till nya arbetstillfällen och ökat välbefinnande, t.ex. i form av sundare arbets- och levnadsförhållanden.</w:t>
      </w:r>
      <w:r>
        <w:rPr>
          <w:noProof/>
          <w:sz w:val="24"/>
          <w:szCs w:val="24"/>
        </w:rPr>
        <w:t xml:space="preserve"> </w:t>
      </w:r>
      <w:r>
        <w:rPr>
          <w:rFonts w:ascii="Times New Roman" w:hAnsi="Times New Roman"/>
          <w:noProof/>
          <w:sz w:val="24"/>
          <w:szCs w:val="24"/>
        </w:rPr>
        <w:t xml:space="preserve">På andra politikområden finns det också avvägningar på kort sikt. När det till exempel handlar om att satsa på en mer inkluderande tillväxt kan integrationen på arbetsmarknaden av mer lågutbildade arbetstagare minska den genomsnittliga produktiviteten på kort sikt. Detta ändrar dock inte den långsiktiga fördelen med integration på arbetsmarknaden som bidrar till ett mer balanserat och välmående samhälle på längre sikt. För att maximera samverkansfördelarna mellan de olika politiska målen krävs stora offentliga och privata investeringar, bl.a. inom utbildning, omskolning och innovation. </w:t>
      </w:r>
    </w:p>
    <w:p>
      <w:pPr>
        <w:jc w:val="both"/>
        <w:rPr>
          <w:rFonts w:ascii="Times New Roman" w:hAnsi="Times New Roman" w:cs="Times New Roman"/>
          <w:noProof/>
          <w:sz w:val="24"/>
          <w:szCs w:val="24"/>
        </w:rPr>
      </w:pPr>
    </w:p>
    <w:p>
      <w:pPr>
        <w:pStyle w:val="ListParagraph"/>
        <w:keepNext/>
        <w:numPr>
          <w:ilvl w:val="1"/>
          <w:numId w:val="2"/>
        </w:numPr>
        <w:spacing w:line="257" w:lineRule="auto"/>
        <w:ind w:left="1066" w:hanging="357"/>
        <w:jc w:val="both"/>
        <w:rPr>
          <w:rFonts w:ascii="Times New Roman" w:hAnsi="Times New Roman" w:cs="Times New Roman"/>
          <w:b/>
          <w:noProof/>
          <w:sz w:val="24"/>
          <w:szCs w:val="24"/>
        </w:rPr>
      </w:pPr>
      <w:r>
        <w:rPr>
          <w:rFonts w:ascii="Times New Roman" w:hAnsi="Times New Roman"/>
          <w:b/>
          <w:noProof/>
          <w:sz w:val="24"/>
          <w:szCs w:val="24"/>
        </w:rPr>
        <w:t>Miljömässig hållbarhet</w:t>
      </w:r>
    </w:p>
    <w:p>
      <w:pPr>
        <w:spacing w:after="120"/>
        <w:jc w:val="both"/>
        <w:rPr>
          <w:rFonts w:ascii="Times New Roman" w:hAnsi="Times New Roman" w:cs="Times New Roman"/>
          <w:b/>
          <w:noProof/>
          <w:sz w:val="24"/>
          <w:szCs w:val="24"/>
        </w:rPr>
      </w:pPr>
      <w:r>
        <w:rPr>
          <w:rFonts w:ascii="Times New Roman" w:hAnsi="Times New Roman"/>
          <w:b/>
          <w:noProof/>
          <w:sz w:val="24"/>
          <w:szCs w:val="24"/>
        </w:rPr>
        <w:t xml:space="preserve">Att ta itu med klimat- och miljöutmaningarna är denna generations viktigaste uppgift. </w:t>
      </w:r>
      <w:r>
        <w:rPr>
          <w:rFonts w:ascii="Times New Roman" w:hAnsi="Times New Roman"/>
          <w:noProof/>
          <w:sz w:val="24"/>
          <w:szCs w:val="24"/>
        </w:rPr>
        <w:t>De kommer att förbli det under de kommande åren.</w:t>
      </w:r>
      <w:r>
        <w:rPr>
          <w:rFonts w:ascii="Times New Roman" w:hAnsi="Times New Roman"/>
          <w:b/>
          <w:noProof/>
          <w:sz w:val="24"/>
          <w:szCs w:val="24"/>
        </w:rPr>
        <w:t xml:space="preserve"> </w:t>
      </w:r>
      <w:r>
        <w:rPr>
          <w:rFonts w:ascii="Times New Roman" w:hAnsi="Times New Roman"/>
          <w:noProof/>
          <w:sz w:val="24"/>
          <w:szCs w:val="24"/>
        </w:rPr>
        <w:t>Omställningen till ett klimatneutralt samhälle förutsätter en genomgripande omläggning av ekonomin inom en generation. Dessa förändringar rör inte bara energi-, byggnads- och transportsektorerna, utan även industrin, jordbruket och tjänstesektorn. Samtidigt uppstår ett unikt tillfälle att modernisera den åldrande kapitalstocken i EU:s ekonomi och ge konkurrenskraften en nystart på ett hållbart sätt där människorna står i centrum för omställningen.</w:t>
      </w:r>
    </w:p>
    <w:p>
      <w:pPr>
        <w:spacing w:after="120"/>
        <w:jc w:val="both"/>
        <w:rPr>
          <w:rFonts w:ascii="Times New Roman" w:hAnsi="Times New Roman" w:cs="Times New Roman"/>
          <w:b/>
          <w:noProof/>
          <w:sz w:val="24"/>
          <w:szCs w:val="24"/>
        </w:rPr>
      </w:pPr>
      <w:r>
        <w:rPr>
          <w:rFonts w:ascii="Times New Roman" w:hAnsi="Times New Roman"/>
          <w:b/>
          <w:noProof/>
          <w:sz w:val="24"/>
          <w:szCs w:val="24"/>
        </w:rPr>
        <w:t xml:space="preserve">Med mer fokus på klimat- och miljöpolitiken stärks den europeiska planeringsterminen som ett heltäckande verktyg för ekonomisk politik och sysselsättningspolitik. </w:t>
      </w:r>
      <w:r>
        <w:rPr>
          <w:rFonts w:ascii="Times New Roman" w:hAnsi="Times New Roman"/>
          <w:noProof/>
          <w:sz w:val="24"/>
          <w:szCs w:val="24"/>
        </w:rPr>
        <w:t>De tillväxtmöjligheter som följer av ett starkare fokus på miljömässig hållbarhet är centrala för EU:s ekonomiska agenda. Planeringsterminen kan ge medlemsstaterna skräddarsydd vägledning om var det är särskilt viktigt med strukturreformer och investeringar för en mer hållbar och konkurrenskraftig ekonomisk modell. Den kan också hjälpa medlemsstaterna att kartlägga och göra viktiga avvägningar, t.ex. i fråga om de sociala effekterna av stigande energipriser, genom en lämplig social- och finanspolitik. EU måste vidta kraftfulla åtgärder inom bl.a. cirkulär ekonomi, förnybar energi, energieffektiva byggnader och utsläppssnåla transporter. Industrin i EU är redan nu en av de mest energieffektiva i världen. EU måste dra nytta av detta och ge företag och investerare mer incitament för att medlemsstaterna ska kunna uppnå de ambitiösa klimatmålen. Stöd till de människor, branscher och regioner som påverkas mest av omställningen måste tas med i beräkningen. En ytterligare fördjupning av sammanhållningspolitikens inriktning på gröna och digitala investeringar bidrar till strategin</w:t>
      </w:r>
    </w:p>
    <w:p>
      <w:pPr>
        <w:spacing w:after="120"/>
        <w:jc w:val="both"/>
        <w:rPr>
          <w:rFonts w:ascii="Times New Roman" w:hAnsi="Times New Roman" w:cs="Times New Roman"/>
          <w:noProof/>
          <w:sz w:val="24"/>
          <w:szCs w:val="24"/>
        </w:rPr>
      </w:pPr>
      <w:r>
        <w:rPr>
          <w:rFonts w:ascii="Times New Roman" w:hAnsi="Times New Roman"/>
          <w:noProof/>
          <w:sz w:val="24"/>
          <w:szCs w:val="24"/>
        </w:rPr>
        <w:t xml:space="preserve">EU behöver investera rekordbelopp i spetsforskning och innovation, genom att använda den fulla flexibiliteten i nästa EU-budget, för att fokusera på de områden som har störst potential. Investeringarna bör styras till rena resurser som är mest produktiva för att mildra klimatförändringarnas konsekvenser och till disruptiv innovation på EU-nivå och nationell nivå. För att nå de nuvarande klimat- och energimålen för 2030 krävs det 260 miljarder euro i ytterligare investeringar i energisystemet varje år 2021–2030. Den största satsningen krävs för att förbättra energieffektiviteten i bostadsbeståndet och tjänstesektorn. Dessutom behövs betydande investeringar i energiproduktion och nätinfrastruktur. En snabb utbyggnad de närmaste två åren av infrastrukturen för alternativa bränslen blir avgörande för att fordonsindustrin ska kunna nå utsläppsmålen för nya bilar. </w:t>
      </w:r>
    </w:p>
    <w:p>
      <w:pPr>
        <w:spacing w:after="120"/>
        <w:jc w:val="both"/>
        <w:rPr>
          <w:rFonts w:ascii="Times New Roman" w:hAnsi="Times New Roman" w:cs="Times New Roman"/>
          <w:b/>
          <w:noProof/>
          <w:sz w:val="24"/>
          <w:szCs w:val="24"/>
        </w:rPr>
      </w:pPr>
      <w:r>
        <w:rPr>
          <w:rFonts w:ascii="Times New Roman" w:hAnsi="Times New Roman"/>
          <w:noProof/>
          <w:sz w:val="24"/>
          <w:szCs w:val="24"/>
        </w:rPr>
        <w:t xml:space="preserve">Därför behöver skatte- och subventionssystemen ändras så att incitamenten är klimat- och miljövänliga, och så att den finansiering som krävs för investeringarna kan uppbådas. Men enbart offentlig finansiering räcker inte. Vi måste utnyttja privata investeringar genom att sätta den gröna och hållbara finansieringen i centrum för EU:s investeringskedja och finansiella system. </w:t>
      </w:r>
    </w:p>
    <w:p>
      <w:pPr>
        <w:spacing w:after="120"/>
        <w:jc w:val="both"/>
        <w:rPr>
          <w:rFonts w:ascii="Times New Roman" w:hAnsi="Times New Roman" w:cs="Times New Roman"/>
          <w:noProof/>
          <w:sz w:val="24"/>
          <w:szCs w:val="24"/>
        </w:rPr>
      </w:pPr>
      <w:r>
        <w:rPr>
          <w:rFonts w:ascii="Times New Roman" w:hAnsi="Times New Roman"/>
          <w:b/>
          <w:noProof/>
          <w:sz w:val="24"/>
          <w:szCs w:val="24"/>
        </w:rPr>
        <w:t xml:space="preserve">Genom investeringsplanen för ett hållbart Europa kan EU fungera som katalysator för privata och offentliga gröna investeringar. </w:t>
      </w:r>
      <w:r>
        <w:rPr>
          <w:rFonts w:ascii="Times New Roman" w:hAnsi="Times New Roman"/>
          <w:noProof/>
          <w:sz w:val="24"/>
          <w:szCs w:val="24"/>
        </w:rPr>
        <w:t xml:space="preserve">Den här planen ska kombinera särskild finansiering till stöd för hållbara investeringar med förslag till ett förbättrat regelverk, så att hållbara investeringar kan mobiliseras överallt i EU. Detta är tänkt att uppnås genom att en större andel än någonsin av EU:s utgifter anslås till klimatet, genom att få in privat finansiering genom garantier, genom att skapa gynnsamma förutsättningar och genom att hjälpa projektansvariga att utforma lönsamma gröna projekt. InvestEU-programmet kommer att bidra väsentligt här. Dessutom ska EIB-gruppen bli EU:s klimatbank genom att fördubbla sitt klimatmål till 50 %. Enligt den nya mekanismen för en rättvis omställning ska kommissionen också samarbeta med EIB-gruppen för att mobilisera betydande investeringar för regioner som behöver särskilt stöd i samband med miljö- och klimatomställningen under nästa fleråriga budgetram. </w:t>
      </w:r>
    </w:p>
    <w:p>
      <w:pPr>
        <w:spacing w:after="120"/>
        <w:jc w:val="both"/>
        <w:rPr>
          <w:rFonts w:ascii="Times New Roman" w:hAnsi="Times New Roman" w:cs="Times New Roman"/>
          <w:noProof/>
          <w:sz w:val="24"/>
          <w:szCs w:val="24"/>
        </w:rPr>
      </w:pPr>
      <w:r>
        <w:rPr>
          <w:rFonts w:ascii="Times New Roman" w:hAnsi="Times New Roman"/>
          <w:b/>
          <w:noProof/>
          <w:sz w:val="24"/>
          <w:szCs w:val="24"/>
        </w:rPr>
        <w:t>Ökade inkomster från EU:s system för handel med utsläppsrätter är ytterligare en källa till finansiering av klimatåtgärder och modernisering av ekonomin.</w:t>
      </w:r>
      <w:r>
        <w:rPr>
          <w:rFonts w:ascii="Times New Roman" w:hAnsi="Times New Roman"/>
          <w:noProof/>
          <w:sz w:val="24"/>
          <w:szCs w:val="24"/>
        </w:rPr>
        <w:t xml:space="preserve"> Under 2018 uppgick inkomsterna från auktioner inom utsläppshandelssystemet till cirka 14 miljarder euro. Under 2019 tros inkomsterna från auktioner inom systemet bli ännu högre, och under de kommande åren torde de årliga inkomsterna förbli betydande. Dessa medel bör användas för att stödja uppnåendet av klimat- och energimålen 2030 och investera i omställningen till klimatneutralitet.</w:t>
      </w:r>
    </w:p>
    <w:p>
      <w:pPr>
        <w:spacing w:after="120"/>
        <w:jc w:val="both"/>
        <w:rPr>
          <w:rFonts w:ascii="Times New Roman" w:hAnsi="Times New Roman" w:cs="Times New Roman"/>
          <w:noProof/>
          <w:sz w:val="24"/>
          <w:szCs w:val="24"/>
        </w:rPr>
      </w:pPr>
    </w:p>
    <w:p>
      <w:pPr>
        <w:pStyle w:val="ListParagraph"/>
        <w:keepNext/>
        <w:numPr>
          <w:ilvl w:val="1"/>
          <w:numId w:val="2"/>
        </w:numPr>
        <w:spacing w:line="257" w:lineRule="auto"/>
        <w:ind w:left="1066" w:hanging="357"/>
        <w:jc w:val="both"/>
        <w:rPr>
          <w:rFonts w:ascii="Times New Roman" w:hAnsi="Times New Roman" w:cs="Times New Roman"/>
          <w:b/>
          <w:noProof/>
          <w:sz w:val="24"/>
          <w:szCs w:val="24"/>
        </w:rPr>
      </w:pPr>
      <w:r>
        <w:rPr>
          <w:rFonts w:ascii="Times New Roman" w:hAnsi="Times New Roman"/>
          <w:b/>
          <w:noProof/>
          <w:sz w:val="24"/>
          <w:szCs w:val="24"/>
        </w:rPr>
        <w:t xml:space="preserve">Produktivitetstillväxt </w:t>
      </w:r>
    </w:p>
    <w:p>
      <w:pPr>
        <w:spacing w:after="120"/>
        <w:jc w:val="both"/>
        <w:rPr>
          <w:rFonts w:ascii="Times New Roman" w:hAnsi="Times New Roman" w:cs="Times New Roman"/>
          <w:b/>
          <w:bCs/>
          <w:noProof/>
          <w:sz w:val="24"/>
          <w:szCs w:val="24"/>
        </w:rPr>
      </w:pPr>
      <w:r>
        <w:rPr>
          <w:rFonts w:ascii="Times New Roman" w:hAnsi="Times New Roman"/>
          <w:b/>
          <w:noProof/>
          <w:sz w:val="24"/>
          <w:szCs w:val="24"/>
        </w:rPr>
        <w:t xml:space="preserve">Mot bakgrund av en åldrande befolkning och de allt snävare resursbegränsningarna måste morgondagens inkomst- och sysselsättningsökningar i EU bygga på högre produktivitet och innovation. </w:t>
      </w:r>
      <w:r>
        <w:rPr>
          <w:rFonts w:ascii="Times New Roman" w:hAnsi="Times New Roman"/>
          <w:noProof/>
          <w:sz w:val="24"/>
          <w:szCs w:val="24"/>
        </w:rPr>
        <w:t>Produktivitetstillväxten i EU är fortfarande betydligt lägre än andra globala aktörers. Medlemsstaterna slutade att konvergera med USA på 1980-talet. Detta återspeglar också de europeiska företagens globala situation. Av de 100 största börsnoterade företagen är bara 23 europeiska. För tio år sedan var 40 av dem europeiska. Samtidigt har skillnaderna inom EU ökat: de 10 % av regionerna som ligger högst är över sex gånger mer produktiva än de lägsta 10 %. Att inrätta nationella produktivitetsnämnder kan gynna den nationella debatten om hur man kan öka produktiviteten genom att tillhandahålla högkvalitativa och oberoende analyser och stärka den nationella förankringen av strukturreformerna.</w:t>
      </w:r>
    </w:p>
    <w:p>
      <w:pPr>
        <w:spacing w:after="120"/>
        <w:jc w:val="both"/>
        <w:rPr>
          <w:rFonts w:ascii="Times New Roman" w:hAnsi="Times New Roman" w:cs="Times New Roman"/>
          <w:b/>
          <w:noProof/>
          <w:sz w:val="24"/>
          <w:szCs w:val="24"/>
        </w:rPr>
      </w:pPr>
      <w:r>
        <w:rPr>
          <w:rFonts w:ascii="Times New Roman" w:hAnsi="Times New Roman"/>
          <w:b/>
          <w:bCs/>
          <w:noProof/>
          <w:sz w:val="24"/>
          <w:szCs w:val="24"/>
        </w:rPr>
        <w:t>För att nå högre produktivitet krävs en systematisk och framåtblickande strategi för forskning och innovation.</w:t>
      </w:r>
      <w:r>
        <w:rPr>
          <w:rFonts w:ascii="Times New Roman" w:hAnsi="Times New Roman"/>
          <w:noProof/>
          <w:sz w:val="24"/>
          <w:szCs w:val="24"/>
        </w:rPr>
        <w:t xml:space="preserve"> Produktivitetsglappet mellan de bäst och sämst presterande företagen har ökat i de flesta medlemsstaterna. Strukturreformer som syftar till att främja innovationsspridning och förbättra tillgången till finansiering kan göra det möjligt för ett mycket bredare urval företag att dra nytta av innovationer och på så sätt öka produktivitetstillväxten. Offentliga och privata investeringar i innovativ teknik, bl.a. avancerad digital teknik, bör stödjas för att främja skapandet av nya varor, tjänster och affärsmodeller. Det behövs fler unga och snabbtänkta innovatörer med banbrytande teknik, som den här generationens teknikjättar var för bara tio år sedan.</w:t>
      </w:r>
    </w:p>
    <w:p>
      <w:pPr>
        <w:spacing w:after="120"/>
        <w:jc w:val="both"/>
        <w:rPr>
          <w:rFonts w:ascii="Times New Roman" w:hAnsi="Times New Roman" w:cs="Times New Roman"/>
          <w:b/>
          <w:noProof/>
          <w:sz w:val="24"/>
          <w:szCs w:val="24"/>
        </w:rPr>
      </w:pPr>
      <w:r>
        <w:rPr>
          <w:rFonts w:ascii="Times New Roman" w:hAnsi="Times New Roman"/>
          <w:b/>
          <w:noProof/>
          <w:sz w:val="24"/>
          <w:szCs w:val="24"/>
        </w:rPr>
        <w:t xml:space="preserve">Digital teknik, t.ex. artificiell intelligens och sakernas internet, och tillgång till data är avgörande för en mer produktiv och grön ekonomi. </w:t>
      </w:r>
      <w:r>
        <w:rPr>
          <w:rFonts w:ascii="Times New Roman" w:hAnsi="Times New Roman"/>
          <w:noProof/>
          <w:sz w:val="24"/>
          <w:szCs w:val="24"/>
        </w:rPr>
        <w:t>Detta håller på att förändra hur vi kommunicerar, lever och arbetar. Den nya dynamik som den digitala omställningen medför kräver en höjd ambitionsnivå i både EU och medlemsstaterna i form av ökade investeringar, innovationsfrämjande lagstiftning, effektiva reformer och en människocentrerad strategi som bygger på europeiska värden.</w:t>
      </w:r>
      <w:r>
        <w:rPr>
          <w:rFonts w:ascii="Times New Roman" w:hAnsi="Times New Roman"/>
          <w:i/>
          <w:iCs/>
          <w:noProof/>
          <w:sz w:val="24"/>
          <w:szCs w:val="24"/>
        </w:rPr>
        <w:t xml:space="preserve"> </w:t>
      </w:r>
      <w:r>
        <w:rPr>
          <w:rFonts w:ascii="Times New Roman" w:hAnsi="Times New Roman"/>
          <w:noProof/>
          <w:sz w:val="24"/>
          <w:szCs w:val="24"/>
        </w:rPr>
        <w:t xml:space="preserve">EU behöver en stark industribas som bygger på en gemensam strategi och samlade resurser i viktiga sektorer, för att industrin ska kunna ta fram den teknik som krävs för att hålla jämna steg med den globala konkurrensen. EU måste också bevara sitt teknikoberoende genom att investera i innovativ teknik som blockkedjor, högpresterande datorer, kvantdatorer, algoritmer och verktyg för datadelning och dataanvändning. Data och artificiell intelligens är de drivkrafter för innovation som kan hjälpa oss att hitta lösningar på samhällsproblem, allt från hälsa, jordbruk och livsmedelsproduktion till säkerhet och tillverkning. </w:t>
      </w:r>
    </w:p>
    <w:p>
      <w:pPr>
        <w:spacing w:after="120"/>
        <w:jc w:val="both"/>
        <w:rPr>
          <w:rFonts w:ascii="Times New Roman" w:hAnsi="Times New Roman" w:cs="Times New Roman"/>
          <w:b/>
          <w:bCs/>
          <w:noProof/>
          <w:sz w:val="24"/>
          <w:szCs w:val="24"/>
        </w:rPr>
      </w:pPr>
      <w:r>
        <w:rPr>
          <w:rFonts w:ascii="Times New Roman" w:hAnsi="Times New Roman"/>
          <w:b/>
          <w:noProof/>
          <w:sz w:val="24"/>
          <w:szCs w:val="24"/>
        </w:rPr>
        <w:t xml:space="preserve">I en tid av tilltagande globala spänningar ger EU:s inre marknad medlemsstaterna många möjligheter att öka handeln, skapa nya jobb och stärka tillväxten. </w:t>
      </w:r>
      <w:r>
        <w:rPr>
          <w:rFonts w:ascii="Times New Roman" w:hAnsi="Times New Roman"/>
          <w:noProof/>
          <w:sz w:val="24"/>
          <w:szCs w:val="24"/>
        </w:rPr>
        <w:t xml:space="preserve">Den inre marknaden är en viktig källa till motståndskraft för EU:s ekonomier. EU:s konkurrenter är kontinentstora ekonomier, så därför behöver EU en verklig kontinentstor inre marknad. Fördelarna är tydliga: tekniska framsteg sprids snabbare på en enad marknad. Välfungerande varu- och tjänstemarknader är en viktig drivkraft för produktivitetstillväxt, eftersom de möjliggör effektivare resursallokering. Marknadsintegrationen har dock utvecklats ojämnt, och vi behöver nya impulser inte minst för den digitala inre marknaden, de europeiska näten och kapitalmarknadsunionen. </w:t>
      </w:r>
    </w:p>
    <w:p>
      <w:pPr>
        <w:spacing w:after="120"/>
        <w:jc w:val="both"/>
        <w:rPr>
          <w:rFonts w:ascii="Times New Roman" w:hAnsi="Times New Roman" w:cs="Times New Roman"/>
          <w:noProof/>
          <w:sz w:val="24"/>
          <w:szCs w:val="24"/>
        </w:rPr>
      </w:pPr>
      <w:r>
        <w:rPr>
          <w:rFonts w:ascii="Times New Roman" w:hAnsi="Times New Roman"/>
          <w:b/>
          <w:bCs/>
          <w:noProof/>
          <w:sz w:val="24"/>
          <w:szCs w:val="24"/>
        </w:rPr>
        <w:t>På den inre marknaden har standardisering en nyckelroll för att främja EU:s agenda för hållbar utveckling.</w:t>
      </w:r>
      <w:r>
        <w:rPr>
          <w:rFonts w:ascii="Times New Roman" w:hAnsi="Times New Roman"/>
          <w:noProof/>
          <w:sz w:val="24"/>
          <w:szCs w:val="24"/>
        </w:rPr>
        <w:t xml:space="preserve"> Standarder är nödvändiga för att styra företagen i riktning mot målen för hållbar utveckling, eftersom de fungerar som en brygga mellan rättsliga bestämmelser och den jordnära tekniska praktiken. Standarder bidrar också till konkurrenskraften genom lägre produktionskostnader och ökad marknadsstorlek. Av dessa skäl kan standardisering leda till att innovativa produkter och produktionsprocesser som bygger på den senaste tekniken utvecklas på ett sätt som bidrar till energieffektivitet, ökad återvinning och hållbar produktion. De tydligaste exemplen på vilken roll standarder spelar för agendan för hållbar utveckling är Ekodesign och ramen för energimärkning</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Slutligen bidrar standarder också till rättvis global konkurrens.</w:t>
      </w:r>
    </w:p>
    <w:p>
      <w:pPr>
        <w:spacing w:after="0"/>
        <w:jc w:val="both"/>
        <w:rPr>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szCs w:val="24"/>
        </w:rPr>
        <w:t>Ruta 1: Den inre marknadens bidrag och rapport om den inre marknaden</w:t>
      </w:r>
      <w:r>
        <w:rPr>
          <w:rStyle w:val="FootnoteReference"/>
          <w:rFonts w:ascii="Times New Roman" w:hAnsi="Times New Roman" w:cs="Times New Roman"/>
          <w:noProof/>
          <w:sz w:val="24"/>
          <w:szCs w:val="24"/>
        </w:rPr>
        <w:footnoteReference w:id="5"/>
      </w:r>
    </w:p>
    <w:p>
      <w:pPr>
        <w:keepLines/>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b/>
          <w:noProof/>
          <w:sz w:val="24"/>
          <w:szCs w:val="24"/>
        </w:rPr>
        <w:t>Den inre marknaden är en av EU:s största tillgångar.</w:t>
      </w:r>
      <w:r>
        <w:rPr>
          <w:rFonts w:ascii="Times New Roman" w:hAnsi="Times New Roman"/>
          <w:noProof/>
          <w:sz w:val="24"/>
          <w:szCs w:val="24"/>
        </w:rPr>
        <w:t xml:space="preserve"> Den rekordstora integrationen under de senaste 25 åren har lett till närmare ekonomiska och sociala band mellan enskilda och företag i medlemsstaterna. Den inre marknaden har potential att skapa mer nytta för enskilda och företag. </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b/>
          <w:noProof/>
          <w:sz w:val="24"/>
          <w:szCs w:val="24"/>
        </w:rPr>
        <w:t>Den inre marknaden måste fullbordas och genomföras på de områden där resultaten av tidigare insatser fortfarande inte motsvarar förväntningarna</w:t>
      </w:r>
      <w:r>
        <w:rPr>
          <w:rFonts w:ascii="Times New Roman" w:hAnsi="Times New Roman"/>
          <w:noProof/>
          <w:sz w:val="24"/>
          <w:szCs w:val="24"/>
        </w:rPr>
        <w:t xml:space="preserve">, och behöver uppdateras kontinuerligt för att möta nya utmaningar. Detta gäller också nyligen antagna rättsakter som påverkar den </w:t>
      </w:r>
      <w:r>
        <w:rPr>
          <w:rFonts w:ascii="Times New Roman" w:hAnsi="Times New Roman"/>
          <w:b/>
          <w:noProof/>
          <w:sz w:val="24"/>
          <w:szCs w:val="24"/>
        </w:rPr>
        <w:t xml:space="preserve">digitala </w:t>
      </w:r>
      <w:r>
        <w:rPr>
          <w:rFonts w:ascii="Times New Roman" w:hAnsi="Times New Roman"/>
          <w:noProof/>
          <w:sz w:val="24"/>
          <w:szCs w:val="24"/>
        </w:rPr>
        <w:t xml:space="preserve">sidan av ekonomin. Finanskrisen har visar på betydelsen av stabilitet och integration på </w:t>
      </w:r>
      <w:r>
        <w:rPr>
          <w:rFonts w:ascii="Times New Roman" w:hAnsi="Times New Roman"/>
          <w:b/>
          <w:noProof/>
          <w:sz w:val="24"/>
          <w:szCs w:val="24"/>
        </w:rPr>
        <w:t>kapital- och finansmarknaderna</w:t>
      </w:r>
      <w:r>
        <w:rPr>
          <w:rFonts w:ascii="Times New Roman" w:hAnsi="Times New Roman"/>
          <w:noProof/>
          <w:sz w:val="24"/>
          <w:szCs w:val="24"/>
        </w:rPr>
        <w:t xml:space="preserve">, där fragmenteringen fortfarande är ett hinder för företagens tillväxt och investeringar. </w:t>
      </w:r>
      <w:r>
        <w:rPr>
          <w:rFonts w:ascii="Times New Roman" w:hAnsi="Times New Roman"/>
          <w:b/>
          <w:noProof/>
          <w:sz w:val="24"/>
          <w:szCs w:val="24"/>
        </w:rPr>
        <w:t>Energin</w:t>
      </w:r>
      <w:r>
        <w:rPr>
          <w:rFonts w:ascii="Times New Roman" w:hAnsi="Times New Roman"/>
          <w:noProof/>
          <w:sz w:val="24"/>
          <w:szCs w:val="24"/>
        </w:rPr>
        <w:t xml:space="preserve"> har blivit en viktig del av integrationen i EU, men energimarknaderna är fortfarande mestadels nationellt splittrade. Miljö-, klimat- och infrastrukturmål är också av avgörande betydelse för att den inre marknaden ska uppfylla samhällets förväntningar. Den inre marknaden håller på att förändras i grunden så att företag och enskilda i EU ska få ut så mycket som möjligt av de möjligheter som erbjuds av den nya tekniken, t.ex. digitalisering. </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b/>
          <w:noProof/>
          <w:sz w:val="24"/>
          <w:szCs w:val="24"/>
        </w:rPr>
        <w:t>Den inre marknaden är nyckeln till den europeiska planeringsterminen och omvänt.</w:t>
      </w:r>
      <w:r>
        <w:rPr>
          <w:rFonts w:ascii="Times New Roman" w:hAnsi="Times New Roman"/>
          <w:noProof/>
          <w:sz w:val="24"/>
          <w:szCs w:val="24"/>
        </w:rPr>
        <w:t xml:space="preserve"> Många av de strukturella hinder som hindrar att nyttan med den inre marknaden förverkligas fullt ut beror på lagstiftning eller förvaltningspraxis på nationell, regional eller lokal nivå, vilket försämrar företagsklimatet och avskräcker företag från gränsöverskridande verksamhet. Bristen på administrativ kapacitet eller professionellt kvalificerad personal tynger ned resultaten inom offentlig upphandling i vissa medlemsstater.</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xml:space="preserve">Dessa resultat återspeglas i </w:t>
      </w:r>
      <w:r>
        <w:rPr>
          <w:rFonts w:ascii="Times New Roman" w:hAnsi="Times New Roman"/>
          <w:b/>
          <w:noProof/>
          <w:sz w:val="24"/>
          <w:szCs w:val="24"/>
        </w:rPr>
        <w:t>rapporten om den inre marknaden</w:t>
      </w:r>
      <w:r>
        <w:rPr>
          <w:rFonts w:ascii="Times New Roman" w:hAnsi="Times New Roman"/>
          <w:noProof/>
          <w:sz w:val="24"/>
          <w:szCs w:val="24"/>
        </w:rPr>
        <w:t xml:space="preserve">, en nyhet i den europeiska planeringsterminen 2020, som läggs fram tillsammans med denna årliga strategi för hållbar tillväxt. </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xml:space="preserve">Syftet med rapporten är att </w:t>
      </w:r>
      <w:r>
        <w:rPr>
          <w:rFonts w:ascii="Times New Roman" w:hAnsi="Times New Roman"/>
          <w:b/>
          <w:noProof/>
          <w:sz w:val="24"/>
          <w:szCs w:val="24"/>
        </w:rPr>
        <w:t>bedöma den reala ekonomins resultat på den inre marknaden</w:t>
      </w:r>
      <w:r>
        <w:rPr>
          <w:rFonts w:ascii="Times New Roman" w:hAnsi="Times New Roman"/>
          <w:noProof/>
          <w:sz w:val="24"/>
          <w:szCs w:val="24"/>
        </w:rPr>
        <w:t xml:space="preserve">. Övervakningen var tidigare främst inriktad på den inre marknadens rättsregler och den korrekta tillämpningen av dem, men den här rapporten är i första hand inriktad </w:t>
      </w:r>
      <w:r>
        <w:rPr>
          <w:rFonts w:ascii="Times New Roman" w:hAnsi="Times New Roman"/>
          <w:b/>
          <w:noProof/>
          <w:sz w:val="24"/>
          <w:szCs w:val="24"/>
        </w:rPr>
        <w:t>på den inre marknadens resultat och landvinningar</w:t>
      </w:r>
      <w:r>
        <w:rPr>
          <w:rFonts w:ascii="Times New Roman" w:hAnsi="Times New Roman"/>
          <w:noProof/>
          <w:sz w:val="24"/>
          <w:szCs w:val="24"/>
        </w:rPr>
        <w:t xml:space="preserve">. </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noProof/>
          <w:sz w:val="24"/>
          <w:szCs w:val="24"/>
        </w:rPr>
        <w:t xml:space="preserve">I rapporten beaktas för det första </w:t>
      </w:r>
      <w:r>
        <w:rPr>
          <w:rFonts w:ascii="Times New Roman" w:hAnsi="Times New Roman"/>
          <w:b/>
          <w:noProof/>
          <w:sz w:val="24"/>
          <w:szCs w:val="24"/>
        </w:rPr>
        <w:t>hindren för förverkligandet av den inre marknadens nytta för enskilda och företag</w:t>
      </w:r>
      <w:r>
        <w:rPr>
          <w:rFonts w:ascii="Times New Roman" w:hAnsi="Times New Roman"/>
          <w:noProof/>
          <w:sz w:val="24"/>
          <w:szCs w:val="24"/>
        </w:rPr>
        <w:t xml:space="preserve">. För det andra bedöms </w:t>
      </w:r>
      <w:r>
        <w:rPr>
          <w:rFonts w:ascii="Times New Roman" w:hAnsi="Times New Roman"/>
          <w:b/>
          <w:noProof/>
          <w:sz w:val="24"/>
          <w:szCs w:val="24"/>
        </w:rPr>
        <w:t>den inre marknadens resultat</w:t>
      </w:r>
      <w:r>
        <w:rPr>
          <w:rFonts w:ascii="Times New Roman" w:hAnsi="Times New Roman"/>
          <w:noProof/>
          <w:sz w:val="24"/>
          <w:szCs w:val="24"/>
        </w:rPr>
        <w:t xml:space="preserve">: större utbud för konsumenter och företag, lägre priser och höga krav på konsumentskydd och miljöskydd. Slutligen granskas ett brett spektrum av verksamheter av relevans för den inre marknadens funktion, </w:t>
      </w:r>
      <w:r>
        <w:rPr>
          <w:rFonts w:ascii="Times New Roman" w:hAnsi="Times New Roman"/>
          <w:b/>
          <w:noProof/>
          <w:sz w:val="24"/>
          <w:szCs w:val="24"/>
        </w:rPr>
        <w:t>bl.a. miljö och digitalisering</w:t>
      </w:r>
      <w:r>
        <w:rPr>
          <w:rFonts w:ascii="Times New Roman" w:hAnsi="Times New Roman"/>
          <w:noProof/>
          <w:sz w:val="24"/>
          <w:szCs w:val="24"/>
        </w:rPr>
        <w:t xml:space="preserve">. Mot denna bakgrund är avsikten med rapporten om den inre marknaden att belysa vikten av strukturreformer i medlemsstaterna för att den inre marknaden ska fungera väl. </w:t>
      </w:r>
    </w:p>
    <w:p>
      <w:pPr>
        <w:keepLines/>
        <w:pBdr>
          <w:top w:val="single" w:sz="4" w:space="1" w:color="auto"/>
          <w:left w:val="single" w:sz="4" w:space="4" w:color="auto"/>
          <w:bottom w:val="single" w:sz="4" w:space="1" w:color="auto"/>
          <w:right w:val="single" w:sz="4" w:space="4" w:color="auto"/>
        </w:pBdr>
        <w:spacing w:after="120"/>
        <w:jc w:val="both"/>
        <w:rPr>
          <w:rFonts w:ascii="Times New Roman" w:hAnsi="Times New Roman"/>
          <w:noProof/>
          <w:sz w:val="24"/>
          <w:szCs w:val="24"/>
        </w:rPr>
      </w:pPr>
      <w:r>
        <w:rPr>
          <w:rFonts w:ascii="Times New Roman" w:hAnsi="Times New Roman"/>
          <w:b/>
          <w:noProof/>
          <w:sz w:val="24"/>
          <w:szCs w:val="24"/>
        </w:rPr>
        <w:t>Ökad uppmärksamhet på frågor som rör den inre marknaden stöder också integrationen.</w:t>
      </w:r>
      <w:r>
        <w:rPr>
          <w:rFonts w:ascii="Times New Roman" w:hAnsi="Times New Roman"/>
          <w:noProof/>
          <w:sz w:val="24"/>
          <w:szCs w:val="24"/>
        </w:rPr>
        <w:t xml:space="preserve"> Nyttan med strukturreformer på en tätt integrerad marknad kommer de inhemska konsumenterna till del i de länder där reformerna genomförs, men den sprider sig också till konsumenter i andra medlemsstater. </w:t>
      </w:r>
    </w:p>
    <w:p>
      <w:pPr>
        <w:spacing w:after="120"/>
        <w:jc w:val="both"/>
        <w:rPr>
          <w:rFonts w:ascii="Times New Roman" w:hAnsi="Times New Roman" w:cs="Times New Roman"/>
          <w:noProof/>
          <w:sz w:val="24"/>
          <w:szCs w:val="24"/>
        </w:rPr>
      </w:pPr>
    </w:p>
    <w:p>
      <w:pPr>
        <w:spacing w:after="120"/>
        <w:jc w:val="both"/>
        <w:rPr>
          <w:rFonts w:ascii="Times New Roman" w:hAnsi="Times New Roman" w:cs="Times New Roman"/>
          <w:noProof/>
          <w:sz w:val="24"/>
          <w:szCs w:val="24"/>
        </w:rPr>
      </w:pPr>
      <w:r>
        <w:rPr>
          <w:rFonts w:ascii="Times New Roman" w:hAnsi="Times New Roman"/>
          <w:b/>
          <w:noProof/>
          <w:sz w:val="24"/>
          <w:szCs w:val="24"/>
        </w:rPr>
        <w:t>Den europeiska finanssektorn måste bli bättre på att stödja innovation och investeringar i ekonomin.</w:t>
      </w:r>
      <w:r>
        <w:rPr>
          <w:rFonts w:ascii="Times New Roman" w:hAnsi="Times New Roman"/>
          <w:noProof/>
          <w:sz w:val="24"/>
          <w:szCs w:val="24"/>
        </w:rPr>
        <w:t xml:space="preserve"> EU måste fortsätta att utveckla sina finansmarknader så att alla lönsamma företag kan få finansiering för att investera i nya jobb och tillväxt, inklusive framtidens innovativa företag. Ytterligare åtgärder för att färdigställa kapitalmarknadsunionen säkerställer att företagen har tillgång till den finansiering som de behöver för att växa, vara innovativa och expandera. Företagen, särskilt de små och medelstora, måste dra full nytta av integrationen i gränsöverskridande värdekedjor och av den skarvfria samverkan mellan industri och tjänster som kännetecknar den digitala tidsåldern. EU-budgeten ska också bidra till detta genom att frigöra privata investeringar i dessa sektorer. </w:t>
      </w:r>
    </w:p>
    <w:p>
      <w:pPr>
        <w:spacing w:after="120"/>
        <w:jc w:val="both"/>
        <w:rPr>
          <w:rFonts w:ascii="Times New Roman" w:hAnsi="Times New Roman" w:cs="Times New Roman"/>
          <w:b/>
          <w:noProof/>
          <w:sz w:val="24"/>
          <w:szCs w:val="24"/>
        </w:rPr>
      </w:pPr>
      <w:r>
        <w:rPr>
          <w:rFonts w:ascii="Times New Roman" w:hAnsi="Times New Roman"/>
          <w:b/>
          <w:noProof/>
          <w:sz w:val="24"/>
          <w:szCs w:val="24"/>
        </w:rPr>
        <w:t xml:space="preserve">Högre produktivitet och mer innovation kan inte uppnås utan omfattande investeringar i utbildning och kompetensutveckling. </w:t>
      </w:r>
      <w:r>
        <w:rPr>
          <w:rFonts w:ascii="Times New Roman" w:hAnsi="Times New Roman"/>
          <w:noProof/>
          <w:sz w:val="24"/>
          <w:szCs w:val="24"/>
        </w:rPr>
        <w:t>Det är mycket viktigt att stödja vuxna arbetstagare, särskilt 60 miljoner vuxna som har låg utbildning, för att utveckla bredare kompetens på en högre nivå. På samma sätt krävs det reformer inom den grundläggande utbildningen för att vända tendensen mot en allt större andel lågpresterande elever – nu över 20 % i läsförståelse, matematik och naturvetenskap. Bristen på digital kompetens måste åtgärdas. Heltäckande kompetensstrategier bör inriktas på de individuella behoven av kompetenshöjning och omskolning, ett gemensamt ansvar för enskilda, företag och offentlig sektor, där de mest utsatta personernas behov beaktas</w:t>
      </w:r>
      <w:r>
        <w:rPr>
          <w:noProof/>
          <w:color w:val="1F497D"/>
          <w:sz w:val="24"/>
          <w:szCs w:val="24"/>
        </w:rPr>
        <w:t>.</w:t>
      </w:r>
    </w:p>
    <w:p>
      <w:pPr>
        <w:spacing w:after="120"/>
        <w:jc w:val="both"/>
        <w:rPr>
          <w:rFonts w:ascii="Times New Roman" w:hAnsi="Times New Roman"/>
          <w:noProof/>
          <w:sz w:val="24"/>
          <w:szCs w:val="24"/>
        </w:rPr>
      </w:pPr>
      <w:r>
        <w:rPr>
          <w:rFonts w:ascii="Times New Roman" w:hAnsi="Times New Roman"/>
          <w:b/>
          <w:noProof/>
          <w:sz w:val="24"/>
          <w:szCs w:val="24"/>
        </w:rPr>
        <w:t xml:space="preserve">Tillväxt och produktivitet behöver få stöd av konkurrenskraftiga och effektiva marknader och strukturreformer som avlägsnar hinder för företagande. </w:t>
      </w:r>
      <w:r>
        <w:rPr>
          <w:rFonts w:ascii="Times New Roman" w:hAnsi="Times New Roman"/>
          <w:noProof/>
          <w:sz w:val="24"/>
          <w:szCs w:val="24"/>
        </w:rPr>
        <w:t>God samhällsstyrning, effektiva institutioner, oberoende och effektiva rättssystem, offentliga förvaltningar av god kvalitet, robusta ramar för korruptionsbekämpning, effektiv offentlig upphandling, väl fungerande insolvensrätt och effektiva skattesystem är viktiga avgörande faktorer för en medlemsstats företagsklimat. Alla dessa aspekter, även de som rör rättsstatsprincipen, kan påverka investeringsbesluten och är därför viktiga för att öka produktiviteten och konkurrenskraften.</w:t>
      </w:r>
      <w:r>
        <w:rPr>
          <w:rFonts w:ascii="Times New Roman" w:hAnsi="Times New Roman"/>
          <w:b/>
          <w:noProof/>
          <w:sz w:val="24"/>
          <w:szCs w:val="24"/>
        </w:rPr>
        <w:t xml:space="preserve"> </w:t>
      </w:r>
      <w:r>
        <w:rPr>
          <w:rFonts w:ascii="Times New Roman" w:hAnsi="Times New Roman"/>
          <w:noProof/>
          <w:sz w:val="24"/>
          <w:szCs w:val="24"/>
        </w:rPr>
        <w:t xml:space="preserve">Detta gäller i ännu högre grad i en globaliserad och digitaliserad miljö där kapitalet är mycket lättrörligt. Insikter om medlemsstaternas institutionella och administrativa resultat, som samlats in genom andra befintliga styrprocesser, fungerar som underlag för den europeiska planeringsterminen och den makroekonomiska bedömningen. </w:t>
      </w:r>
    </w:p>
    <w:p>
      <w:pPr>
        <w:spacing w:after="120"/>
        <w:jc w:val="both"/>
        <w:rPr>
          <w:rFonts w:ascii="Times New Roman" w:hAnsi="Times New Roman" w:cs="Times New Roman"/>
          <w:b/>
          <w:noProof/>
          <w:sz w:val="24"/>
          <w:szCs w:val="24"/>
        </w:rPr>
      </w:pPr>
    </w:p>
    <w:p>
      <w:pPr>
        <w:pStyle w:val="ListParagraph"/>
        <w:keepNext/>
        <w:numPr>
          <w:ilvl w:val="1"/>
          <w:numId w:val="2"/>
        </w:numPr>
        <w:spacing w:line="257" w:lineRule="auto"/>
        <w:ind w:left="1066" w:hanging="357"/>
        <w:jc w:val="both"/>
        <w:rPr>
          <w:rFonts w:ascii="Times New Roman" w:hAnsi="Times New Roman" w:cs="Times New Roman"/>
          <w:b/>
          <w:bCs/>
          <w:noProof/>
          <w:sz w:val="24"/>
          <w:szCs w:val="24"/>
        </w:rPr>
      </w:pPr>
      <w:r>
        <w:rPr>
          <w:rFonts w:ascii="Times New Roman" w:hAnsi="Times New Roman"/>
          <w:b/>
          <w:noProof/>
          <w:sz w:val="24"/>
          <w:szCs w:val="24"/>
        </w:rPr>
        <w:t>Rättvisa</w:t>
      </w:r>
    </w:p>
    <w:p>
      <w:pPr>
        <w:spacing w:after="120"/>
        <w:jc w:val="both"/>
        <w:rPr>
          <w:rFonts w:ascii="Times New Roman" w:hAnsi="Times New Roman" w:cs="Times New Roman"/>
          <w:b/>
          <w:bCs/>
          <w:noProof/>
          <w:sz w:val="24"/>
          <w:szCs w:val="24"/>
        </w:rPr>
      </w:pPr>
      <w:r>
        <w:rPr>
          <w:rFonts w:ascii="Times New Roman" w:hAnsi="Times New Roman"/>
          <w:b/>
          <w:noProof/>
          <w:sz w:val="24"/>
          <w:szCs w:val="24"/>
        </w:rPr>
        <w:t xml:space="preserve">För att EU ska kunna stärka sina ekonomiska och sociala resultat måste principerna i den europeiska pelaren för sociala rättigheter iakttas fullständigt. </w:t>
      </w:r>
      <w:r>
        <w:rPr>
          <w:rFonts w:ascii="Times New Roman" w:hAnsi="Times New Roman"/>
          <w:noProof/>
          <w:sz w:val="24"/>
          <w:szCs w:val="24"/>
        </w:rPr>
        <w:t>Den ekonomiska återhämtningen har visserligen bidragit högre sysselsättningen och bättre sociala utfall i hela EU, men det krävs åtgärder för att trygga de sociala rättigheterna och motverka riskerna med växande sociala klyftor.</w:t>
      </w:r>
    </w:p>
    <w:p>
      <w:pPr>
        <w:spacing w:after="120"/>
        <w:jc w:val="both"/>
        <w:rPr>
          <w:rFonts w:ascii="Times New Roman" w:hAnsi="Times New Roman" w:cs="Times New Roman"/>
          <w:b/>
          <w:bCs/>
          <w:noProof/>
          <w:sz w:val="24"/>
          <w:szCs w:val="24"/>
        </w:rPr>
      </w:pPr>
      <w:r>
        <w:rPr>
          <w:rFonts w:ascii="Times New Roman" w:hAnsi="Times New Roman"/>
          <w:b/>
          <w:bCs/>
          <w:noProof/>
          <w:sz w:val="24"/>
          <w:szCs w:val="24"/>
        </w:rPr>
        <w:t xml:space="preserve">Varje arbetstagare i EU förtjänar rättvisa arbetsvillkor. </w:t>
      </w:r>
      <w:r>
        <w:rPr>
          <w:rFonts w:ascii="Times New Roman" w:hAnsi="Times New Roman"/>
          <w:bCs/>
          <w:noProof/>
          <w:sz w:val="24"/>
          <w:szCs w:val="24"/>
        </w:rPr>
        <w:t xml:space="preserve">Fattigdomen bland förvärvsarbetande ligger fortfarande över de nivåer som rådde före krisen i de flesta EU-länder, och nästan en arbetstagare av tio i EU riskerar att drabbas av fattigdom. Ofrivilligt deltidsarbete är fortfarande vanligt i flera medlemsstater, även om det är på väg ned, och utbredningen av atypiska anställningsformer bidrar till segmenteringen på arbetsmarknaden. Mot den bakgrunden är det viktiga politiska mål att se till att varje arbetstagare har en skälig lön, att främja övergångar till tillsvidareanställning på heltid samt att investera i människor och deras kompetens. Att arbetsmarknadens parter görs mer delaktiga och får mer stöd för att bygga upp sin kapacitet bör främjas i länder där dialogen mellan arbetsmarknadens parter är svag. </w:t>
      </w:r>
      <w:r>
        <w:rPr>
          <w:rFonts w:ascii="Times New Roman" w:hAnsi="Times New Roman"/>
          <w:noProof/>
          <w:sz w:val="24"/>
          <w:szCs w:val="24"/>
        </w:rPr>
        <w:t>För att garantera att arbetstagarna fortsätter att få stöd även i händelse av en stark ekonomisk chock kan ett europeiskt system för arbetslöshetsåterförsäkring komplettera de nationella åtgärderna. Dessutom bör EU intensifiera insatserna mot alla slags irreguljära anställningsformer som bidrar till social dumpning och exploatering av arbetstagare.</w:t>
      </w:r>
    </w:p>
    <w:p>
      <w:pPr>
        <w:spacing w:after="120"/>
        <w:jc w:val="both"/>
        <w:rPr>
          <w:rFonts w:ascii="Times New Roman" w:hAnsi="Times New Roman" w:cs="Times New Roman"/>
          <w:b/>
          <w:noProof/>
          <w:sz w:val="24"/>
          <w:szCs w:val="24"/>
        </w:rPr>
      </w:pPr>
      <w:r>
        <w:rPr>
          <w:rFonts w:ascii="Times New Roman" w:hAnsi="Times New Roman"/>
          <w:b/>
          <w:bCs/>
          <w:noProof/>
          <w:sz w:val="24"/>
          <w:szCs w:val="24"/>
        </w:rPr>
        <w:t>Kvinnor är fortfarande missgynnade på arbetsmarknaden.</w:t>
      </w:r>
      <w:r>
        <w:rPr>
          <w:rFonts w:ascii="Times New Roman" w:hAnsi="Times New Roman"/>
          <w:bCs/>
          <w:noProof/>
          <w:sz w:val="24"/>
          <w:szCs w:val="24"/>
        </w:rPr>
        <w:t xml:space="preserve"> Trots att kvinnor i allmänhet har bättre utbildningsresultat har skillnaden i sysselsättningsgrad och lön i stort sett legat stabil under de senaste åren. Att minska denna klyfta skulle få positiva följder för ekonomin och samhället. En effektiv politik för balans mellan arbete och privatliv, tillgång till högkvalitativ barnomsorg och åtgärder mot skatte- och bidragsfällor är avgörande för att öka kvinnors sysselsättning och bidra till att bekämpa barnfattigdom.</w:t>
      </w:r>
    </w:p>
    <w:p>
      <w:pPr>
        <w:spacing w:after="120"/>
        <w:jc w:val="both"/>
        <w:rPr>
          <w:rFonts w:ascii="Times New Roman" w:hAnsi="Times New Roman" w:cs="Times New Roman"/>
          <w:noProof/>
          <w:sz w:val="24"/>
          <w:szCs w:val="24"/>
        </w:rPr>
      </w:pPr>
      <w:r>
        <w:rPr>
          <w:rFonts w:ascii="Times New Roman" w:hAnsi="Times New Roman"/>
          <w:b/>
          <w:noProof/>
          <w:sz w:val="24"/>
          <w:szCs w:val="24"/>
        </w:rPr>
        <w:t xml:space="preserve">För att främja rättvisa krävs investeringar i kompetens, lämpliga och hållbara sociala skyddssystem och bekämpning av utestängning. </w:t>
      </w:r>
      <w:r>
        <w:rPr>
          <w:rFonts w:ascii="Times New Roman" w:hAnsi="Times New Roman"/>
          <w:noProof/>
          <w:sz w:val="24"/>
          <w:szCs w:val="24"/>
        </w:rPr>
        <w:t xml:space="preserve">Att göra utbildningssystemen bättre och mer inkluderande är avgörande för att alla människor ska kunna vara med i morgondagens samhälle. Andelen elever med högst grundskoleutbildning bör minskas, medan yrkesutbildningens kvalitet och attraktionskraft bör öka. Ändå är investeringarna i kompetens långt ifrån tillräckliga. De sociala trygghetssystemen måste anpassas för att skydda alla som behöver det, oavsett deras anställningsstatus. EU måste också mer effektivt ta itu med den ojämlikhet som drabbar grupper som riskerar utestängning, däribland personer med funktionsnedsättning, romer och migranter, så att de fullt ut kan ta vara på sin potential att bidra till ekonomin, systemen för social trygghet och samhället. Den åldrande befolkningen gör investeringar i hälso- och sjukvård och långvarig vård och omsorg allt viktigare, samtidigt som man måste se till att det sociala trygghetssystemet är hållbart så att rättvisan mellan generationerna säkerställs. </w:t>
      </w:r>
    </w:p>
    <w:p>
      <w:pPr>
        <w:spacing w:after="120"/>
        <w:jc w:val="both"/>
        <w:rPr>
          <w:rFonts w:ascii="Times New Roman" w:hAnsi="Times New Roman" w:cs="Times New Roman"/>
          <w:noProof/>
          <w:sz w:val="24"/>
          <w:szCs w:val="24"/>
        </w:rPr>
      </w:pPr>
      <w:r>
        <w:rPr>
          <w:rFonts w:ascii="Times New Roman" w:hAnsi="Times New Roman"/>
          <w:b/>
          <w:noProof/>
          <w:sz w:val="24"/>
          <w:szCs w:val="24"/>
        </w:rPr>
        <w:t>Svårigheterna med sammanhållningen mellan och inom medlemsstaterna har ökat.</w:t>
      </w:r>
      <w:r>
        <w:rPr>
          <w:rFonts w:ascii="Times New Roman" w:hAnsi="Times New Roman"/>
          <w:bCs/>
          <w:noProof/>
          <w:sz w:val="24"/>
          <w:szCs w:val="24"/>
        </w:rPr>
        <w:t xml:space="preserve"> </w:t>
      </w:r>
      <w:r>
        <w:rPr>
          <w:rFonts w:ascii="Times New Roman" w:hAnsi="Times New Roman"/>
          <w:noProof/>
          <w:sz w:val="24"/>
          <w:szCs w:val="24"/>
        </w:rPr>
        <w:t xml:space="preserve">Efter den ekonomiska och finansiella krisen har ojämlikheten i fråga om inkomst och tillgång till grundläggande tjänster ökat inom medlemsstaterna. De regionala skillnaderna i EU fortsätter att utgöra en utmaning, eftersom de hämmar tillväxten. Även om de fattigaste regionerna har fått det bättre sedan 2010, har det ekonomiska avståndet till de rikare regionerna ökat, bl.a. till följd av minskade investeringar. I några fall kan teknikens utveckling och energiomställningen vidga denna klyfta ytterligare, om inte lämpliga åtgärder vidtas för att stärka den regionala konkurrenskraften. </w:t>
      </w:r>
    </w:p>
    <w:p>
      <w:pPr>
        <w:spacing w:after="120"/>
        <w:jc w:val="both"/>
        <w:rPr>
          <w:rFonts w:ascii="Times New Roman" w:hAnsi="Times New Roman" w:cs="Times New Roman"/>
          <w:b/>
          <w:noProof/>
          <w:sz w:val="24"/>
          <w:szCs w:val="24"/>
        </w:rPr>
      </w:pPr>
      <w:r>
        <w:rPr>
          <w:rFonts w:ascii="Times New Roman" w:hAnsi="Times New Roman"/>
          <w:b/>
          <w:noProof/>
          <w:sz w:val="24"/>
          <w:szCs w:val="24"/>
        </w:rPr>
        <w:t>EU måste förbli en drivkraft för sammanhållning.</w:t>
      </w:r>
      <w:r>
        <w:rPr>
          <w:rFonts w:ascii="Times New Roman" w:hAnsi="Times New Roman"/>
          <w:noProof/>
          <w:sz w:val="24"/>
          <w:szCs w:val="24"/>
        </w:rPr>
        <w:t xml:space="preserve"> </w:t>
      </w:r>
      <w:r>
        <w:rPr>
          <w:rFonts w:ascii="Times New Roman" w:hAnsi="Times New Roman"/>
          <w:bCs/>
          <w:noProof/>
          <w:sz w:val="24"/>
          <w:szCs w:val="24"/>
        </w:rPr>
        <w:t>För att åtgärda regionala och sociala skillnader måste möjligheter skapas för dem som inte direkt gynnas av nya marknader och tekniska förändringar.</w:t>
      </w:r>
      <w:r>
        <w:rPr>
          <w:rFonts w:ascii="Times New Roman" w:hAnsi="Times New Roman"/>
          <w:noProof/>
          <w:sz w:val="24"/>
          <w:szCs w:val="24"/>
        </w:rPr>
        <w:t xml:space="preserve"> Det är bl.a. fråga om kompetenslyft genom bättre utbildning och lämplig regional konvergens på områden som tillgång till hälso- och sjukvård och utbildning av god kvalitet. Medlemsstaterna behöver fortsätta sina reformer i detta syfte med stöd av alla verktyg i EU:s budget. Regionernas anslutningar och tillgång till rörlighet är avgörande för både sammanhållning och produktivitet och behöver stödjas genom lämpliga investeringar. </w:t>
      </w:r>
    </w:p>
    <w:p>
      <w:pPr>
        <w:jc w:val="both"/>
        <w:rPr>
          <w:rFonts w:ascii="Times New Roman" w:hAnsi="Times New Roman" w:cs="Times New Roman"/>
          <w:noProof/>
          <w:sz w:val="24"/>
          <w:szCs w:val="24"/>
        </w:rPr>
      </w:pPr>
      <w:r>
        <w:rPr>
          <w:rFonts w:ascii="Times New Roman" w:hAnsi="Times New Roman"/>
          <w:b/>
          <w:noProof/>
          <w:sz w:val="24"/>
          <w:szCs w:val="24"/>
        </w:rPr>
        <w:t>När klimat- och miljöpolitiken utformas och genomförs har inte alla medlemsstater, regioner och städer samma utgångsläge</w:t>
      </w:r>
      <w:r>
        <w:rPr>
          <w:rFonts w:ascii="Times New Roman" w:hAnsi="Times New Roman"/>
          <w:noProof/>
          <w:sz w:val="24"/>
          <w:szCs w:val="24"/>
        </w:rPr>
        <w:t>.</w:t>
      </w:r>
      <w:r>
        <w:rPr>
          <w:rFonts w:ascii="Times New Roman" w:hAnsi="Times New Roman"/>
          <w:bCs/>
          <w:noProof/>
          <w:sz w:val="24"/>
          <w:szCs w:val="24"/>
        </w:rPr>
        <w:t xml:space="preserve"> Därför måste klimatpolitiken föras inom en helhetsstrategi så att inte konvergensen motverkas</w:t>
      </w:r>
      <w:r>
        <w:rPr>
          <w:rFonts w:ascii="Times New Roman" w:hAnsi="Times New Roman"/>
          <w:noProof/>
          <w:sz w:val="24"/>
          <w:szCs w:val="24"/>
        </w:rPr>
        <w:t>. Omställningen till en hållbar ekonomisk modell kan visserligen främja tillväxt och sysselsättning i hela EU på medellång sikt, men politiska åtgärder krävs för att mildra de negativa konsekvenserna för vissa sektorer och regioner på kort sikt.</w:t>
      </w:r>
      <w:r>
        <w:rPr>
          <w:rFonts w:ascii="Times New Roman" w:hAnsi="Times New Roman"/>
          <w:b/>
          <w:noProof/>
          <w:sz w:val="24"/>
          <w:szCs w:val="24"/>
        </w:rPr>
        <w:t xml:space="preserve"> </w:t>
      </w:r>
      <w:r>
        <w:rPr>
          <w:rFonts w:ascii="Times New Roman" w:hAnsi="Times New Roman"/>
          <w:noProof/>
          <w:sz w:val="24"/>
          <w:szCs w:val="24"/>
        </w:rPr>
        <w:t>Några sektorer kommer att behöva ställas om helt, medan många andra sektorer måste se till att bevara sin konkurrenskraft. Effekterna av dessa förändringar kommer sannolikt att bli ojämnt fördelade i EU. En ny mekanism för en rättvis omställning ska ge skräddarsytt stöd till de människor och regioner som påverkas mest, så att ingen hamnar på efterkälken. Särskild vikt kommer att läggas vid omställningen i de regioner som påverkas mest av övergången bort från fossila bränslen.</w:t>
      </w:r>
    </w:p>
    <w:p>
      <w:pPr>
        <w:spacing w:after="120"/>
        <w:jc w:val="both"/>
        <w:rPr>
          <w:rFonts w:ascii="Times New Roman" w:hAnsi="Times New Roman" w:cs="Times New Roman"/>
          <w:noProof/>
          <w:sz w:val="24"/>
          <w:szCs w:val="24"/>
        </w:rPr>
      </w:pPr>
      <w:r>
        <w:rPr>
          <w:rFonts w:ascii="Times New Roman" w:hAnsi="Times New Roman"/>
          <w:b/>
          <w:bCs/>
          <w:noProof/>
          <w:sz w:val="24"/>
          <w:szCs w:val="24"/>
        </w:rPr>
        <w:t xml:space="preserve">Skatteundandragande, skatteflykt och negativ skattekonkurrens undergräver ländernas förmåga att utforma en skattepolitik som tillgodoser deras ekonomiers och människors behov. </w:t>
      </w:r>
      <w:r>
        <w:rPr>
          <w:rFonts w:ascii="Times New Roman" w:hAnsi="Times New Roman"/>
          <w:noProof/>
          <w:sz w:val="24"/>
          <w:szCs w:val="24"/>
        </w:rPr>
        <w:t xml:space="preserve">De nationella skatte- och bidragssystemen bör optimeras för att stärka incitamenten för deltagande på arbetsmarknaden, öka rättvisan och öppenheten och säkerställa välfärdssystemens ekonomiska hållbarhet och tillräcklighet på en föränderlig arbetsmarknad. Skattesystemen bör också säkerställa tillräckliga inkomster för offentliga investeringar, utbildning, hälso- och sjukvård och välfärd, garantera en rättvis fördelning av bördan och undvika snedvridning av konkurrensen mellan företag. Rättvis beskattning av globaliserade företag och bekämpning av aggressiv skatteplanering är avgörande i detta avseende. EU:s system för bolagsskatt är i akut behov av reform. Det är inte lämpat för dagens globala ekonomi och tar inte hänsyn till de nya affärsmodellerna i den digitala världen. När vinst uppkommer måste skatter och avgifter också bidra till våra socialförsäkringssystem, våra utbildningssystem, vår hälso- och sjukvård och vår infrastruktur. </w:t>
      </w:r>
    </w:p>
    <w:p>
      <w:pPr>
        <w:spacing w:after="120"/>
        <w:jc w:val="both"/>
        <w:rPr>
          <w:rFonts w:ascii="Times New Roman" w:hAnsi="Times New Roman" w:cs="Times New Roman"/>
          <w:noProof/>
          <w:sz w:val="24"/>
          <w:szCs w:val="24"/>
        </w:rPr>
      </w:pPr>
    </w:p>
    <w:p>
      <w:pPr>
        <w:pStyle w:val="ListParagraph"/>
        <w:keepNext/>
        <w:numPr>
          <w:ilvl w:val="1"/>
          <w:numId w:val="2"/>
        </w:numPr>
        <w:spacing w:line="257" w:lineRule="auto"/>
        <w:ind w:left="1066" w:hanging="357"/>
        <w:jc w:val="both"/>
        <w:rPr>
          <w:rFonts w:ascii="Times New Roman" w:hAnsi="Times New Roman" w:cs="Times New Roman"/>
          <w:b/>
          <w:bCs/>
          <w:noProof/>
          <w:sz w:val="24"/>
          <w:szCs w:val="24"/>
        </w:rPr>
      </w:pPr>
      <w:r>
        <w:rPr>
          <w:rFonts w:ascii="Times New Roman" w:hAnsi="Times New Roman"/>
          <w:b/>
          <w:noProof/>
          <w:sz w:val="24"/>
          <w:szCs w:val="24"/>
        </w:rPr>
        <w:t>Makroekonomisk stabilitet</w:t>
      </w:r>
    </w:p>
    <w:p>
      <w:pPr>
        <w:spacing w:after="120"/>
        <w:jc w:val="both"/>
        <w:rPr>
          <w:rFonts w:ascii="Times New Roman" w:hAnsi="Times New Roman"/>
          <w:noProof/>
          <w:sz w:val="24"/>
          <w:szCs w:val="24"/>
        </w:rPr>
      </w:pPr>
      <w:r>
        <w:rPr>
          <w:rFonts w:ascii="Times New Roman" w:hAnsi="Times New Roman"/>
          <w:b/>
          <w:bCs/>
          <w:noProof/>
          <w:sz w:val="24"/>
          <w:szCs w:val="24"/>
        </w:rPr>
        <w:t xml:space="preserve">EU måste göra ekonomin stabilare genom att ta itu med de kvarstående svagheterna på nationell nivå och EU-nivå. </w:t>
      </w:r>
      <w:r>
        <w:rPr>
          <w:rFonts w:ascii="Times New Roman" w:hAnsi="Times New Roman"/>
          <w:bCs/>
          <w:noProof/>
          <w:sz w:val="24"/>
          <w:szCs w:val="24"/>
        </w:rPr>
        <w:t xml:space="preserve">Detta är en förutsättning för motståndskraft mot framtida chocker och behövs också för att underlätta omställningen. Detta innebär en ansvarsfull ekonomisk politik, budgetpolitik och finanspolitik på nationell nivå på kort sikt och tillräcklig politisk planering på längre sikt. </w:t>
      </w:r>
      <w:r>
        <w:rPr>
          <w:rFonts w:ascii="Times New Roman" w:hAnsi="Times New Roman"/>
          <w:noProof/>
          <w:sz w:val="24"/>
          <w:szCs w:val="24"/>
        </w:rPr>
        <w:t xml:space="preserve">Detta innebär också att åtgärder måste vidtas på EU-nivå för att slutföra de centrala reformerna för stärkning av euroområdet. </w:t>
      </w:r>
    </w:p>
    <w:p>
      <w:pPr>
        <w:jc w:val="both"/>
        <w:rPr>
          <w:rFonts w:ascii="Times New Roman" w:hAnsi="Times New Roman" w:cs="Times New Roman"/>
          <w:noProof/>
          <w:sz w:val="24"/>
          <w:szCs w:val="24"/>
        </w:rPr>
      </w:pPr>
      <w:r>
        <w:rPr>
          <w:rFonts w:ascii="Times New Roman" w:hAnsi="Times New Roman"/>
          <w:b/>
          <w:noProof/>
          <w:sz w:val="24"/>
          <w:szCs w:val="24"/>
        </w:rPr>
        <w:t>För att den ekonomiska och monetära unionen ska fungera väl krävs samordning av den nationella finanspolitiken, med full respekt för stabilitets- och tillväxtpakten.</w:t>
      </w:r>
      <w:r>
        <w:rPr>
          <w:rFonts w:ascii="Times New Roman" w:hAnsi="Times New Roman"/>
          <w:noProof/>
          <w:sz w:val="24"/>
          <w:szCs w:val="24"/>
        </w:rPr>
        <w:t xml:space="preserve"> En ansvarsfull och lyhörd finanspolitik som leder till sunda och hållbara offentliga finanser behövs för att finanspolitiken ska kunna fullgöra alla sina uppgifter. Euroområdets finanspolitiska inriktning spås i stort sett vara neutral eller något expansiv 2020 och 2021. Samtidigt är den nationella finanspolitiken fortfarande inte tillräckligt differentierad med tanke på det tillgängliga finanspolitiska utrymmet i medlemsstaterna. En försiktig finanspolitik i medlemsstater med hög offentlig skuldsättning skulle minska den offentliga skuldsättningen, minska sårbarheten för chocker och göra det möjligt för de automatiska stabilisatorerna att fungera med full kraft vid en konjunkturnedgång. Å andra sidan skulle ytterligare investeringar och andra produktiva utgifter i medlemsstater med en gynnsam budgetsituation stödja tillväxten på kort och medellång sikt, och samtidigt bidra till att återställa balansen i euroområdets ekonomi. I händelse av försämrade utsikter skulle ett effektivt svar förutsätta en stödjande finanspolitisk inriktning på aggregerad nivå, i kombination med full respekt för stabilitets- och tillväxtpakten och med beaktande av landsspecifika omständigheter, där man i möjligaste mån undviker att förstärka konjunkturen.</w:t>
      </w:r>
    </w:p>
    <w:p>
      <w:pPr>
        <w:jc w:val="both"/>
        <w:rPr>
          <w:rFonts w:ascii="Times New Roman" w:hAnsi="Times New Roman" w:cs="Times New Roman"/>
          <w:noProof/>
          <w:sz w:val="24"/>
          <w:szCs w:val="24"/>
        </w:rPr>
      </w:pPr>
      <w:r>
        <w:rPr>
          <w:rFonts w:ascii="Times New Roman" w:hAnsi="Times New Roman"/>
          <w:b/>
          <w:noProof/>
          <w:sz w:val="24"/>
          <w:szCs w:val="24"/>
        </w:rPr>
        <w:t xml:space="preserve">För stabilitetens skull måste potentiella källor till inhemska och externa obalanser åtgärdas, samtidigt som man skyddar investeringarna i framtidens hållbarhet och produktivitet. </w:t>
      </w:r>
      <w:r>
        <w:rPr>
          <w:rFonts w:ascii="Times New Roman" w:hAnsi="Times New Roman"/>
          <w:noProof/>
          <w:sz w:val="24"/>
          <w:szCs w:val="24"/>
        </w:rPr>
        <w:t>Både inhemska och externa obalanser måste hållas i schack genom lämplig övervakning och genom strukturreformer.</w:t>
      </w:r>
      <w:r>
        <w:rPr>
          <w:rFonts w:ascii="Times New Roman" w:hAnsi="Times New Roman"/>
          <w:b/>
          <w:noProof/>
          <w:sz w:val="24"/>
          <w:szCs w:val="24"/>
        </w:rPr>
        <w:t xml:space="preserve"> </w:t>
      </w:r>
      <w:r>
        <w:rPr>
          <w:rFonts w:ascii="Times New Roman" w:hAnsi="Times New Roman"/>
          <w:noProof/>
          <w:sz w:val="24"/>
          <w:szCs w:val="24"/>
        </w:rPr>
        <w:t xml:space="preserve">Med de rådande låga räntorna bör de medlemsstater som har behov av skuldsanering göra snabba framsteg med att minska skulderna utan att motverka investeringar. Dagens höga offentliga skuldsättning kan innebära sårbarhet i vissa medlemsstater och en begränsning av regeringarnas förmåga att tillhandahålla makroekonomisk stabilisering när det behövs. Skuldsaneringen är också nödvändig för att ge medlemsstaterna finanspolitiskt manöverutrymme för att hantera framtida utmaningar och frigöra medel för investeringar. Detta gäller särskilt med tanke på bankernas ansträngda läge och den privata sektorns skuldsättning. Det är viktigt att fortsätta att korrigera stora obalanser i utlandsskulderna och minska företagens och hushållens skuldsättning för att minska sårbarheten. </w:t>
      </w:r>
    </w:p>
    <w:p>
      <w:pPr>
        <w:pStyle w:val="ListParagraph"/>
        <w:spacing w:line="276" w:lineRule="auto"/>
        <w:ind w:left="0"/>
        <w:jc w:val="both"/>
        <w:rPr>
          <w:rFonts w:ascii="Times New Roman" w:hAnsi="Times New Roman"/>
          <w:noProof/>
          <w:sz w:val="24"/>
          <w:szCs w:val="24"/>
        </w:rPr>
      </w:pPr>
      <w:r>
        <w:rPr>
          <w:rFonts w:ascii="Times New Roman" w:hAnsi="Times New Roman"/>
          <w:b/>
          <w:noProof/>
          <w:sz w:val="24"/>
          <w:szCs w:val="24"/>
        </w:rPr>
        <w:t>Vidare måste de offentliga finansernas kvalitet höjas för att stimulera den potentiella tillväxten och stödja den ekonomiska omställningen som klimatförändringarna och de digitala utmaningarna föranleder.</w:t>
      </w:r>
      <w:r>
        <w:rPr>
          <w:rFonts w:ascii="Times New Roman" w:hAnsi="Times New Roman"/>
          <w:noProof/>
          <w:sz w:val="24"/>
          <w:szCs w:val="24"/>
        </w:rPr>
        <w:t xml:space="preserve"> Insatser bör göras både på inkomstsidan och utgiftssidan genom regelbundna utgiftsöversyner, där utgifter som främjar långsiktig tillväxt prioriteras, och genom gröna budgeteringsverktyg.</w:t>
      </w:r>
      <w:r>
        <w:rPr>
          <w:noProof/>
          <w:sz w:val="24"/>
          <w:szCs w:val="24"/>
        </w:rPr>
        <w:t xml:space="preserve"> </w:t>
      </w:r>
      <w:r>
        <w:rPr>
          <w:rFonts w:ascii="Times New Roman" w:hAnsi="Times New Roman"/>
          <w:noProof/>
          <w:sz w:val="24"/>
          <w:szCs w:val="24"/>
        </w:rPr>
        <w:t xml:space="preserve">På utgiftssidan bör utgiftsöversyner genomföras regelbundet och företräde bör ges åt utgifter som främjar långsiktig tillväxt, särskilt inom utbildning, sysselsättning och investeringar. På inkomstsidan bör skatterna stödja omställningen till en grön ekonomi, bli mer rättvisa och växlas över till källor som är mindre tillväxtsskadliga. </w:t>
      </w:r>
    </w:p>
    <w:p>
      <w:pPr>
        <w:pStyle w:val="ListParagraph"/>
        <w:spacing w:line="276" w:lineRule="auto"/>
        <w:ind w:left="0"/>
        <w:jc w:val="both"/>
        <w:rPr>
          <w:rFonts w:ascii="Times New Roman" w:hAnsi="Times New Roman" w:cs="Times New Roman"/>
          <w:b/>
          <w:noProof/>
          <w:sz w:val="24"/>
          <w:szCs w:val="24"/>
        </w:rPr>
      </w:pPr>
      <w:r>
        <w:rPr>
          <w:rFonts w:ascii="Times New Roman" w:hAnsi="Times New Roman"/>
          <w:b/>
          <w:noProof/>
          <w:sz w:val="24"/>
          <w:szCs w:val="24"/>
        </w:rPr>
        <w:t>Finanssektorn måste stärkas ytterligare genom att bankunionen och kapitalmarknadsunionen färdigställs.</w:t>
      </w:r>
      <w:r>
        <w:rPr>
          <w:rFonts w:ascii="Times New Roman" w:hAnsi="Times New Roman"/>
          <w:noProof/>
          <w:sz w:val="24"/>
          <w:szCs w:val="24"/>
        </w:rPr>
        <w:t xml:space="preserve"> Detta bör uppnås bl.a. genom att man inrättar ett europeiskt system för insättningsgaranti, minskar antalet nödlidande lån, åtgärdar kopplingen mellan banker och statspapper, förbättrar bankinsolvenslagstiftningen och vidtar åtgärder för att ytterligare stärka integrationen på finansmarknaden. Samtidigt måste stigande enhetsarbetskostnader och kraftiga ökningar av bostadspriserna i ett antal länder övervakas noga, medan makrotillsynsramarna behöver anpassas och lämpliga åtgärder vidtas när så krävs för att förhindra att nya obalanser ansamlas. Mer arbete krävs med kapitalmarknadsunionen för att diversifiera finansieringskällorna för företag och investeringsmöjligheterna för sparare, och på så sätt öka den privata riskspridningen i euroområdet. Finanssystemet måste också bli mer motståndskraftigt mot cyber- och klimathot.</w:t>
      </w:r>
    </w:p>
    <w:p>
      <w:pPr>
        <w:spacing w:after="120"/>
        <w:jc w:val="both"/>
        <w:rPr>
          <w:rFonts w:ascii="Times New Roman" w:hAnsi="Times New Roman" w:cs="Times New Roman"/>
          <w:noProof/>
          <w:sz w:val="24"/>
          <w:szCs w:val="24"/>
        </w:rPr>
      </w:pPr>
      <w:r>
        <w:rPr>
          <w:rFonts w:ascii="Times New Roman" w:hAnsi="Times New Roman"/>
          <w:b/>
          <w:noProof/>
          <w:sz w:val="24"/>
          <w:szCs w:val="24"/>
        </w:rPr>
        <w:t>EU behöver målinriktade investeringar för att stödja omställningen till en klimatneutral och fullt digital ekonomi.</w:t>
      </w:r>
      <w:r>
        <w:rPr>
          <w:rFonts w:ascii="Times New Roman" w:hAnsi="Times New Roman"/>
          <w:noProof/>
          <w:sz w:val="24"/>
          <w:szCs w:val="24"/>
        </w:rPr>
        <w:t xml:space="preserve"> Den flexibilitet som är tillåten enligt stabilitets- och tillväxtpakten bör utnyttjas fullt ut för att möjliggöra de nödvändiga investeringarna och samtidigt trygga de offentliga finansernas hållbarhet. Detta kommer att ge oss en mer tillväxtvänlig finanspolitisk inriktning i euroområdet samtidigt som det finanspolitiska ansvarstagandet skyddas. Att den nya fleråriga budgetramen antas snabbt är också viktigt för att snabbt få tillgång till ytterligare investeringar till stöd för den digitala omställningen och klimatomställningen (se ruta 2).</w:t>
      </w:r>
    </w:p>
    <w:p>
      <w:pPr>
        <w:pStyle w:val="ListParagraph"/>
        <w:spacing w:line="276" w:lineRule="auto"/>
        <w:ind w:left="0"/>
        <w:jc w:val="both"/>
        <w:rPr>
          <w:rFonts w:ascii="Times New Roman" w:hAnsi="Times New Roman" w:cs="Times New Roman"/>
          <w:noProof/>
          <w:sz w:val="24"/>
          <w:szCs w:val="24"/>
        </w:rPr>
      </w:pPr>
      <w:r>
        <w:rPr>
          <w:rFonts w:ascii="Times New Roman" w:hAnsi="Times New Roman"/>
          <w:b/>
          <w:noProof/>
          <w:sz w:val="24"/>
          <w:szCs w:val="24"/>
        </w:rPr>
        <w:t xml:space="preserve">Allt detta blir avgörande för att stärka eurons internationella roll, ett viktigt verktyg för att öka EU:s inflytande på världsmarknaderna. </w:t>
      </w:r>
      <w:r>
        <w:rPr>
          <w:rFonts w:ascii="Times New Roman" w:hAnsi="Times New Roman"/>
          <w:noProof/>
          <w:sz w:val="24"/>
          <w:szCs w:val="24"/>
        </w:rPr>
        <w:t xml:space="preserve">Detta hjälper EU:s företag, konsumenter och regeringar att stå emot ogynnsamma händelser i omvärlden och självsäkert axla den roll som euroområdets ekonomi spelar på världsscenen. Det akuta behovet av att agera har blivit ännu starkare i dagens värld, där globala rivaliteter och hot mot det multilaterala systemet ger upphov till nya ekonomiska stridigheter i form av handels- och valutakonflikter, vilket riskerar att motverka många av globaliseringens fördelar. </w:t>
      </w:r>
    </w:p>
    <w:p>
      <w:pPr>
        <w:pStyle w:val="ListParagraph"/>
        <w:spacing w:line="276" w:lineRule="auto"/>
        <w:ind w:left="0"/>
        <w:jc w:val="both"/>
        <w:rPr>
          <w:rFonts w:ascii="Times New Roman" w:hAnsi="Times New Roman" w:cs="Times New Roman"/>
          <w:b/>
          <w:noProof/>
          <w:sz w:val="24"/>
          <w:szCs w:val="24"/>
        </w:rPr>
      </w:pPr>
    </w:p>
    <w:p>
      <w:pPr>
        <w:pStyle w:val="ListParagraph"/>
        <w:keepNext/>
        <w:ind w:left="0"/>
        <w:jc w:val="both"/>
        <w:rPr>
          <w:rFonts w:ascii="Times New Roman" w:hAnsi="Times New Roman"/>
          <w:noProof/>
          <w:sz w:val="24"/>
          <w:szCs w:val="24"/>
        </w:rPr>
      </w:pPr>
      <w:r>
        <w:rPr>
          <w:rFonts w:ascii="Times New Roman" w:hAnsi="Times New Roman"/>
          <w:noProof/>
          <w:sz w:val="24"/>
          <w:szCs w:val="24"/>
        </w:rPr>
        <w:t xml:space="preserve">Ruta 2: EU-budgetens bidrag – behovet av att snabbt anta den nya fleråriga budgetramen </w:t>
      </w:r>
    </w:p>
    <w:p>
      <w:pPr>
        <w:pStyle w:val="ListParagraph"/>
        <w:keepNext/>
        <w:pBdr>
          <w:top w:val="single" w:sz="4" w:space="1" w:color="000000"/>
          <w:left w:val="single" w:sz="4" w:space="4" w:color="000000"/>
          <w:bottom w:val="single" w:sz="4" w:space="1" w:color="000000"/>
          <w:right w:val="single" w:sz="4" w:space="4" w:color="000000"/>
        </w:pBdr>
        <w:ind w:left="0"/>
        <w:jc w:val="both"/>
        <w:rPr>
          <w:rFonts w:ascii="Times New Roman" w:hAnsi="Times New Roman" w:cs="Times New Roman"/>
          <w:noProof/>
          <w:sz w:val="24"/>
          <w:szCs w:val="24"/>
        </w:rPr>
      </w:pPr>
      <w:r>
        <w:rPr>
          <w:rFonts w:ascii="Times New Roman" w:hAnsi="Times New Roman"/>
          <w:b/>
          <w:noProof/>
          <w:sz w:val="24"/>
          <w:szCs w:val="24"/>
        </w:rPr>
        <w:t>EU:s budget är förutsättningen för att våra politiska ambitioner ska förverkligas</w:t>
      </w:r>
      <w:r>
        <w:rPr>
          <w:rFonts w:ascii="Times New Roman" w:hAnsi="Times New Roman"/>
          <w:noProof/>
          <w:sz w:val="24"/>
          <w:szCs w:val="24"/>
        </w:rPr>
        <w:t xml:space="preserve">. </w:t>
      </w:r>
    </w:p>
    <w:p>
      <w:pPr>
        <w:pStyle w:val="ListParagraph"/>
        <w:pBdr>
          <w:top w:val="single" w:sz="4" w:space="1" w:color="000000"/>
          <w:left w:val="single" w:sz="4" w:space="4" w:color="000000"/>
          <w:bottom w:val="single" w:sz="4" w:space="1" w:color="000000"/>
          <w:right w:val="single" w:sz="4" w:space="4" w:color="000000"/>
        </w:pBdr>
        <w:ind w:left="0"/>
        <w:jc w:val="both"/>
        <w:rPr>
          <w:rFonts w:ascii="Times New Roman" w:hAnsi="Times New Roman" w:cs="Times New Roman"/>
          <w:noProof/>
          <w:color w:val="000000"/>
          <w:sz w:val="24"/>
          <w:szCs w:val="24"/>
        </w:rPr>
      </w:pPr>
      <w:r>
        <w:rPr>
          <w:rFonts w:ascii="Times New Roman" w:hAnsi="Times New Roman"/>
          <w:noProof/>
          <w:sz w:val="24"/>
          <w:szCs w:val="24"/>
        </w:rPr>
        <w:t xml:space="preserve">Med utgångspunkt i befintliga och nya mekanismer kommer </w:t>
      </w:r>
      <w:r>
        <w:rPr>
          <w:rFonts w:ascii="Times New Roman" w:hAnsi="Times New Roman"/>
          <w:b/>
          <w:noProof/>
          <w:sz w:val="24"/>
          <w:szCs w:val="24"/>
        </w:rPr>
        <w:t xml:space="preserve">investeringsplanen för ett hållbart Europa </w:t>
      </w:r>
      <w:r>
        <w:rPr>
          <w:rFonts w:ascii="Times New Roman" w:hAnsi="Times New Roman"/>
          <w:noProof/>
          <w:sz w:val="24"/>
          <w:szCs w:val="24"/>
        </w:rPr>
        <w:t xml:space="preserve">att leda till de investeringar som krävs för att genomföra den europeiska gröna given. En </w:t>
      </w:r>
      <w:r>
        <w:rPr>
          <w:rFonts w:ascii="Times New Roman" w:hAnsi="Times New Roman"/>
          <w:b/>
          <w:noProof/>
          <w:sz w:val="24"/>
          <w:szCs w:val="24"/>
        </w:rPr>
        <w:t xml:space="preserve">mekanism för en rättvis omställning </w:t>
      </w:r>
      <w:r>
        <w:rPr>
          <w:rFonts w:ascii="Times New Roman" w:hAnsi="Times New Roman"/>
          <w:noProof/>
          <w:sz w:val="24"/>
          <w:szCs w:val="24"/>
        </w:rPr>
        <w:t>ska inriktas på de hårdast drabbade regionerna så att ingen hamnar på efterkälken.</w:t>
      </w:r>
    </w:p>
    <w:p>
      <w:pPr>
        <w:pStyle w:val="ListParagraph"/>
        <w:pBdr>
          <w:top w:val="single" w:sz="4" w:space="1" w:color="000000"/>
          <w:left w:val="single" w:sz="4" w:space="4" w:color="000000"/>
          <w:bottom w:val="single" w:sz="4" w:space="1" w:color="000000"/>
          <w:right w:val="single" w:sz="4" w:space="4" w:color="000000"/>
        </w:pBdr>
        <w:ind w:left="0"/>
        <w:jc w:val="both"/>
        <w:rPr>
          <w:rFonts w:ascii="Times New Roman" w:hAnsi="Times New Roman" w:cs="Times New Roman"/>
          <w:noProof/>
          <w:color w:val="000000"/>
          <w:sz w:val="24"/>
          <w:szCs w:val="24"/>
        </w:rPr>
      </w:pPr>
      <w:r>
        <w:rPr>
          <w:rFonts w:ascii="Times New Roman" w:hAnsi="Times New Roman"/>
          <w:noProof/>
          <w:sz w:val="24"/>
          <w:szCs w:val="24"/>
        </w:rPr>
        <w:t xml:space="preserve">Programmet InvestEU är tänkt att mobilisera över 650 miljarder euro i ytterligare investeringar fram till 2027 med hjälp av en EU-garanti. Det är ett centralt instrument för att attrahera privata medel till EU:s mål. </w:t>
      </w:r>
    </w:p>
    <w:p>
      <w:pPr>
        <w:pStyle w:val="ListParagraph"/>
        <w:pBdr>
          <w:top w:val="single" w:sz="4" w:space="1" w:color="000000"/>
          <w:left w:val="single" w:sz="4" w:space="4" w:color="000000"/>
          <w:bottom w:val="single" w:sz="4" w:space="1" w:color="000000"/>
          <w:right w:val="single" w:sz="4" w:space="4" w:color="000000"/>
        </w:pBdr>
        <w:ind w:left="0"/>
        <w:jc w:val="both"/>
        <w:rPr>
          <w:rFonts w:ascii="Times New Roman" w:hAnsi="Times New Roman" w:cs="Times New Roman"/>
          <w:noProof/>
          <w:color w:val="000000"/>
          <w:sz w:val="24"/>
          <w:szCs w:val="24"/>
        </w:rPr>
      </w:pPr>
      <w:r>
        <w:rPr>
          <w:rFonts w:ascii="Times New Roman" w:hAnsi="Times New Roman"/>
          <w:noProof/>
          <w:sz w:val="24"/>
          <w:szCs w:val="24"/>
        </w:rPr>
        <w:t xml:space="preserve">De sammanhållningspolitiska fonderna (Europeiska regionala utvecklingsfonden, Europeiska socialfonden+, Sammanhållningsfonden) har stor betydelse för att stödja den sociala och territoriella sammanhållningen i våra regioner och landsbygdsområden och för att hålla jämna steg med den digitala och gröna omställningen i världen. Enligt kommissionens förslag till nästa fleråriga budgetram ska sammanhållningspolitiken 2021–2027 få anslag på totalt 374 miljarder euro i löpande priser. </w:t>
      </w:r>
    </w:p>
    <w:p>
      <w:pPr>
        <w:pStyle w:val="ListParagraph"/>
        <w:pBdr>
          <w:top w:val="single" w:sz="4" w:space="1" w:color="000000"/>
          <w:left w:val="single" w:sz="4" w:space="4" w:color="000000"/>
          <w:bottom w:val="single" w:sz="4" w:space="1" w:color="000000"/>
          <w:right w:val="single" w:sz="4" w:space="4" w:color="000000"/>
        </w:pBdr>
        <w:ind w:left="0"/>
        <w:jc w:val="both"/>
        <w:rPr>
          <w:rFonts w:ascii="Times New Roman" w:hAnsi="Times New Roman" w:cs="Times New Roman"/>
          <w:noProof/>
          <w:color w:val="000000"/>
          <w:sz w:val="24"/>
          <w:szCs w:val="24"/>
        </w:rPr>
      </w:pPr>
      <w:r>
        <w:rPr>
          <w:rFonts w:ascii="Times New Roman" w:hAnsi="Times New Roman"/>
          <w:noProof/>
          <w:sz w:val="24"/>
          <w:szCs w:val="24"/>
        </w:rPr>
        <w:t>Reformstödprogrammet ska utöka de verktyg som finns tillgängliga på EU-nivå för att hjälpa till att genomföra strukturreformer i alla medlemsstater, med både tekniskt och ekonomiskt stöd. Inom det programmet förväntas budgetinstrumentet för konvergens och konkurrenskraft ge stöd till reformer och investeringar i euroländerna.</w:t>
      </w:r>
    </w:p>
    <w:p>
      <w:pPr>
        <w:pStyle w:val="ListParagraph"/>
        <w:pBdr>
          <w:top w:val="single" w:sz="4" w:space="1" w:color="000000"/>
          <w:left w:val="single" w:sz="4" w:space="4" w:color="000000"/>
          <w:bottom w:val="single" w:sz="4" w:space="1" w:color="000000"/>
          <w:right w:val="single" w:sz="4" w:space="4" w:color="000000"/>
        </w:pBdr>
        <w:ind w:left="0"/>
        <w:jc w:val="both"/>
        <w:rPr>
          <w:rFonts w:ascii="Times New Roman" w:hAnsi="Times New Roman" w:cs="Times New Roman"/>
          <w:b/>
          <w:noProof/>
          <w:sz w:val="24"/>
          <w:szCs w:val="24"/>
        </w:rPr>
      </w:pPr>
      <w:r>
        <w:rPr>
          <w:rFonts w:ascii="Times New Roman" w:hAnsi="Times New Roman"/>
          <w:noProof/>
          <w:sz w:val="24"/>
          <w:szCs w:val="24"/>
        </w:rPr>
        <w:t>EU-budgeten kommer att investera rekordbelopp i spetsforskning och innovation, genom att använda den fulla flexibiliteten i nästa EU-budget för att fokusera på områdena med störst potential. Inom Horisont Europa ska 98 miljarder euro anslås till investeringar i innovation i EU.</w:t>
      </w:r>
    </w:p>
    <w:p>
      <w:pPr>
        <w:pStyle w:val="ListParagraph"/>
        <w:pBdr>
          <w:top w:val="single" w:sz="4" w:space="1" w:color="000000"/>
          <w:left w:val="single" w:sz="4" w:space="4" w:color="000000"/>
          <w:bottom w:val="single" w:sz="4" w:space="1" w:color="000000"/>
          <w:right w:val="single" w:sz="4" w:space="4" w:color="000000"/>
        </w:pBdr>
        <w:ind w:left="0"/>
        <w:jc w:val="both"/>
        <w:rPr>
          <w:rFonts w:ascii="Times New Roman" w:hAnsi="Times New Roman" w:cs="Times New Roman"/>
          <w:noProof/>
          <w:color w:val="000000"/>
          <w:sz w:val="24"/>
          <w:szCs w:val="24"/>
        </w:rPr>
      </w:pPr>
      <w:r>
        <w:rPr>
          <w:rFonts w:ascii="Times New Roman" w:hAnsi="Times New Roman"/>
          <w:b/>
          <w:noProof/>
          <w:sz w:val="24"/>
          <w:szCs w:val="24"/>
        </w:rPr>
        <w:t>EU:s budget är tänkt att fungera som en katalysator för att få fram hållbara privata och offentliga investeringar och styra EU-stödet till omställningen till ren energi dit där det behövs mest.</w:t>
      </w:r>
      <w:r>
        <w:rPr>
          <w:rFonts w:ascii="Times New Roman" w:hAnsi="Times New Roman"/>
          <w:noProof/>
          <w:sz w:val="24"/>
          <w:szCs w:val="24"/>
        </w:rPr>
        <w:t xml:space="preserve"> Redan under den nuvarande långtidsbudgeten 2014–2020 har EU ökat klimat- och miljöpolitikens tyngd i utgiftsprogrammen. Begränsning av och anpassning till klimatförändringar har arbetats in i alla EU:s större utgiftsområden. I sitt förslag till EU-budget på mer än 1 biljon euro 2021–2027(</w:t>
      </w:r>
      <w:r>
        <w:rPr>
          <w:rFonts w:ascii="Times New Roman" w:hAnsi="Times New Roman"/>
          <w:noProof/>
          <w:sz w:val="24"/>
          <w:szCs w:val="24"/>
          <w:vertAlign w:val="superscript"/>
        </w:rPr>
        <w:footnoteReference w:id="6"/>
      </w:r>
      <w:r>
        <w:rPr>
          <w:rFonts w:ascii="Times New Roman" w:hAnsi="Times New Roman"/>
          <w:noProof/>
          <w:sz w:val="24"/>
          <w:szCs w:val="24"/>
        </w:rPr>
        <w:t xml:space="preserve">) höjde kommissionen ambitionsnivån till att lägga minst 25 % av utgifterna på klimatrelaterade insatser, vilket motsvarar 320 miljarder euro. I nästa omgång av den gemensamma jordbrukspolitiken (GJP) ska ett nytt grönt upplägg ge ett starkare bidrag till miljö- och klimatskydd, med åtgärder som förväntas bidra med 40 % av den gemensamma jordbrukspolitikens totala finansieringsram till klimatmål. </w:t>
      </w:r>
    </w:p>
    <w:p>
      <w:pPr>
        <w:pStyle w:val="ListParagraph"/>
        <w:keepNext/>
        <w:spacing w:line="257" w:lineRule="auto"/>
        <w:ind w:left="0"/>
        <w:jc w:val="both"/>
        <w:rPr>
          <w:rFonts w:ascii="Times New Roman" w:hAnsi="Times New Roman" w:cs="Times New Roman"/>
          <w:b/>
          <w:bCs/>
          <w:noProof/>
          <w:sz w:val="24"/>
          <w:szCs w:val="24"/>
        </w:rPr>
      </w:pPr>
    </w:p>
    <w:p>
      <w:pPr>
        <w:pStyle w:val="ListParagraph"/>
        <w:keepNext/>
        <w:numPr>
          <w:ilvl w:val="1"/>
          <w:numId w:val="2"/>
        </w:numPr>
        <w:spacing w:line="257" w:lineRule="auto"/>
        <w:ind w:left="1066" w:hanging="357"/>
        <w:jc w:val="both"/>
        <w:rPr>
          <w:rFonts w:ascii="Times New Roman" w:hAnsi="Times New Roman" w:cs="Times New Roman"/>
          <w:b/>
          <w:bCs/>
          <w:noProof/>
          <w:sz w:val="24"/>
          <w:szCs w:val="24"/>
        </w:rPr>
      </w:pPr>
      <w:r>
        <w:rPr>
          <w:rFonts w:ascii="Times New Roman" w:hAnsi="Times New Roman"/>
          <w:b/>
          <w:noProof/>
          <w:sz w:val="24"/>
          <w:szCs w:val="24"/>
        </w:rPr>
        <w:t xml:space="preserve">Omläggning av den europeiska planeringsterminen </w:t>
      </w:r>
    </w:p>
    <w:p>
      <w:pPr>
        <w:spacing w:after="120"/>
        <w:jc w:val="both"/>
        <w:rPr>
          <w:rFonts w:ascii="Times New Roman" w:hAnsi="Times New Roman" w:cs="Times New Roman"/>
          <w:bCs/>
          <w:noProof/>
          <w:sz w:val="24"/>
          <w:szCs w:val="24"/>
        </w:rPr>
      </w:pPr>
      <w:r>
        <w:rPr>
          <w:rFonts w:ascii="Times New Roman" w:hAnsi="Times New Roman"/>
          <w:b/>
          <w:bCs/>
          <w:noProof/>
          <w:sz w:val="24"/>
          <w:szCs w:val="24"/>
        </w:rPr>
        <w:t>Den nya tillväxtstrategin med inriktning på konkurrenskraftig hållbarhet hjälper oss att nå målen för hållbar utveckling.</w:t>
      </w:r>
      <w:r>
        <w:rPr>
          <w:rFonts w:ascii="Times New Roman" w:hAnsi="Times New Roman"/>
          <w:bCs/>
          <w:noProof/>
          <w:sz w:val="24"/>
          <w:szCs w:val="24"/>
        </w:rPr>
        <w:t xml:space="preserve"> De ekonomiska, sociala och miljömässiga utmaningarna är relevanta för hela ekonomin. För att vi ska lyckas krävs betydande insatser på alla politikområden, både på EU-nivå och på nationell nivå. En viktig framgångsfaktor är myndigheternas förmåga att driva den ekonomiska och sociala politiken och finanspolitiken på ett sätt som bidrar till målen för hållbar utveckling. De olika förvaltningsnivåernas bidrag till uppfyllelsen av målen för hållbar utveckling i EU är mångfasetterat på grund av arbetsfördelningen mellan medlemsstaterna och EU:s institutioner. Även om omställningens utmaningar är likadana för alla är utgångslägena olika: vissa medlemsstater är mer utsatta för ekonomiska, sociala och miljömässiga risker eller har längre väg att gå för att nå målen för hållbar utveckling. Det är därför nödvändigt med en skräddarsydd men nära samordnad politik i medlemsstaterna.</w:t>
      </w:r>
      <w:r>
        <w:rPr>
          <w:noProof/>
          <w:sz w:val="24"/>
          <w:szCs w:val="24"/>
        </w:rPr>
        <w:t xml:space="preserve"> </w:t>
      </w:r>
      <w:r>
        <w:rPr>
          <w:rFonts w:ascii="Times New Roman" w:hAnsi="Times New Roman"/>
          <w:bCs/>
          <w:noProof/>
          <w:sz w:val="24"/>
          <w:szCs w:val="24"/>
        </w:rPr>
        <w:t xml:space="preserve">Det senaste årtiondet har den europeiska planeringsterminen etablerats som det viktigaste verktyget för samordning av medlemsstaternas ekonomiska politik och sysselsättningspolitik. Den kan därför bidra till att få politiken på dessa områden att stödja målen för hållbar utveckling genom övervakning av framstegen och en närmare samordning av de nationella insatserna inom ekonomisk politik och sysselsättningspolitik, särskilt i frågor som påverkar hela ekonomin. </w:t>
      </w:r>
    </w:p>
    <w:p>
      <w:pPr>
        <w:spacing w:after="120"/>
        <w:jc w:val="both"/>
        <w:rPr>
          <w:rFonts w:ascii="Times New Roman" w:hAnsi="Times New Roman" w:cs="Times New Roman"/>
          <w:bCs/>
          <w:noProof/>
          <w:sz w:val="24"/>
          <w:szCs w:val="24"/>
        </w:rPr>
      </w:pPr>
      <w:r>
        <w:rPr>
          <w:rFonts w:ascii="Times New Roman" w:hAnsi="Times New Roman"/>
          <w:b/>
          <w:bCs/>
          <w:noProof/>
          <w:sz w:val="24"/>
          <w:szCs w:val="24"/>
        </w:rPr>
        <w:t>Den europeiska planeringsterminens nya inriktning har redan inletts genom den bredare ekonomiska översikten i denna årliga strategi för hållbar tillväxt.</w:t>
      </w:r>
      <w:r>
        <w:rPr>
          <w:rFonts w:ascii="Times New Roman" w:hAnsi="Times New Roman"/>
          <w:bCs/>
          <w:noProof/>
          <w:sz w:val="24"/>
          <w:szCs w:val="24"/>
        </w:rPr>
        <w:t xml:space="preserve"> Den fortsätter med 2020 års landsrapporter, kommissionens bedömning av medlemsstaternas sociala och ekonomiska situation. Som ett första steg ska rapporterna 2020 innehålla en förstärkt analys och övervakning av målen för hållbar utveckling. De ska omfatta ett nytt särskilt avsnitt om miljömässig hållbarhet, som komplement till analysen av de ekonomiska och sociala utmaningarna. Målet är att stödja medlemsstaternas åtgärder genom att kartlägga samverkansfördelar och avvägningar mellan miljöpolitiken, socialpolitiken och den ekonomiska politiken på nationell nivå. Bedömningen av rapporterna kommer också att stödja användningen av EU-medel för hållbara investeringar i EU. Utöver detta nya avsnitt ska landsrapporterna också innehålla en ny bilaga med de enskilda medlemsstaternas resultat i förhållande till målen för hållbar utveckling. I denna nya bilaga ska varje lands framsteg övervakas, på grundval av Eurostats EU-indikatorer för målen för hållbar utveckling. Kommissionen har dessutom uppmanat medlemsstaterna att bedöma de framsteg som gjorts i förhållande till målen för hållbar utveckling i deras nationella reformprogram, som ett kvalitativt komplement till den indikatorbaserade övervakning som kommissionen utför under den europeiska planeringsterminen och som omfattar de övergripande aspekterna av den relaterade politiken. Målet är inte att skapa ytterligare administrativa bördor för de nationella förvaltningarna, utan att bygga vidare på befintliga nationella övervakningsverktyg, t.ex. de årliga frivilliga nationella översyner som planeras på FN-nivå, för att ge mer användbar vägledning och samordning på EU-nivå. Med utgångspunkt i landsrapporterna kommer kommissionen i sina förslag till landsspecifika rekommendationer, som ska antas i maj 2020, att lyfta fram de nationella reformernas bidrag till de enskilda målen för hållbar utveckling, där det behövs för samordningen av den ekonomiska politiken och sysselsättningspolitiken i fråga om ekonomiska utmaningar av gemensamt intresse. </w:t>
      </w:r>
    </w:p>
    <w:p>
      <w:pPr>
        <w:spacing w:after="120"/>
        <w:jc w:val="both"/>
        <w:rPr>
          <w:rFonts w:ascii="Times New Roman" w:hAnsi="Times New Roman" w:cs="Times New Roman"/>
          <w:bCs/>
          <w:noProof/>
          <w:sz w:val="24"/>
          <w:szCs w:val="24"/>
        </w:rPr>
      </w:pPr>
    </w:p>
    <w:p>
      <w:pPr>
        <w:spacing w:after="120"/>
        <w:jc w:val="both"/>
        <w:rPr>
          <w:rFonts w:ascii="Times New Roman" w:hAnsi="Times New Roman" w:cs="Times New Roman"/>
          <w:b/>
          <w:bCs/>
          <w:noProof/>
          <w:sz w:val="24"/>
          <w:szCs w:val="24"/>
        </w:rPr>
      </w:pPr>
      <w:r>
        <w:rPr>
          <w:rFonts w:ascii="Times New Roman" w:hAnsi="Times New Roman"/>
          <w:b/>
          <w:bCs/>
          <w:noProof/>
          <w:sz w:val="24"/>
          <w:szCs w:val="24"/>
        </w:rPr>
        <w:t>Genom att utveckla denna nya strategi under den här planeringsterminen och de kommande åren kommer den europeiska planeringsterminen att direkt stödja EU och medlemsstaterna när det gäller att visa resultat med målen för hållbar utveckling i hela den ekonomiska politiken och sysselsättningspolitiken, och se till att ekonomin fungerar för alla och att tillväxten är hållbar.</w:t>
      </w:r>
    </w:p>
    <w:p>
      <w:pPr>
        <w:spacing w:after="120"/>
        <w:jc w:val="both"/>
        <w:rPr>
          <w:rFonts w:ascii="Times New Roman" w:hAnsi="Times New Roman" w:cs="Times New Roman"/>
          <w:b/>
          <w:bCs/>
          <w:noProof/>
          <w:sz w:val="24"/>
          <w:szCs w:val="24"/>
        </w:rPr>
      </w:pPr>
      <w:r>
        <w:rPr>
          <w:noProof/>
          <w:lang w:val="en-GB" w:eastAsia="en-GB"/>
        </w:rPr>
        <w:drawing>
          <wp:inline distT="0" distB="0" distL="0" distR="0">
            <wp:extent cx="575310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2552700"/>
                    </a:xfrm>
                    <a:prstGeom prst="rect">
                      <a:avLst/>
                    </a:prstGeom>
                    <a:noFill/>
                    <a:ln>
                      <a:noFill/>
                    </a:ln>
                  </pic:spPr>
                </pic:pic>
              </a:graphicData>
            </a:graphic>
          </wp:inline>
        </w:drawing>
      </w:r>
    </w:p>
    <w:p>
      <w:pPr>
        <w:spacing w:after="120"/>
        <w:jc w:val="both"/>
        <w:rPr>
          <w:rFonts w:ascii="Times New Roman" w:hAnsi="Times New Roman" w:cs="Times New Roman"/>
          <w:b/>
          <w:bCs/>
          <w:noProof/>
          <w:sz w:val="24"/>
          <w:szCs w:val="24"/>
        </w:rPr>
      </w:pPr>
    </w:p>
    <w:p>
      <w:pPr>
        <w:keepNext/>
        <w:jc w:val="both"/>
        <w:rPr>
          <w:rFonts w:ascii="Times New Roman" w:hAnsi="Times New Roman" w:cs="Times New Roman"/>
          <w:b/>
          <w:bCs/>
          <w:noProof/>
          <w:color w:val="000000"/>
          <w:sz w:val="24"/>
          <w:szCs w:val="24"/>
        </w:rPr>
      </w:pPr>
      <w:r>
        <w:rPr>
          <w:rFonts w:ascii="Times New Roman" w:hAnsi="Times New Roman"/>
          <w:b/>
          <w:bCs/>
          <w:smallCaps/>
          <w:noProof/>
          <w:sz w:val="24"/>
          <w:szCs w:val="24"/>
        </w:rPr>
        <w:t>Slutsatser och nästa steg</w:t>
      </w:r>
    </w:p>
    <w:p>
      <w:pPr>
        <w:keepLines/>
        <w:jc w:val="both"/>
        <w:rPr>
          <w:rFonts w:ascii="Times New Roman" w:hAnsi="Times New Roman" w:cs="Times New Roman"/>
          <w:noProof/>
          <w:color w:val="000000"/>
          <w:sz w:val="24"/>
          <w:szCs w:val="24"/>
        </w:rPr>
      </w:pPr>
      <w:r>
        <w:rPr>
          <w:rFonts w:ascii="Times New Roman" w:hAnsi="Times New Roman"/>
          <w:b/>
          <w:bCs/>
          <w:noProof/>
          <w:sz w:val="24"/>
          <w:szCs w:val="24"/>
        </w:rPr>
        <w:t xml:space="preserve">Att omsätta denna strategi för hållbar tillväxt i praktiken är en gemensam uppgift. </w:t>
      </w:r>
      <w:r>
        <w:rPr>
          <w:rFonts w:ascii="Times New Roman" w:hAnsi="Times New Roman"/>
          <w:noProof/>
          <w:sz w:val="24"/>
          <w:szCs w:val="24"/>
        </w:rPr>
        <w:t xml:space="preserve">Det kräver att alla EU-aktörer agerar och engagerar sig gemensamt. Europeiska rådet uppmanas att ställa sig bakom denna strategi. Medlemsstaterna bör beakta kommissionens prioriteringar i sina nationella strategier och strategier, i enlighet med sina stabilitets- eller konvergensprogram och nationella reformprogram. På grundval av detta kommer kommissionen att föreslå landsspecifika rekommendationer, som medlemsstaterna sedan antar i rådet. Medlemsstaterna är således ytterst ansvariga för innehållet i och genomförandet av rekommendationerna. </w:t>
      </w:r>
    </w:p>
    <w:p>
      <w:pPr>
        <w:pStyle w:val="CommentText"/>
        <w:jc w:val="both"/>
        <w:rPr>
          <w:noProof/>
          <w:sz w:val="24"/>
          <w:szCs w:val="24"/>
        </w:rPr>
      </w:pPr>
      <w:r>
        <w:rPr>
          <w:rFonts w:ascii="Times New Roman" w:hAnsi="Times New Roman"/>
          <w:b/>
          <w:noProof/>
          <w:sz w:val="24"/>
          <w:szCs w:val="24"/>
        </w:rPr>
        <w:t xml:space="preserve">Medlemsstaterna bör fullt ut utnyttja EU:s tillgängliga politiska instrument och finansieringsinstrument. </w:t>
      </w:r>
      <w:r>
        <w:rPr>
          <w:rFonts w:ascii="Times New Roman" w:hAnsi="Times New Roman"/>
          <w:noProof/>
          <w:sz w:val="24"/>
          <w:szCs w:val="24"/>
        </w:rPr>
        <w:t>Kommissionen är redo att stödja medlemsstaterna i reformarbetet genom tekniskt stöd, särskilt genom det föreslagna reformstödsprogrammet, till alla EU:s medlemsstater. För euroländerna väntas budgetinstrumentet för konvergens och konkurrenskraft ge skräddarsydda incitament och stöd till reformer och investeringar. Slutligen spelar de sammanhållningspolitiska fonderna en avgörande roll för att stödja den sociala och territoriella sammanhållningen.</w:t>
      </w:r>
    </w:p>
    <w:p>
      <w:pPr>
        <w:jc w:val="both"/>
        <w:rPr>
          <w:rFonts w:ascii="Times New Roman" w:hAnsi="Times New Roman"/>
          <w:noProof/>
          <w:color w:val="000000"/>
          <w:sz w:val="24"/>
          <w:szCs w:val="24"/>
        </w:rPr>
      </w:pPr>
      <w:r>
        <w:rPr>
          <w:rFonts w:ascii="Times New Roman" w:hAnsi="Times New Roman"/>
          <w:b/>
          <w:bCs/>
          <w:noProof/>
          <w:sz w:val="24"/>
          <w:szCs w:val="24"/>
        </w:rPr>
        <w:t>Ekonomisk styrning och demokratiskt ansvarsutkrävande måste gå hand i hand.</w:t>
      </w:r>
      <w:r>
        <w:rPr>
          <w:rFonts w:ascii="Times New Roman" w:hAnsi="Times New Roman"/>
          <w:noProof/>
          <w:sz w:val="24"/>
          <w:szCs w:val="24"/>
        </w:rPr>
        <w:t xml:space="preserve"> Europaparlamentet bör få mer att säga till om i EU:s ekonomiska styrning. Därför tänker kommissionen inleda en dialog med Europaparlamentet om hur detta ska omsättas i praktiken. De kommissionärer som har ansvaret för ekonomiska frågor kommer som ett första steg att besöka Europaparlamentet före varje avgörande steg i den europeiska planeringsterminen. Detta ökade demokratiska ansvarsutkrävande inom den europeiska planeringsterminen bör också bidra till bättre förankring och därmed till att reformerna faktiskt genomförs. Mer allmänt kommer kommissionen att fortsätta dialogen med medlemsstaterna, och uppmanar medlemsstaterna att involvera nationella parlament, arbetsmarknadens parter och alla andra berörda parter. </w:t>
      </w:r>
    </w:p>
    <w:sectPr>
      <w:headerReference w:type="even" r:id="rId18"/>
      <w:headerReference w:type="default" r:id="rId19"/>
      <w:footerReference w:type="even" r:id="rId20"/>
      <w:footerReference w:type="default" r:id="rId21"/>
      <w:headerReference w:type="first" r:id="rId22"/>
      <w:footerReference w:type="first" r:id="rId23"/>
      <w:pgSz w:w="11906" w:h="16838" w:code="9"/>
      <w:pgMar w:top="1134" w:right="1418" w:bottom="1134" w:left="1418" w:header="567" w:footer="56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4">
    <w:altName w:val="MV Boli"/>
    <w:charset w:val="00"/>
    <w:family w:val="auto"/>
    <w:pitch w:val="variable"/>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MV Bol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ab/>
    </w:r>
    <w:r>
      <w:fldChar w:fldCharType="begin"/>
    </w:r>
    <w:r>
      <w:instrText xml:space="preserve"> PAGE </w:instrText>
    </w:r>
    <w:r>
      <w:fldChar w:fldCharType="separate"/>
    </w:r>
    <w:r>
      <w:t>2</w:t>
    </w:r>
    <w:r>
      <w:fldChar w:fldCharType="end"/>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Times New Roman" w:hAnsi="Times New Roman" w:cs="Times New Roman"/>
      </w:rPr>
    </w:pPr>
    <w:r>
      <w:rPr>
        <w:rFonts w:ascii="Times New Roman" w:hAnsi="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15</w:t>
    </w:r>
    <w:r>
      <w:rPr>
        <w:rFonts w:ascii="Times New Roman" w:hAnsi="Times New Roman" w:cs="Times New Roman"/>
      </w:rPr>
      <w:fldChar w:fldCharType="end"/>
    </w:r>
    <w:r>
      <w:rPr>
        <w:rFonts w:ascii="Times New Roman" w:hAnsi="Times New Roma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 xml:space="preserve">I förslaget till gemensam sysselsättningsrapport från kommissionen och rådet, antaget tillsammans med den årliga strategin för hållbar sysselsättning (COM(2019) 653), finns en utförlig översikt över utvecklingen på arbetsmarknaden och i samhället, bl.a. i form av den sociala resultattavlan. </w:t>
      </w:r>
    </w:p>
  </w:footnote>
  <w:footnote w:id="3">
    <w:p>
      <w:pPr>
        <w:pStyle w:val="FootnoteText"/>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 xml:space="preserve">Rapport om åldrande 2018 </w:t>
      </w:r>
      <w:hyperlink r:id="rId1" w:history="1">
        <w:r>
          <w:rPr>
            <w:rStyle w:val="Hyperlink"/>
            <w:rFonts w:ascii="Times New Roman" w:hAnsi="Times New Roman"/>
            <w:sz w:val="18"/>
            <w:szCs w:val="18"/>
          </w:rPr>
          <w:t>https://ec.europa.eu/info/sites/info/files/economy-finance/ip079_en.pdf</w:t>
        </w:r>
      </w:hyperlink>
    </w:p>
  </w:footnote>
  <w:footnote w:id="4">
    <w:p>
      <w:pPr>
        <w:spacing w:after="120"/>
        <w:ind w:left="284" w:hanging="284"/>
        <w:jc w:val="both"/>
      </w:pPr>
      <w:r>
        <w:rPr>
          <w:rStyle w:val="FootnoteCharacters"/>
          <w:rFonts w:ascii="Times New Roman" w:hAnsi="Times New Roman"/>
          <w:vertAlign w:val="superscript"/>
        </w:rPr>
        <w:footnoteRef/>
      </w:r>
      <w:r>
        <w:rPr>
          <w:rFonts w:ascii="Times New Roman" w:hAnsi="Times New Roman"/>
          <w:sz w:val="18"/>
          <w:szCs w:val="18"/>
        </w:rPr>
        <w:t xml:space="preserve"> </w:t>
      </w:r>
      <w:r>
        <w:rPr>
          <w:rFonts w:ascii="Times New Roman" w:hAnsi="Times New Roman"/>
          <w:sz w:val="18"/>
          <w:szCs w:val="18"/>
        </w:rPr>
        <w:tab/>
        <w:t xml:space="preserve">Sedan 2009 har ekodesign lett till betydande energibesparingar och därmed förebyggande av koldioxidutsläpp och i ökande grad effektivare materialanvändning. </w:t>
      </w:r>
    </w:p>
  </w:footnote>
  <w:footnote w:id="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i/>
          <w:iCs/>
          <w:sz w:val="18"/>
          <w:szCs w:val="18"/>
        </w:rPr>
        <w:tab/>
        <w:t>Single Market Performance Report</w:t>
      </w:r>
      <w:r>
        <w:rPr>
          <w:rFonts w:ascii="Times New Roman" w:hAnsi="Times New Roman"/>
          <w:sz w:val="18"/>
          <w:szCs w:val="18"/>
        </w:rPr>
        <w:t>, SWD(2019) 443</w:t>
      </w:r>
      <w:r>
        <w:t>.</w:t>
      </w:r>
    </w:p>
  </w:footnote>
  <w:footnote w:id="6">
    <w:p>
      <w:pPr>
        <w:pStyle w:val="NormalWeb"/>
        <w:shd w:val="clear" w:color="auto" w:fill="FFFFFF"/>
        <w:spacing w:before="0" w:beforeAutospacing="0" w:after="75" w:afterAutospacing="0"/>
        <w:ind w:left="284" w:hanging="284"/>
      </w:pPr>
      <w:r>
        <w:rPr>
          <w:rStyle w:val="FootnoteCharacters"/>
          <w:sz w:val="22"/>
          <w:vertAlign w:val="superscript"/>
        </w:rPr>
        <w:footnoteRef/>
      </w:r>
      <w:r>
        <w:rPr>
          <w:rStyle w:val="FootnoteCharacters"/>
          <w:sz w:val="18"/>
          <w:szCs w:val="18"/>
        </w:rPr>
        <w:tab/>
      </w:r>
      <w:r>
        <w:rPr>
          <w:sz w:val="18"/>
        </w:rPr>
        <w:t>Förslag till rådets förordning om den fleråriga budgetramen 2021–2027, COM(2018) 322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b/>
        <w:sz w:val="26"/>
      </w:rPr>
    </w:lvl>
    <w:lvl w:ilvl="1">
      <w:start w:val="1"/>
      <w:numFmt w:val="decimal"/>
      <w:lvlText w:val="%2."/>
      <w:lvlJc w:val="left"/>
      <w:pPr>
        <w:tabs>
          <w:tab w:val="num" w:pos="1069"/>
        </w:tabs>
        <w:ind w:left="1069"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ocStatus" w:val="Green"/>
    <w:docVar w:name="LW_CORRIGENDUM" w:val="&lt;UNUSED&gt;"/>
    <w:docVar w:name="LW_COVERPAGE_EXISTS" w:val="True"/>
    <w:docVar w:name="LW_COVERPAGE_GUID" w:val="19C9795E-984D-484A-8E90-DDE0165F7322"/>
    <w:docVar w:name="LW_COVERPAGE_TYPE" w:val="1"/>
    <w:docVar w:name="LW_CROSSREFERENCE" w:val="{SWD(2019) 444 final}"/>
    <w:docVar w:name="LW_DocType" w:val="NORMAL"/>
    <w:docVar w:name="LW_EMISSION" w:val="17.12.2019"/>
    <w:docVar w:name="LW_EMISSION_ISODATE" w:val="2019-12-17"/>
    <w:docVar w:name="LW_EMISSION_LOCATION" w:val="BRX"/>
    <w:docVar w:name="LW_EMISSION_PREFIX" w:val="Bryssel den "/>
    <w:docVar w:name="LW_EMISSION_SUFFIX" w:val=" "/>
    <w:docVar w:name="LW_ID_DOCTYPE_NONLW" w:val="CP-009"/>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9) 6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Årlig strategi för hållbar tillväxt&lt;/FMT&gt;_x000d__x000b_"/>
    <w:docVar w:name="LW_TYPE.DOC.CP" w:val="MEDDELANDE FRÅN KOMMISSIONEN"/>
    <w:docVar w:name="LW_TYPE.DOC.CP.USERTEXT" w:val="TILL EUROPAPARLAMENTET, RÅDET, EUROPEISKA CENTRALBANKEN, EUROPEISKA EKONOMISKA OCH SOCIALA KOMMITTÉN, REGIONKOMMITTÉN OCH EUROPEISKA INVESTERINGSBANKE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semiHidden="0" w:uiPriority="0" w:unhideWhenUsed="0" w:qFormat="1"/>
    <w:lsdException w:name="footnote reference"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224"/>
      <w:sz w:val="22"/>
      <w:szCs w:val="22"/>
      <w:lang w:eastAsia="ar-SA"/>
    </w:rPr>
  </w:style>
  <w:style w:type="paragraph" w:styleId="Heading1">
    <w:name w:val="heading 1"/>
    <w:basedOn w:val="Normal"/>
    <w:next w:val="BodyText"/>
    <w:qFormat/>
    <w:pPr>
      <w:keepNext/>
      <w:keepLines/>
      <w:numPr>
        <w:numId w:val="1"/>
      </w:numPr>
      <w:spacing w:before="240" w:after="240"/>
      <w:jc w:val="both"/>
      <w:outlineLvl w:val="0"/>
    </w:pPr>
    <w:rPr>
      <w:rFonts w:ascii="Times New Roman Bold" w:hAnsi="Times New Roman Bold" w:cs="Times New Roman"/>
      <w:b/>
      <w:smallCaps/>
      <w:sz w:val="24"/>
      <w:szCs w:val="24"/>
    </w:rPr>
  </w:style>
  <w:style w:type="paragraph" w:styleId="Heading3">
    <w:name w:val="heading 3"/>
    <w:basedOn w:val="Normal"/>
    <w:next w:val="BodyText"/>
    <w:qFormat/>
    <w:pPr>
      <w:keepNext/>
      <w:numPr>
        <w:ilvl w:val="2"/>
        <w:numId w:val="1"/>
      </w:numPr>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sz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sv-SE"/>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lang w:val="sv-SE"/>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Marker">
    <w:name w:val="Marker"/>
    <w:rPr>
      <w:color w:val="0000FF"/>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FooterCoverPageChar">
    <w:name w:val="Footer Cover Page Char"/>
    <w:rPr>
      <w:rFonts w:ascii="Times New Roman" w:hAnsi="Times New Roman" w:cs="Times New Roman"/>
      <w:sz w:val="24"/>
    </w:rPr>
  </w:style>
  <w:style w:type="character" w:customStyle="1" w:styleId="FooterSensitivityChar">
    <w:name w:val="Footer Sensitivity Char"/>
    <w:rPr>
      <w:rFonts w:ascii="Times New Roman" w:hAnsi="Times New Roman" w:cs="Times New Roman"/>
      <w:b/>
      <w:sz w:val="32"/>
    </w:rPr>
  </w:style>
  <w:style w:type="character" w:customStyle="1" w:styleId="HeaderCoverPageChar">
    <w:name w:val="Header Cover Page Char"/>
    <w:rPr>
      <w:rFonts w:ascii="Times New Roman" w:hAnsi="Times New Roman" w:cs="Times New Roman"/>
      <w:sz w:val="24"/>
    </w:rPr>
  </w:style>
  <w:style w:type="character" w:customStyle="1" w:styleId="HeaderSensitivityChar">
    <w:name w:val="Header Sensitivity Char"/>
    <w:rPr>
      <w:rFonts w:ascii="Times New Roman" w:hAnsi="Times New Roman" w:cs="Times New Roman"/>
      <w:b/>
      <w:sz w:val="32"/>
    </w:rPr>
  </w:style>
  <w:style w:type="character" w:customStyle="1" w:styleId="HeaderSensitivityRightChar">
    <w:name w:val="Header Sensitivity Right Char"/>
    <w:rPr>
      <w:rFonts w:ascii="Times New Roman" w:hAnsi="Times New Roman" w:cs="Times New Roman"/>
      <w:sz w:val="28"/>
    </w:rPr>
  </w:style>
  <w:style w:type="character" w:customStyle="1" w:styleId="Heading1Char">
    <w:name w:val="Heading 1 Char"/>
    <w:rPr>
      <w:rFonts w:ascii="Times New Roman Bold" w:hAnsi="Times New Roman Bold" w:cs="Times New Roman"/>
      <w:b/>
      <w:smallCaps/>
      <w:sz w:val="24"/>
      <w:szCs w:val="24"/>
    </w:rPr>
  </w:style>
  <w:style w:type="character" w:customStyle="1" w:styleId="ListLabel1">
    <w:name w:val="ListLabel 1"/>
    <w:rPr>
      <w:b/>
      <w:sz w:val="26"/>
    </w:rPr>
  </w:style>
  <w:style w:type="character" w:customStyle="1" w:styleId="ListLabel2">
    <w:name w:val="ListLabel 2"/>
    <w:rPr>
      <w:rFonts w:cs="OpenSymbol"/>
    </w:rPr>
  </w:style>
  <w:style w:type="character" w:customStyle="1" w:styleId="ListLabel3">
    <w:name w:val="ListLabel 3"/>
    <w:rPr>
      <w:rFonts w:cs="Courier New"/>
    </w:rPr>
  </w:style>
  <w:style w:type="character" w:customStyle="1" w:styleId="BalloonTextChar">
    <w:name w:val="Balloon Text Char"/>
    <w:rPr>
      <w:rFonts w:ascii="Segoe UI" w:eastAsia="SimSun" w:hAnsi="Segoe UI" w:cs="Segoe UI"/>
      <w:sz w:val="18"/>
      <w:szCs w:val="18"/>
      <w:lang w:val="sv-SE"/>
    </w:rPr>
  </w:style>
  <w:style w:type="character" w:customStyle="1" w:styleId="CommentReference1">
    <w:name w:val="Comment Reference1"/>
    <w:rPr>
      <w:sz w:val="16"/>
      <w:szCs w:val="16"/>
    </w:rPr>
  </w:style>
  <w:style w:type="character" w:customStyle="1" w:styleId="CommentTextChar">
    <w:name w:val="Comment Text Char"/>
    <w:rPr>
      <w:rFonts w:ascii="Calibri" w:eastAsia="SimSun" w:hAnsi="Calibri" w:cs="font224"/>
      <w:lang w:val="sv-SE"/>
    </w:rPr>
  </w:style>
  <w:style w:type="character" w:customStyle="1" w:styleId="CommentSubjectChar">
    <w:name w:val="Comment Subject Char"/>
    <w:rPr>
      <w:rFonts w:ascii="Calibri" w:eastAsia="SimSun" w:hAnsi="Calibri" w:cs="font224"/>
      <w:b/>
      <w:bCs/>
      <w:lang w:val="sv-SE"/>
    </w:rPr>
  </w:style>
  <w:style w:type="character" w:customStyle="1" w:styleId="FootnoteTextChar">
    <w:name w:val="Footnote Text Char"/>
    <w:rPr>
      <w:rFonts w:ascii="Calibri" w:eastAsia="Calibri" w:hAnsi="Calibri" w:cs="Calibri"/>
    </w:rPr>
  </w:style>
  <w:style w:type="character" w:styleId="Hyperlink">
    <w:name w:val="Hyperlink"/>
    <w:rPr>
      <w:color w:val="0563C1"/>
      <w:u w:val="single"/>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ListLabel4">
    <w:name w:val="ListLabel 4"/>
    <w:rPr>
      <w:b/>
      <w:sz w:val="26"/>
    </w:rPr>
  </w:style>
  <w:style w:type="character" w:customStyle="1" w:styleId="ListLabel5">
    <w:name w:val="ListLabel 5"/>
    <w:rPr>
      <w:rFonts w:cs="OpenSymbol"/>
    </w:rPr>
  </w:style>
  <w:style w:type="character" w:customStyle="1" w:styleId="ListLabel6">
    <w:name w:val="ListLabel 6"/>
    <w:rPr>
      <w:rFonts w:cs="Courier New"/>
    </w:rPr>
  </w:style>
  <w:style w:type="character" w:customStyle="1" w:styleId="FootnoteCharacters">
    <w:name w:val="Footnote Characters"/>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Nota"/>
    <w:link w:val="FootnotesymbolCarZchn"/>
    <w:uiPriority w:val="99"/>
    <w:qFormat/>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sz w:val="24"/>
      <w:szCs w:val="24"/>
    </w:rPr>
  </w:style>
  <w:style w:type="paragraph" w:customStyle="1" w:styleId="Pagedecouverture">
    <w:name w:val="Page de couverture"/>
    <w:basedOn w:val="Normal"/>
    <w:pPr>
      <w:spacing w:after="0" w:line="100" w:lineRule="atLeast"/>
      <w:jc w:val="both"/>
    </w:pPr>
    <w:rPr>
      <w:rFonts w:ascii="Times New Roman" w:hAnsi="Times New Roman" w:cs="Times New Roman"/>
      <w:sz w:val="24"/>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FooterCoverPage">
    <w:name w:val="Footer Cover Page"/>
    <w:basedOn w:val="Normal"/>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CoverPage">
    <w:name w:val="Header Cover Page"/>
    <w:basedOn w:val="Normal"/>
    <w:pPr>
      <w:tabs>
        <w:tab w:val="center" w:pos="4535"/>
        <w:tab w:val="right" w:pos="9071"/>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styleId="ListParagraph">
    <w:name w:val="List Paragraph"/>
    <w:basedOn w:val="Normal"/>
    <w:qFormat/>
    <w:pPr>
      <w:spacing w:after="160" w:line="256" w:lineRule="auto"/>
      <w:ind w:left="720"/>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SimSun" w:hAnsi="Calibri" w:cs="font224"/>
      <w:sz w:val="22"/>
      <w:szCs w:val="22"/>
      <w:lang w:eastAsia="ar-SA"/>
    </w:rPr>
  </w:style>
  <w:style w:type="paragraph" w:customStyle="1" w:styleId="FootnoteText1">
    <w:name w:val="Footnote Text1"/>
    <w:basedOn w:val="Normal"/>
    <w:pPr>
      <w:suppressAutoHyphens w:val="0"/>
      <w:spacing w:after="120"/>
      <w:jc w:val="both"/>
    </w:pPr>
    <w:rPr>
      <w:rFonts w:eastAsia="Calibri" w:cs="Calibri"/>
      <w:sz w:val="20"/>
      <w:szCs w:val="20"/>
    </w:rPr>
  </w:style>
  <w:style w:type="paragraph" w:customStyle="1" w:styleId="Text3">
    <w:name w:val="Text 3"/>
    <w:basedOn w:val="Normal"/>
    <w:pPr>
      <w:tabs>
        <w:tab w:val="left" w:pos="2302"/>
      </w:tabs>
      <w:suppressAutoHyphens w:val="0"/>
      <w:spacing w:after="240" w:line="100" w:lineRule="atLeast"/>
      <w:ind w:left="1916"/>
      <w:jc w:val="both"/>
    </w:pPr>
    <w:rPr>
      <w:rFonts w:ascii="Times New Roman" w:eastAsia="Times New Roman" w:hAnsi="Times New Roman" w:cs="Times New Roman"/>
      <w:sz w:val="24"/>
      <w:szCs w:val="20"/>
    </w:rPr>
  </w:style>
  <w:style w:type="paragraph" w:customStyle="1" w:styleId="Text2">
    <w:name w:val="Text 2"/>
    <w:basedOn w:val="Normal"/>
    <w:pPr>
      <w:tabs>
        <w:tab w:val="left" w:pos="2160"/>
      </w:tabs>
      <w:suppressAutoHyphens w:val="0"/>
      <w:spacing w:after="240" w:line="100" w:lineRule="atLeast"/>
      <w:ind w:left="1077"/>
      <w:jc w:val="both"/>
    </w:pPr>
    <w:rPr>
      <w:rFonts w:ascii="Times New Roman" w:eastAsia="Times New Roman" w:hAnsi="Times New Roman" w:cs="Times New Roman"/>
      <w:sz w:val="24"/>
      <w:szCs w:val="20"/>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Carattere,fn"/>
    <w:basedOn w:val="Normal"/>
    <w:uiPriority w:val="99"/>
    <w:qFormat/>
    <w:pPr>
      <w:suppressLineNumbers/>
      <w:ind w:left="283" w:hanging="283"/>
    </w:pPr>
    <w:rPr>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1"/>
    <w:uiPriority w:val="99"/>
    <w:unhideWhenUsed/>
    <w:rPr>
      <w:sz w:val="20"/>
      <w:szCs w:val="20"/>
    </w:rPr>
  </w:style>
  <w:style w:type="character" w:customStyle="1" w:styleId="CommentTextChar1">
    <w:name w:val="Comment Text Char1"/>
    <w:link w:val="CommentText"/>
    <w:uiPriority w:val="99"/>
    <w:rPr>
      <w:rFonts w:ascii="Calibri" w:eastAsia="SimSun" w:hAnsi="Calibri" w:cs="font224"/>
      <w:lang w:eastAsia="ar-SA"/>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uppressAutoHyphens w:val="0"/>
      <w:spacing w:after="160" w:line="240" w:lineRule="exact"/>
      <w:jc w:val="both"/>
    </w:pPr>
    <w:rPr>
      <w:rFonts w:ascii="Times New Roman" w:eastAsia="Times New Roman" w:hAnsi="Times New Roman" w:cs="Times New Roman"/>
      <w:sz w:val="20"/>
      <w:szCs w:val="20"/>
      <w:vertAlign w:val="superscript"/>
      <w:lang w:eastAsia="en-GB"/>
    </w:rPr>
  </w:style>
  <w:style w:type="paragraph" w:styleId="CommentSubject">
    <w:name w:val="annotation subject"/>
    <w:basedOn w:val="CommentText"/>
    <w:next w:val="CommentText"/>
    <w:link w:val="CommentSubjectChar1"/>
    <w:uiPriority w:val="99"/>
    <w:semiHidden/>
    <w:unhideWhenUsed/>
    <w:rPr>
      <w:b/>
      <w:bCs/>
    </w:rPr>
  </w:style>
  <w:style w:type="character" w:customStyle="1" w:styleId="CommentSubjectChar1">
    <w:name w:val="Comment Subject Char1"/>
    <w:link w:val="CommentSubject"/>
    <w:uiPriority w:val="99"/>
    <w:semiHidden/>
    <w:rPr>
      <w:rFonts w:ascii="Calibri" w:eastAsia="SimSun" w:hAnsi="Calibri" w:cs="font224"/>
      <w:b/>
      <w:bCs/>
      <w:lang w:eastAsia="ar-SA"/>
    </w:rPr>
  </w:style>
  <w:style w:type="paragraph" w:styleId="NormalWeb">
    <w:name w:val="Normal (Web)"/>
    <w:basedOn w:val="Normal"/>
    <w:uiPriority w:val="99"/>
    <w:unhideWhenUsed/>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1723">
      <w:bodyDiv w:val="1"/>
      <w:marLeft w:val="0"/>
      <w:marRight w:val="0"/>
      <w:marTop w:val="0"/>
      <w:marBottom w:val="0"/>
      <w:divBdr>
        <w:top w:val="none" w:sz="0" w:space="0" w:color="auto"/>
        <w:left w:val="none" w:sz="0" w:space="0" w:color="auto"/>
        <w:bottom w:val="none" w:sz="0" w:space="0" w:color="auto"/>
        <w:right w:val="none" w:sz="0" w:space="0" w:color="auto"/>
      </w:divBdr>
    </w:div>
    <w:div w:id="473180486">
      <w:bodyDiv w:val="1"/>
      <w:marLeft w:val="0"/>
      <w:marRight w:val="0"/>
      <w:marTop w:val="0"/>
      <w:marBottom w:val="0"/>
      <w:divBdr>
        <w:top w:val="none" w:sz="0" w:space="0" w:color="auto"/>
        <w:left w:val="none" w:sz="0" w:space="0" w:color="auto"/>
        <w:bottom w:val="none" w:sz="0" w:space="0" w:color="auto"/>
        <w:right w:val="none" w:sz="0" w:space="0" w:color="auto"/>
      </w:divBdr>
    </w:div>
    <w:div w:id="733624383">
      <w:bodyDiv w:val="1"/>
      <w:marLeft w:val="0"/>
      <w:marRight w:val="0"/>
      <w:marTop w:val="0"/>
      <w:marBottom w:val="0"/>
      <w:divBdr>
        <w:top w:val="none" w:sz="0" w:space="0" w:color="auto"/>
        <w:left w:val="none" w:sz="0" w:space="0" w:color="auto"/>
        <w:bottom w:val="none" w:sz="0" w:space="0" w:color="auto"/>
        <w:right w:val="none" w:sz="0" w:space="0" w:color="auto"/>
      </w:divBdr>
    </w:div>
    <w:div w:id="9696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sites/info/files/economy-finance/ip07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FBBACC8-C17D-469B-BE4F-5DA0BF4A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16</Pages>
  <Words>6427</Words>
  <Characters>40111</Characters>
  <Application>Microsoft Office Word</Application>
  <DocSecurity>0</DocSecurity>
  <Lines>589</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DIGIT/C6</cp:lastModifiedBy>
  <cp:revision>30</cp:revision>
  <cp:lastPrinted>2019-12-11T17:53:00Z</cp:lastPrinted>
  <dcterms:created xsi:type="dcterms:W3CDTF">2019-12-16T16:11:00Z</dcterms:created>
  <dcterms:modified xsi:type="dcterms:W3CDTF">2019-12-20T14:14:00Z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CP-009</vt:lpwstr>
  </property>
  <property fmtid="{D5CDD505-2E9C-101B-9397-08002B2CF9AE}" pid="14" name="Last edited using">
    <vt:lpwstr>LW 7.0, Build 20190717</vt:lpwstr>
  </property>
  <property fmtid="{D5CDD505-2E9C-101B-9397-08002B2CF9AE}" pid="15" name="Created using">
    <vt:lpwstr>LW 7.0, Build 20190717</vt:lpwstr>
  </property>
</Properties>
</file>