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1B" w:rsidRDefault="00BD26F3" w:rsidP="00BD26F3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AE476DED-BFEF-4006-8E14-059290765557" style="width:450.75pt;height:338.25pt">
            <v:imagedata r:id="rId10" o:title=""/>
          </v:shape>
        </w:pict>
      </w:r>
    </w:p>
    <w:p w:rsidR="00B95D1B" w:rsidRDefault="00B95D1B">
      <w:pPr>
        <w:rPr>
          <w:noProof/>
        </w:rPr>
        <w:sectPr w:rsidR="00B95D1B" w:rsidSect="00BD26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B95D1B" w:rsidRDefault="00BD26F3">
      <w:pPr>
        <w:pStyle w:val="Statut"/>
        <w:rPr>
          <w:noProof/>
        </w:rPr>
      </w:pPr>
      <w:r>
        <w:rPr>
          <w:noProof/>
        </w:rPr>
        <w:lastRenderedPageBreak/>
        <w:t>Zalecenie</w:t>
      </w:r>
    </w:p>
    <w:p w:rsidR="00B95D1B" w:rsidRDefault="00BD26F3">
      <w:pPr>
        <w:pStyle w:val="Typedudocument"/>
        <w:rPr>
          <w:noProof/>
        </w:rPr>
      </w:pPr>
      <w:r>
        <w:rPr>
          <w:noProof/>
        </w:rPr>
        <w:t>ZALECENIE RADY</w:t>
      </w:r>
    </w:p>
    <w:p w:rsidR="00B95D1B" w:rsidRDefault="00BD26F3">
      <w:pPr>
        <w:pStyle w:val="Titreobjet"/>
        <w:rPr>
          <w:noProof/>
        </w:rPr>
      </w:pPr>
      <w:r>
        <w:rPr>
          <w:noProof/>
        </w:rPr>
        <w:t>w sprawie polityki gospodarczej w strefie euro</w:t>
      </w:r>
    </w:p>
    <w:p w:rsidR="00B95D1B" w:rsidRDefault="00BD26F3">
      <w:pPr>
        <w:pStyle w:val="Institutionquiagit"/>
        <w:rPr>
          <w:noProof/>
        </w:rPr>
      </w:pPr>
      <w:r>
        <w:rPr>
          <w:noProof/>
        </w:rPr>
        <w:t>RADA UNII EUROPEJSKIEJ,</w:t>
      </w:r>
    </w:p>
    <w:p w:rsidR="00B95D1B" w:rsidRDefault="00BD26F3"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 xml:space="preserve">uwzględniając Traktat o funkcjonowaniu Unii </w:t>
      </w:r>
      <w:r>
        <w:rPr>
          <w:noProof/>
        </w:rPr>
        <w:t>Europejskiej, w szczególności jego art. 136, w związku z art. 121 ust. 2,</w:t>
      </w:r>
    </w:p>
    <w:p w:rsidR="00B95D1B" w:rsidRDefault="00BD26F3"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uwzględniając rozporządzenie Rady (WE) nr 1466/97 z dnia 7 lipca 1997 r. w sprawie wzmocnienia nadzoru pozycji budżetowych oraz nadzoru i koordynacji polityk gospodarczych</w:t>
      </w:r>
      <w:r>
        <w:rPr>
          <w:rStyle w:val="FootnoteReference"/>
          <w:noProof/>
        </w:rPr>
        <w:footnoteReference w:id="2"/>
      </w:r>
      <w:r>
        <w:rPr>
          <w:noProof/>
        </w:rPr>
        <w:t>, w szczeg</w:t>
      </w:r>
      <w:r>
        <w:rPr>
          <w:noProof/>
        </w:rPr>
        <w:t>ólności jego art. 5 ust. 2,</w:t>
      </w:r>
    </w:p>
    <w:p w:rsidR="00B95D1B" w:rsidRDefault="00BD26F3"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uwzględniając rozporządzenie Parlamentu Europejskiego i Rady (UE) nr 1176/2011 z dnia 16 listopada 2011 r. w sprawie zapobiegania zakłóceniom równowagi makroekonomicznej i ich korygowania</w:t>
      </w:r>
      <w:r>
        <w:rPr>
          <w:rStyle w:val="FootnoteReference"/>
          <w:noProof/>
        </w:rPr>
        <w:footnoteReference w:id="3"/>
      </w:r>
      <w:r>
        <w:rPr>
          <w:noProof/>
        </w:rPr>
        <w:t>, w szczególności jego art. 6 ust. 1,</w:t>
      </w:r>
    </w:p>
    <w:p w:rsidR="00B95D1B" w:rsidRDefault="00BD26F3"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uw</w:t>
      </w:r>
      <w:r>
        <w:rPr>
          <w:noProof/>
        </w:rPr>
        <w:t>zględniając zalecenie Komisji Europejskiej,</w:t>
      </w:r>
    </w:p>
    <w:p w:rsidR="00B95D1B" w:rsidRDefault="00BD26F3"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uwzględniając konkluzje Rady Europejskiej,</w:t>
      </w:r>
    </w:p>
    <w:p w:rsidR="00B95D1B" w:rsidRDefault="00BD26F3"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uwzględniając opinię Komitetu Ekonomiczno-Finansowego,</w:t>
      </w:r>
    </w:p>
    <w:p w:rsidR="00B95D1B" w:rsidRDefault="00BD26F3">
      <w:pPr>
        <w:rPr>
          <w:noProof/>
        </w:rPr>
      </w:pPr>
      <w:r>
        <w:rPr>
          <w:noProof/>
        </w:rPr>
        <w:t>uwzględniając opinię Komitetu Polityki Gospodarczej,</w:t>
      </w:r>
    </w:p>
    <w:p w:rsidR="00B95D1B" w:rsidRDefault="00BD26F3">
      <w:pPr>
        <w:rPr>
          <w:noProof/>
        </w:rPr>
      </w:pPr>
      <w:r>
        <w:rPr>
          <w:noProof/>
        </w:rPr>
        <w:t xml:space="preserve">a także mając na uwadze, co następuje: 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Strefa euro </w:t>
      </w:r>
      <w:r>
        <w:rPr>
          <w:noProof/>
        </w:rPr>
        <w:t>kontynuuje wprawdzie ekspansję, towarzyszy temu jednak ryzyko pogorszenia perspektyw oraz niepewna przyszłość. Ponadto istnieje ryzyko dalszego przedłużenia się okresu powolnego wzrostu gospodarczego i inflacji, powodowanych niskim poziomem produkcji i sta</w:t>
      </w:r>
      <w:r>
        <w:rPr>
          <w:noProof/>
        </w:rPr>
        <w:t>rzeniem się społeczeństwa. Od 2017 r. luka produktowa jest wprawdzie dodatnia i w 2018 r. wyniosła 0,7 % potencjalnego PKB, przewiduje się jednak, że wzrost potencjalny pozostanie poniżej poziomów sprzed kryzysu</w:t>
      </w:r>
      <w:r>
        <w:rPr>
          <w:rStyle w:val="FootnoteReference"/>
          <w:noProof/>
        </w:rPr>
        <w:footnoteReference w:id="4"/>
      </w:r>
      <w:r>
        <w:rPr>
          <w:noProof/>
        </w:rPr>
        <w:t>. W 2018 r. inflacja bazowa mieściła się w p</w:t>
      </w:r>
      <w:r>
        <w:rPr>
          <w:noProof/>
        </w:rPr>
        <w:t>rzedziale 1–1½ % i według prognoz w latach 2019, 2020 i 2021 utrzyma się na poziomie 1½ %. Wskaźniki rynku pracy cały czas się poprawiają, choć następuje to wolniej, prognozuje się też dalsze spowolnienie tempa wzrostu zatrudnienia, przy czym nadal utrzymu</w:t>
      </w:r>
      <w:r>
        <w:rPr>
          <w:noProof/>
        </w:rPr>
        <w:t>ją się wyzwania w zakresie jakości miejsc pracy. Wzrost płac nominalnych umocnił się – osiągnąwszy około 2¼ % w 2018 r. po okresie kilku lat, kiedy utrzymywał się na poziomie poniżej 2,0 % – i przewiduje się, że w 2019 r. osiągnie 2½ % a w latach 2020–2021</w:t>
      </w:r>
      <w:r>
        <w:rPr>
          <w:noProof/>
        </w:rPr>
        <w:t xml:space="preserve"> powróci do poziomu 2¼ %. Pomimo korzystnych warunków na rynku pracy wzrost płac realnych następuje bardzo powoli i utrzymuje się na niskim poziomie, poniżej 1 % w 2018 r. i 2019 r., a prognozuje się, że w latach 2020 i 2021 wyniesie on odpowiednio 0,7 % i</w:t>
      </w:r>
      <w:r>
        <w:rPr>
          <w:noProof/>
        </w:rPr>
        <w:t xml:space="preserve"> 0,8 %. Prognozuje się, że nadwyżka na rachunku obrotów bieżących strefy euro będzie się zmniejszać. Państwa członkowskie wykazujące deficyt zmniejszyły lub odwróciły swoje deficyty obrotów bieżących, </w:t>
      </w:r>
      <w:r>
        <w:rPr>
          <w:noProof/>
        </w:rPr>
        <w:lastRenderedPageBreak/>
        <w:t>nawet jeśli nadal odnotowują rekordowo wysokie ujemne M</w:t>
      </w:r>
      <w:r>
        <w:rPr>
          <w:noProof/>
        </w:rPr>
        <w:t>PI netto</w:t>
      </w:r>
      <w:r>
        <w:rPr>
          <w:rStyle w:val="FootnoteReference"/>
          <w:noProof/>
        </w:rPr>
        <w:footnoteReference w:id="5"/>
      </w:r>
      <w:r>
        <w:rPr>
          <w:noProof/>
        </w:rPr>
        <w:t>. Jednocześnie niektóre państwa członkowskie nadal utrzymują wysokie nadwyżki na rachunku obrotów bieżących i w związku z tym zwiększają swoją międzynarodową pozycję inwestycyjną netto (MPI netto). Słabnący popyt zewnętrzny wpływa na dynamikę sald</w:t>
      </w:r>
      <w:r>
        <w:rPr>
          <w:noProof/>
        </w:rPr>
        <w:t>a obrotów bieżących w strefie euro, a w szczególności w zorientowanych na eksport państwach członkowskich z wysoką nadwyżką na rachunku obrotów bieżących, które to państwa są w wysokim stopniu zależne od zagranicznego popytu eksportowego.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(2)</w:t>
      </w:r>
      <w:r>
        <w:rPr>
          <w:noProof/>
        </w:rPr>
        <w:tab/>
        <w:t>Zwiększenie p</w:t>
      </w:r>
      <w:r>
        <w:rPr>
          <w:noProof/>
        </w:rPr>
        <w:t>otencjału wzrostu gospodarczego przy jednoczesnym zapewnieniu, że będzie on zrównoważony pod względem środowiskowym i społecznym, jak również wspieranie realnej konwergencji państw członkowskich strefy euro wymaga reform strukturalnych pozwalających wzmocn</w:t>
      </w:r>
      <w:r>
        <w:rPr>
          <w:noProof/>
        </w:rPr>
        <w:t>ić zrównoważony wzrost i zwiększyć inwestycje w aktywa trwałe i wartości niematerialne i prawne w celu poprawy wydajności. Byłoby to szczególnie pomocne w przypadku tych państw członkowskich, których potencjał wzrostu jest wyraźnie niższy niż średnia w str</w:t>
      </w:r>
      <w:r>
        <w:rPr>
          <w:noProof/>
        </w:rPr>
        <w:t>efie euro. Jest również konieczne, aby zapobiec sytuacji, w której gospodarka strefy euro znalazłaby się w długim okresie niskiego wzrostu potencjalnego, niskiej wydajności, niskiej inflacji cenowej, powolnego wzrostu wynagrodzeń oraz rosnących nierówności</w:t>
      </w:r>
      <w:r>
        <w:rPr>
          <w:noProof/>
        </w:rPr>
        <w:t xml:space="preserve">. Reformy i inwestycje mają niezmiennie kluczowe znaczenie dla przywrócenia dynamiki wzrostu w strefie euro, przezwyciężenia nasilonych presji średnio- i długoterminowych związanych m.in. z pogarszającą się sytuacją demograficzną oraz ułatwienia przejścia </w:t>
      </w:r>
      <w:r>
        <w:rPr>
          <w:noProof/>
        </w:rPr>
        <w:t xml:space="preserve">na gospodarkę zrównoważoną, co pomogłoby strefie euro i jej państwom członkowskim osiągnąć wyznaczone przez Organizację Narodów Zjednoczonych cele zrównoważonego rozwoju. 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(3)</w:t>
      </w:r>
      <w:r>
        <w:rPr>
          <w:noProof/>
        </w:rPr>
        <w:tab/>
        <w:t>Zaczynają być widoczne gospodarcze skutki zmiany klimatu, które stanowią jedno z</w:t>
      </w:r>
      <w:r>
        <w:rPr>
          <w:noProof/>
        </w:rPr>
        <w:t> największych ryzyk systemowych, z jakimi musi się zmierzyć światowa gospodarka, systemy finansowe i społeczeństwa. Ryzyka dla światowej gospodarki związane ze zmianą klimatu i – szerzej – degradacją środowiska są coraz bardziej powszechne i będą miały wpł</w:t>
      </w:r>
      <w:r>
        <w:rPr>
          <w:noProof/>
        </w:rPr>
        <w:t>yw na grupy społeczne znajdujące się w najtrudniejszej sytuacji. Niepodjęcie właściwych środków w tym zakresie może mieć negatywne konsekwencje dla odporności naszych gospodarek, inkluzywności oraz długofalowego potencjału wzrostu gospodarczego. W tej sytu</w:t>
      </w:r>
      <w:r>
        <w:rPr>
          <w:noProof/>
        </w:rPr>
        <w:t xml:space="preserve">acji kluczowe znaczenie będą miały inwestycje oraz zapewnienie odpowiednich warunków regulacyjnych i finansowych umożliwiających przejście na gospodarkę zrównoważoną. Przy właściwym podejściu wyzwania środowiskowe i klimatyczne mogą też stanowić szansę na </w:t>
      </w:r>
      <w:r>
        <w:rPr>
          <w:noProof/>
        </w:rPr>
        <w:t>ożywienie europejskiej gospodarki i ukierunkowanie jej na ścieżkę zrównoważonego rozwoju. Z tą myślą Komisja przedstawiła Europejski Zielony Ład jako strategię Europy na rzecz wzrostu, która to strategia będzie obejmować pierwsze europejskie prawo o klimac</w:t>
      </w:r>
      <w:r>
        <w:rPr>
          <w:noProof/>
        </w:rPr>
        <w:t>ie, aby uwzględnić w prawodawstwie cel w zakresie neutralności klimatycznej do roku 2050. Jednocześnie zielona transformacja będzie musiała uwzględniać skutki dla różnych części społeczeństwa. Inwestycjom mającym ułatwić przejście na gospodarkę zrównoważon</w:t>
      </w:r>
      <w:r>
        <w:rPr>
          <w:noProof/>
        </w:rPr>
        <w:t>ą będą musiały towarzyszyć inwestycje w umiejętności oraz pomoc w przekwalifikowaniu zawodowym, tak aby wszyscy obywatele mogli czerpać korzyści płynące ze zmian technologicznych, w szczególności w sektorach i regionach, które pozostają w tyle pod względem</w:t>
      </w:r>
      <w:r>
        <w:rPr>
          <w:noProof/>
        </w:rPr>
        <w:t xml:space="preserve"> zielonej i cyfrowej transformacji. 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lastRenderedPageBreak/>
        <w:t>(4)</w:t>
      </w:r>
      <w:r>
        <w:rPr>
          <w:noProof/>
        </w:rPr>
        <w:tab/>
        <w:t>Zmobilizowanie funduszy publicznych i prywatnych na potrzeby inwestycji w zieloną i cyfrową transformację może pomóc w utrzymaniu wzrostu w perspektywie krótkoterminowej i w zmierzeniu się z długofalowymi wyzwaniami</w:t>
      </w:r>
      <w:r>
        <w:rPr>
          <w:noProof/>
        </w:rPr>
        <w:t>, przed jakimi stoją nasze gospodarki. Cyfrowa rewolucja może przyczynić się do poprawy wydajności, wzrostu gospodarczego i tworzenia miejsc pracy, może też przysporzyć problemów, np. w przypadku pracowników o niższych kwalifikacjach, którym brakuje umieję</w:t>
      </w:r>
      <w:r>
        <w:rPr>
          <w:noProof/>
        </w:rPr>
        <w:t>tności do pracy na stanowiskach, gdzie wykorzystuje się nowe technologie. Zróżnicowane tempo przechodzenia na gospodarkę cyfrową poszczególnych państw członkowskich strefy euro może też stanowić znaczące ryzyko dla konwergencji i stabilności makroekonomicz</w:t>
      </w:r>
      <w:r>
        <w:rPr>
          <w:noProof/>
        </w:rPr>
        <w:t>nej. Sytuację mogą pogorszyć efekty aglomeracji, które często potęgują korzyści odnoszone przez duże miasta oraz sprzyjają dynamice „zwycięzca bierze wszystko”, dającej się często obserwować w obszarze technologii cyfrowych, co może pogłębiać nierówności i</w:t>
      </w:r>
      <w:r>
        <w:rPr>
          <w:noProof/>
        </w:rPr>
        <w:t xml:space="preserve"> negatywnie wpływać na konwergencję. Inwestycje powinny być ukierunkowane na stymulowanie nowych badań i innowacji, a także na upowszechnianie nowatorskich rozwiązań w całej gospodarce. 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(5)</w:t>
      </w:r>
      <w:r>
        <w:rPr>
          <w:noProof/>
        </w:rPr>
        <w:tab/>
        <w:t>Bardziej skoordynowana strategia inwestycyjna w połączeniu z pogł</w:t>
      </w:r>
      <w:r>
        <w:rPr>
          <w:noProof/>
        </w:rPr>
        <w:t xml:space="preserve">ębionymi reformami na poziomie strefy euro będzie miała zasadnicze znaczenie dla wspierania wzrostu i sprostania długoterminowym wyzwaniom takim jak transformacja klimatyczna i technologiczna. Instrument budżetowy na rzecz konwergencji i konkurencyjności, </w:t>
      </w:r>
      <w:r>
        <w:rPr>
          <w:noProof/>
        </w:rPr>
        <w:t>który będzie częścią Programu wspierania reform, zapewni wsparcie finansowe państwom członkowskim strefy euro w realizacji pakietów reform i inwestycji. Podobnie InvestEU, z którego środki również będą przeznaczane na plan inwestycyjny „Zrównoważona Europa</w:t>
      </w:r>
      <w:r>
        <w:rPr>
          <w:noProof/>
        </w:rPr>
        <w:t>”, ma na celu uruchomienie co najmniej 650 mld EUR na dodatkowe inwestycje mające wspierać innowacje i tworzenie miejsc pracy w UE, m.in. za pomocą finansowania zrównoważonej infrastruktury. Fundusze polityki spójności, które odgrywają ważną rolę we wspier</w:t>
      </w:r>
      <w:r>
        <w:rPr>
          <w:noProof/>
        </w:rPr>
        <w:t>aniu europejskich regionów i obszarów wiejskich, odgrywają również rolę w transformacji klimatycznej i technologicznej, wspierając zrównoważony rozwój. Europejski Bank Inwestycyjny już teraz przeznacza 25 % wszystkich swoich środków finansowych na inwestyc</w:t>
      </w:r>
      <w:r>
        <w:rPr>
          <w:noProof/>
        </w:rPr>
        <w:t>je w dziedzinie klimatu i zapowiedział, że zamierza podwoić ten odsetek. By osiągnąć cele Unii w zakresie zrównoważonego rozwoju, konieczne będzie przeprowadzenie na poziomie krajowym i niższych poziomach projektów inwestycyjnych w zakresie dostosowania do</w:t>
      </w:r>
      <w:r>
        <w:rPr>
          <w:noProof/>
        </w:rPr>
        <w:t xml:space="preserve"> zmiany klimatu i łagodzenia jej skutków, transformacji energetycznej, dekarbonizacji oraz gospodarki o obiegu zamkniętym. Inwestycje w sektory sieciowe i infrastrukturę sieciową mogą poprawić konkurencyjność strefy euro i wspierać przejście na bardziej zr</w:t>
      </w:r>
      <w:r>
        <w:rPr>
          <w:noProof/>
        </w:rPr>
        <w:t xml:space="preserve">ównoważone formy transportu. Natomiast inwestycje w aktywa niematerialne i prawne, takie jak badania i rozwój oraz umiejętności, będą miały kluczowe znacznie dla przygotowania rynku pracy strefy euro na nadchodzące wyzwania. 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(6)</w:t>
      </w:r>
      <w:r>
        <w:rPr>
          <w:noProof/>
        </w:rPr>
        <w:tab/>
        <w:t>Skutki ekspansji gospodarc</w:t>
      </w:r>
      <w:r>
        <w:rPr>
          <w:noProof/>
        </w:rPr>
        <w:t>zej w ostatnich latach dały się odczuć w nierównym stopniu w poszczególnych państwach członkowskich, regionach i krajach. Pomimo zwyżki w ostatnim czasie, w kilku państwach członkowskich strefy euro poziomy dochodu do dyspozycji są niższe niż przed kryzyse</w:t>
      </w:r>
      <w:r>
        <w:rPr>
          <w:noProof/>
        </w:rPr>
        <w:t>m. W większości państw członkowskich spada liczba osób zagrożonych ubóstwem i wykluczeniem społecznym, która jest obecnie o 5 mln niższa niż w szczytowym momencie, tj. w 2012 r.; w strefie euro jest ona jednak nadal powyżej poziomów z 2008 r. Po okresie ch</w:t>
      </w:r>
      <w:r>
        <w:rPr>
          <w:noProof/>
        </w:rPr>
        <w:t xml:space="preserve">arakteryzującym się większymi rozbieżnościami niektóre państwa członkowskie zbliżyły się w ciągu ostatnich kilku lat do państw o najwyższym PKB na mieszkańca. W ciągu ostatniego dziesięciolecia udział dochodów najbardziej zamożnych powoli jednak wzrastał, </w:t>
      </w:r>
      <w:r>
        <w:rPr>
          <w:noProof/>
        </w:rPr>
        <w:t>a między państwami członkowskimi nadal utrzymują się duże różnice. Aby wspierać pozytywną konwergencję w poszczególnych państwach członkowskich oraz między nimi, należałoby promować polityki mające na celu zwiększenie zarówno wydajności, jak i równości, zg</w:t>
      </w:r>
      <w:r>
        <w:rPr>
          <w:noProof/>
        </w:rPr>
        <w:t>odnie z celami zrównoważonego rozwoju. Takie polityki pozwalają osiągnąć lepsze wyniki makroekonomiczne i bardziej wyrównane korzyści dla całego społeczeństwa, co poprawia również spójność w strefie euro.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(7)</w:t>
      </w:r>
      <w:r>
        <w:rPr>
          <w:noProof/>
        </w:rPr>
        <w:tab/>
        <w:t>Spójność i równowaga kombinacji polityk makroek</w:t>
      </w:r>
      <w:r>
        <w:rPr>
          <w:noProof/>
        </w:rPr>
        <w:t>onomicznych w strefie euro, w tym polityki pieniężnej, budżetowej i strukturalnej, mają zasadnicze znaczenie dla zapewnienia rzetelnego, sprzyjającego włączeniu i zrównoważonego wzrostu gospodarczego oraz dla zapewnienia skutecznej reakcji na utrzymującą s</w:t>
      </w:r>
      <w:r>
        <w:rPr>
          <w:noProof/>
        </w:rPr>
        <w:t>ię niską inflację, pogarszające się perspektywy gospodarcze oraz ryzyka dla długoterminowego wzrostu. Europejski Bank Centralny prowadzi obecnie akomodacyjną politykę pieniężną, aby zbliżyć poziom inflacji do średniookresowego celu inflacyjnego, sprzyjając</w:t>
      </w:r>
      <w:r>
        <w:rPr>
          <w:noProof/>
        </w:rPr>
        <w:t xml:space="preserve"> jednocześnie wzrostowi gospodarczemu i tworzeniu miejsc pracy. Polityka budżetowa musi stanowić uzupełnienie polityki pieniężnej, podobnie jak reformy strukturalne w różnych sektorach, w tym reformy konieczne do ukończenia budowy unii gospodarczej i walut</w:t>
      </w:r>
      <w:r>
        <w:rPr>
          <w:noProof/>
        </w:rPr>
        <w:t>owej (UGW).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(8)</w:t>
      </w:r>
      <w:r>
        <w:rPr>
          <w:noProof/>
        </w:rPr>
        <w:tab/>
        <w:t>Koordynacja krajowych polityk budżetowych przy pełnym poszanowaniu założeń paktu stabilności i wzrostu oraz uwzględnieniu dostępnej przestrzeni fiskalnej i skutków ubocznych w innych krajach sprzyja należytemu funkcjonowaniu UGW. Oczekuje s</w:t>
      </w:r>
      <w:r>
        <w:rPr>
          <w:noProof/>
        </w:rPr>
        <w:t>ię, że w latach 2020 i 2021 kurs polityki budżetowej w strefie euro będzie zasadniczo neutralny lub nieco ekspansywny. Jednocześnie krajowe polityki budżetowe pozostają w niewystarczającym stopniu zróżnicowanie w świetle dostępnej przestrzeni fiskalnej w p</w:t>
      </w:r>
      <w:r>
        <w:rPr>
          <w:noProof/>
        </w:rPr>
        <w:t>aństwach członkowskich. Wprowadzenie rozważnej polityki budżetowej przez państwa członkowskie o wysokim poziomie długu publicznego przyczyniłoby się do zmniejszenia zadłużenia, ograniczyłoby podatność na wstrząsy i umożliwiłoby funkcjonowanie automatycznyc</w:t>
      </w:r>
      <w:r>
        <w:rPr>
          <w:noProof/>
        </w:rPr>
        <w:t xml:space="preserve">h stabilizatorów w przypadku pogorszenia koniunktury gospodarczej. Z drugiej strony dalsze zwiększanie inwestycji i innych wydatków produktywnych w państwach członkowskich znajdujących się w korzystnej sytuacji budżetowej wspierałoby wzrost w perspektywie </w:t>
      </w:r>
      <w:r>
        <w:rPr>
          <w:noProof/>
        </w:rPr>
        <w:t xml:space="preserve">krótko- i średnioterminowej, a jednoczenie pomogłoby przywrócić równowagę w gospodarce strefy euro. W przypadku pogorszenia perspektyw gospodarczych utrzymanie sprzyjającego wzrostowi kursu polityki budżetowej na poziomie zagregowanym, który skupia się na </w:t>
      </w:r>
      <w:r>
        <w:rPr>
          <w:noProof/>
        </w:rPr>
        <w:t>wydatkach produktowych, przy jednoczesnej realizacji polityk z pełnym poszanowaniem paktu stabilności i wzrostu, uwzględnieniem zaleceń dla poszczególnych krajów oraz założeniem unikania procykliczności w możliwie największym stopniu, jest ważne dla podtrz</w:t>
      </w:r>
      <w:r>
        <w:rPr>
          <w:noProof/>
        </w:rPr>
        <w:t xml:space="preserve">ymania wzrostu gospodarczego w perspektywie krótkoterminowej. 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(9)</w:t>
      </w:r>
      <w:r>
        <w:rPr>
          <w:noProof/>
        </w:rPr>
        <w:tab/>
        <w:t>Fiskalne reformy strukturalne mają nadal zasadnicze znaczenie dla poprawy stabilności finansów publicznych, wzmocnienia potencjału wzrostu gospodarczego i zapewnienia stosowania skutecznych</w:t>
      </w:r>
      <w:r>
        <w:rPr>
          <w:noProof/>
        </w:rPr>
        <w:t xml:space="preserve"> polityk budżetowych w przypadku pogorszenia koniunktury gospodarczej. Dobrze funkcjonujące krajowe ramy budżetowe, regularne i rzetelne przeglądy wydatków oraz wydajne i przejrzyste udzielanie zamówień publicznych mogą zwiększyć skuteczność i wydajność wy</w:t>
      </w:r>
      <w:r>
        <w:rPr>
          <w:noProof/>
        </w:rPr>
        <w:t xml:space="preserve">datków publicznych oraz poprawić wiarygodność i jakość polityk budżetowych. Poprawa struktury budżetów krajowych, zarówno po stronie dochodów, jak i wydatków, w tym przesunięcie zasobów i przeznaczenie ich na inwestycje dzięki przyjęciu strategii na rzecz </w:t>
      </w:r>
      <w:r>
        <w:rPr>
          <w:noProof/>
        </w:rPr>
        <w:t>inwestycji publicznych, zwiększyłaby wpływ budżetów publicznych na wzrost, zaowocowałaby podniesieniem wydajności oraz pozwoliła stawić czoła pilnym długoterminowym wyzwaniom dla gospodarki zielonej i gospodarki cyfrowej. Uproszczenie i modernizacja system</w:t>
      </w:r>
      <w:r>
        <w:rPr>
          <w:noProof/>
        </w:rPr>
        <w:t xml:space="preserve">ów podatkowych oraz eliminowanie oszustw podatkowych, uchylania się od opodatkowania i unikania opodatkowania za pomocą środków przeciwdziałających agresywnemu planowaniu podatkowemu są niezbędne do tego, aby systemy podatkowe stały się bardziej efektywne </w:t>
      </w:r>
      <w:r>
        <w:rPr>
          <w:noProof/>
        </w:rPr>
        <w:t>i sprawiedliwe. Łatwość, z jaką można przemieszczać mobilne zasoby w strefie euro, zwiększa zakres konkurencji podatkowej. Koordynacja między państwami członkowskim jest zatem konieczna, aby zająć się problemem przenoszenia zysków, nadmiernej konkurencji p</w:t>
      </w:r>
      <w:r>
        <w:rPr>
          <w:noProof/>
        </w:rPr>
        <w:t xml:space="preserve">odatkowej oraz ogólnej tendencji do równania w dół w przypadku opodatkowania osób prawnych. Porozumienie w sprawie wspólnej skonsolidowanej podstawy opodatkowania osób prawnych oraz porozumienie o przeglądzie podziału zysków między poszczególne kraje oraz </w:t>
      </w:r>
      <w:r>
        <w:rPr>
          <w:noProof/>
        </w:rPr>
        <w:t>mające zapewnić minimalne skuteczne opodatkowanie będą miały zasadnicze znaczenie w tym zakresie. Obciążenie podatkowe w strefie euro jest stosunkowo wysokie i skierowane na rynek pracy, natomiast podatki od nieruchomości i na ochronę środowiska stanowią b</w:t>
      </w:r>
      <w:r>
        <w:rPr>
          <w:noProof/>
        </w:rPr>
        <w:t>ardzo niewielką część dochodów podatkowych. Te dwa ostanie mogą jednak nieść mniej szkodliwych skutków dla wzrostu oraz podaży pracy i popytu na nią, mogą też wspierać zrównoważony wzrost gospodarczy, ponieważ sprzyjają bardziej ekologicznym zachowaniom ko</w:t>
      </w:r>
      <w:r>
        <w:rPr>
          <w:noProof/>
        </w:rPr>
        <w:t>nsumentów i producentów. Podatki będą musiały w większym stopniu uwzględniać kwestie klimatyczne oraz w bardziej konsekwentny sposób przeciwdziałać emisji gazów cieplarnianych i uciecze emisji. Aby zatem ułatwić przechodzenie na zieloną gospodarkę, Komisja</w:t>
      </w:r>
      <w:r>
        <w:rPr>
          <w:noProof/>
        </w:rPr>
        <w:t xml:space="preserve"> będzie promować koncepcję polityk budżetowych prowadzącą do zobowiązań w zakresie środowiska oraz zaproponuje przegląd dyrektywy w sprawie opodatkowania energii i mechanizm dostosowywania cen na granicach z uwzględnieniem emisji CO2 mający przeciwdziałać </w:t>
      </w:r>
      <w:r>
        <w:rPr>
          <w:noProof/>
        </w:rPr>
        <w:t xml:space="preserve">ucieczce emisji gazów cieplarnianych i wyrównywać warunki działania w porównaniu z przedsiębiorstwami z państw trzecich. 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(10)</w:t>
      </w:r>
      <w:r>
        <w:rPr>
          <w:noProof/>
        </w:rPr>
        <w:tab/>
        <w:t>Reformy strukturalne i instytucjonalne, które zwiększają konkurencyjność na rynkach produktowych, wspierają efektywne gospodarowa</w:t>
      </w:r>
      <w:r>
        <w:rPr>
          <w:noProof/>
        </w:rPr>
        <w:t xml:space="preserve">nie zasobami i prowadzą do poprawy otoczenia działalności gospodarczej i jakości instytucji, </w:t>
      </w:r>
      <w:r>
        <w:rPr>
          <w:noProof/>
          <w:color w:val="1F497D"/>
        </w:rPr>
        <w:t>w</w:t>
      </w:r>
      <w:r>
        <w:rPr>
          <w:noProof/>
        </w:rPr>
        <w:t> </w:t>
      </w:r>
      <w:r>
        <w:rPr>
          <w:noProof/>
          <w:color w:val="1F497D"/>
        </w:rPr>
        <w:t>tym skuteczności systemu wymiaru sprawiedliwości</w:t>
      </w:r>
      <w:r>
        <w:rPr>
          <w:noProof/>
        </w:rPr>
        <w:t>, są ważne dla odporności państw członkowskich strefy euro. Odporne struktury gospodarcze chronią gospodarki prze</w:t>
      </w:r>
      <w:r>
        <w:rPr>
          <w:noProof/>
        </w:rPr>
        <w:t>d znaczącymi i długotrwałymi skutkami wstrząsów dla dochodów i podaży pracy, mogą też ułatwić realizację polityki budżetowej i pieniężnej oraz ograniczyć dysproporcje, w szczególności w przypadku pogorszenia koniunktury gospodarczej, a tym samym stworzyć b</w:t>
      </w:r>
      <w:r>
        <w:rPr>
          <w:noProof/>
        </w:rPr>
        <w:t>ardziej korzystne warunki dla zrównoważonego wzrostu sprzyjającego włączeniu społecznemu. Lepsza koordynacja i realizacja reform strukturalnych, szczególnie reform rekomendowanych w zaleceniach dla poszczególnych krajów, może przynieść pozytywne skutki ubo</w:t>
      </w:r>
      <w:r>
        <w:rPr>
          <w:noProof/>
        </w:rPr>
        <w:t>czne w państwach członkowskich. Ważną rolę w tym zakresie mogą odegrać krajowe rady ds. produktywności poprzez zwiększenie odpowiedzialności państw za reformy oraz usprawnienie ich realizacji. Reformy są potrzebne również po to, by można było sprostać piln</w:t>
      </w:r>
      <w:r>
        <w:rPr>
          <w:noProof/>
        </w:rPr>
        <w:t>ym wyzwaniom o długoterminowym charakterze takim jak transformacja klimatyczna i technologiczna. Do wzrostu wydajności może się również przyczynić pogłębienie integracji jednolitego rynku, które okazało się być głównym czynnikiem napędzającym wzrost i sprz</w:t>
      </w:r>
      <w:r>
        <w:rPr>
          <w:noProof/>
        </w:rPr>
        <w:t>yjającym konwergencji między państwami członkowskimi.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(11)</w:t>
      </w:r>
      <w:r>
        <w:rPr>
          <w:noProof/>
        </w:rPr>
        <w:tab/>
        <w:t>Europejski filar praw socjalnych określa dwadzieścia zasad wspierających równość szans i dostęp do zatrudnienia, uczciwe warunki pracy i ochronę socjalną oraz włączenie społeczne. Został opracowany</w:t>
      </w:r>
      <w:r>
        <w:rPr>
          <w:noProof/>
        </w:rPr>
        <w:t xml:space="preserve"> jako kompas mający promować pozytywną konwergencję w kierunku lepszych warunków pracy i życia. Silniejsze i bardziej inkluzywne gospodarki i społeczeństwa mogą z kolei poprawić odporność Unii i strefy euro. Reformy oraz inwestycje w umiejętności, transfor</w:t>
      </w:r>
      <w:r>
        <w:rPr>
          <w:noProof/>
        </w:rPr>
        <w:t>mację zawodową i skuteczniejszą ochronę socjalną są kolejnymi ważnymi czynnikami, które powinny towarzyszyć sprawiedliwej transformacji i przejściu na zieloną i cyfrową gospodarkę. Pełne wdrożenie założeń filaru na wszystkich szczeblach, z odpowiednim uwzg</w:t>
      </w:r>
      <w:r>
        <w:rPr>
          <w:noProof/>
        </w:rPr>
        <w:t xml:space="preserve">lędnieniem odnośnych kompetencji będzie miało kluczowe znaczenie dla wspierania pozytywnej konwergencji. 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(12)</w:t>
      </w:r>
      <w:r>
        <w:rPr>
          <w:noProof/>
        </w:rPr>
        <w:tab/>
        <w:t>Reformy, które promują uczestnictwo w rynku pracy, tworzenie miejsc pracy o dobrej jakości i skuteczne przepływy na rynku pracy, a jednocześnie s</w:t>
      </w:r>
      <w:r>
        <w:rPr>
          <w:noProof/>
        </w:rPr>
        <w:t>łużą ograniczaniu segmentacji i promowaniu dialogu społecznego, mogą przyczynić się do stymulowania wzrostu sprzyjającego włączeniu społecznemu, zwiększenia odporności gospodarczej i automatycznej stabilizacji, ograniczenia nierówności i sprostania wyzwani</w:t>
      </w:r>
      <w:r>
        <w:rPr>
          <w:noProof/>
        </w:rPr>
        <w:t>om, takim jak ubóstwo i wykluczenie społeczne. Zindywidualizowane wsparcie w transformacji zawodowej, szkoleniu oraz przekwalifikowaniu ma kluczowe znaczenie dla szybkiego powrotu osób poszukujących zatrudnienia na rynek pracy. Zapewnienie dostępu do wysok</w:t>
      </w:r>
      <w:r>
        <w:rPr>
          <w:noProof/>
        </w:rPr>
        <w:t xml:space="preserve">iej jakości edukacji i szkoleń zawodowych przez całe życie wymaga odpowiednich inwestycji, pozwalających zwiększyć kapitał ludzki i poprawić umiejętności, również pod kątem cyfrowej i zielonej transformacji. Działania w tym zakresie poprawiają zdolność do </w:t>
      </w:r>
      <w:r>
        <w:rPr>
          <w:noProof/>
        </w:rPr>
        <w:t>zatrudnienia, wydajność, zdolności innowacyjne oraz płace w średnim i długim okresie, co zwiększa odporność strefy euro. Przepisy dotyczące ochrony zatrudnienia powinny gwarantować uczciwe i godne warunki pracy dla wszystkich pracowników, w szczególności w</w:t>
      </w:r>
      <w:r>
        <w:rPr>
          <w:noProof/>
        </w:rPr>
        <w:t xml:space="preserve"> obliczu powstających nietypowych form zatrudnienia, które tworzą nowe możliwości, lecz również wyzwania związane z bezpieczeństwem zatrudnienia i ochroną socjalną. Skuteczne i zrównoważone systemy zabezpieczenia społecznego mają również istotne znaczenie </w:t>
      </w:r>
      <w:r>
        <w:rPr>
          <w:noProof/>
        </w:rPr>
        <w:t>dla zapewniania odpowiedniego dochodu i dostępu do usług wysokiej jakości. Reformy emerytalne oraz strategie mające zapewnić równowagę między życiem zawodowym a prywatnym mogą w dużej mierze zwiększyć uczestnictwo w rynku pracy, zapewniając jednocześnie zr</w:t>
      </w:r>
      <w:r>
        <w:rPr>
          <w:noProof/>
        </w:rPr>
        <w:t>ównoważony charakter europejskich systemów opieki społecznej w długim okresie. Przesunięcie obciążenia podatkowego z pracy na inne obszary mogłoby się z pożytkiem skoncentrować w szczególności na osobach o niskich dochodach oraz drugich żywicielach rodziny</w:t>
      </w:r>
      <w:r>
        <w:rPr>
          <w:noProof/>
        </w:rPr>
        <w:t>. Zaangażowanie partnerów społecznych w reformy zatrudnienia oraz reformy społeczne i gospodarcze ma istotne znaczenie dla zwiększenia odpowiedzialności za te reformy oraz wsparcia ich realizacji.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(13)</w:t>
      </w:r>
      <w:r>
        <w:rPr>
          <w:noProof/>
        </w:rPr>
        <w:tab/>
        <w:t>Odporność sektora finansowego strefy euro wzrosła wpra</w:t>
      </w:r>
      <w:r>
        <w:rPr>
          <w:noProof/>
        </w:rPr>
        <w:t xml:space="preserve">wdzie od czasu kryzysu, nadal jednak utrzymują się podatności na zagrożenia. W kilku krajach utrzymuje się wysokie zadłużenie przedsiębiorstw i gospodarstw domowych, a w wielu przypadkach krajowe systemy podatkowe nadal preferencyjnie traktują zadłużenie. </w:t>
      </w:r>
      <w:r>
        <w:rPr>
          <w:noProof/>
        </w:rPr>
        <w:t>Potrzeba dostosowania modeli biznesowych banków, niskie stopy procentowe oraz coraz większa konkurencja w związku z dostępem do innych form finansowania nadal wywierają presję na konkurencyjność banków. Czynione są stałe postępy w ograniczaniu ryzyka, w sz</w:t>
      </w:r>
      <w:r>
        <w:rPr>
          <w:noProof/>
        </w:rPr>
        <w:t>czególności w redukowaniu wolumenu kredytów zagrożonych. Jednakże tam, gdzie wskaźniki kredytów zagrożonych są nadal dość wysokie, konieczne są dalsze wysiłki, a wszystkie państwa członkowskie powinny wdrożyć odpowiednie polityki mające zapobiegać akumulac</w:t>
      </w:r>
      <w:r>
        <w:rPr>
          <w:noProof/>
        </w:rPr>
        <w:t>ji takich kredytów W marcu 2018 r. Komisja przedstawiła pakiet dotyczący ograniczania ryzyka, który ma służyć zarówno obniżeniu dotychczasowego poziomu kredytów zagrożonych, jak i uniknięciu ich akumulacji w przyszłości. W ramach środków legislacyjnych dot</w:t>
      </w:r>
      <w:r>
        <w:rPr>
          <w:noProof/>
        </w:rPr>
        <w:t>yczących kredytów zagrożonych w kwietniu 2019 r. przyjęto rozporządzenie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które wprowadza obowiązkowy „ostrożnościowy mechanizm ochronny” mający zapobiegać ryzyku zbyt małych rezerw na potrzeby przyszłych kredytów zagrożonych; potrzebne są dalsze postępy </w:t>
      </w:r>
      <w:r>
        <w:rPr>
          <w:noProof/>
        </w:rPr>
        <w:t>w celu rozwiązania kwestii kredytów zagrożonych, w szczególności postępy w zakresie projektu dyrektywy dotyczącej rynku wtórnego dla takich kredytów. Jak podkreśliła Komisja w swoich ustaleniach dotyczących przeciwdziałania praniu pieniędzy z lipca 2019 r.</w:t>
      </w:r>
      <w:r>
        <w:rPr>
          <w:rStyle w:val="FootnoteReference"/>
          <w:noProof/>
        </w:rPr>
        <w:footnoteReference w:id="7"/>
      </w:r>
      <w:r>
        <w:rPr>
          <w:noProof/>
        </w:rPr>
        <w:t>, aby można było zająć się zidentyfikowanymi niedociągnięciami strukturalnymi, Unia musi wypracować bardziej kompleksowe podejście do kwestii zwalczania prania pieniędzy i finansowania działalności terrorystów. Wymaga to w szczególności skuteczniejszego e</w:t>
      </w:r>
      <w:r>
        <w:rPr>
          <w:noProof/>
        </w:rPr>
        <w:t>gzekwowania przepisów oraz lepszego nadzoru w drodze bardziej ujednoliconych działań.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(14)</w:t>
      </w:r>
      <w:r>
        <w:rPr>
          <w:noProof/>
        </w:rPr>
        <w:tab/>
        <w:t>Poczyniono znaczne postępy, jeżeli chodzi o ustanowienie unii bankowej, m.in. dzięki porozumieniu dotyczącemu uruchomienia wspólnego mechanizmu ochronnego w ramach j</w:t>
      </w:r>
      <w:r>
        <w:rPr>
          <w:noProof/>
        </w:rPr>
        <w:t>ednolitego funduszu restrukturyzacji, jej budowa nadal jednak nie została zakończona. Powołano grupę wysokiego szczebla, która ma kontynuować prace techniczne w celu rozpoczęcia negocjacji politycznych dotyczących utworzenia europejskiego systemu gwarantow</w:t>
      </w:r>
      <w:r>
        <w:rPr>
          <w:noProof/>
        </w:rPr>
        <w:t>ania depozytów. Prace te wymagają ukończenia ze względu na znaczenie, jakie europejski system gwarantowania depozytów ma dla stabilnej unii bankowej, i na rolę, jaką ma on pełnić w ramach szerszej struktury UGW, co oznacza, że należy się zająć wszystkimi i</w:t>
      </w:r>
      <w:r>
        <w:rPr>
          <w:noProof/>
        </w:rPr>
        <w:t>stotnymi kwestiami, aby wesprzeć stabilność i wydajność europejskiego sektora bankowego. Komisja zrealizowała wszystkie działania, które zapowiedziała w inicjatywach dotyczących unii rynków kapitałowych. Czasami brakowało jednak konkretnego wsparcia dla po</w:t>
      </w:r>
      <w:r>
        <w:rPr>
          <w:noProof/>
        </w:rPr>
        <w:t>szczególnych inicjatyw legislacyjnych i potrzebne są dalsze wysiłki, aby usunąć prawne, podatkowe i regulacyjne przeszkody dla ustanowienia unii rynków kapitałowych – w szczególności jeśli chodzi o zasady dotyczące dostępu do finansowania, niewypłacalności</w:t>
      </w:r>
      <w:r>
        <w:rPr>
          <w:noProof/>
        </w:rPr>
        <w:t>, nadzoru i różnic podatkowych – i aby ustanowić bardziej skuteczny nadzór na poziomie UE. Rola i funkcjonowanie rynków krajowych obligacji skarbowych wymaga oceny, która to ocena jest również potrzebna, by można się było zająć się kwestią tzw. więzi bank–</w:t>
      </w:r>
      <w:r>
        <w:rPr>
          <w:noProof/>
        </w:rPr>
        <w:t>państwo.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(15)</w:t>
      </w:r>
      <w:r>
        <w:rPr>
          <w:noProof/>
        </w:rPr>
        <w:tab/>
        <w:t>Wzmocnienie struktury UGW wymaga realizacji działań wskazanych w oświadczeniu ze szczytu strefy euro z grudnia 2019 r., które to działania należy potraktować priorytetowo, jak również działań wskazanych we wnioskach Komisji nakreślających dal</w:t>
      </w:r>
      <w:r>
        <w:rPr>
          <w:noProof/>
        </w:rPr>
        <w:t>szą drogę do zakończenia budowy UGW. W komunikacie „Pogłębienie unii gospodarczej i walutowej w Europie: podsumowanie po czterech latach od publikacji sprawozdania pięciu przewodniczących” z czerwca 2019 r. przedstawiono aktualną sytuację i obszary, na któ</w:t>
      </w:r>
      <w:r>
        <w:rPr>
          <w:noProof/>
        </w:rPr>
        <w:t>rych powinny skoncentrować się wysiłki w zakresie reform w perspektywie krótko- i średnioterminowej. Poczyniono pewne postępy w odniesieniu do unii gospodarczej dzięki osiągnięciu porozumienia politycznego w sprawie instrumentu budżetowego na rzecz konwerg</w:t>
      </w:r>
      <w:r>
        <w:rPr>
          <w:noProof/>
        </w:rPr>
        <w:t>encji i konkurencyjności dla strefy euro. Trwają dyskusje na temat udoskonalenia narzędzi Europejskiego Mechanizmu Stabilności oraz przeglądu odnośnego traktatu. W Radzie nie przeprowadzono jeszcze jednak dyskusji na temat mechanizmu stabilizacji fiskalnej</w:t>
      </w:r>
      <w:r>
        <w:rPr>
          <w:noProof/>
        </w:rPr>
        <w:t xml:space="preserve"> dla strefy euro ani na temat reformy zarządzania strefą euro. Komisja zamierza zaproponować europejski program reasekuracji świadczeń dla osób bezrobotnych, aby zapewnić obywatelom lepszą ochronę w przypadku wstrząsów gospodarczych.</w:t>
      </w:r>
    </w:p>
    <w:p w:rsidR="00B95D1B" w:rsidRDefault="00BD26F3">
      <w:pPr>
        <w:pStyle w:val="Point0"/>
        <w:rPr>
          <w:noProof/>
        </w:rPr>
      </w:pPr>
      <w:r>
        <w:rPr>
          <w:noProof/>
        </w:rPr>
        <w:t>(16)</w:t>
      </w:r>
      <w:r>
        <w:rPr>
          <w:noProof/>
        </w:rPr>
        <w:tab/>
        <w:t>Zakończenie budow</w:t>
      </w:r>
      <w:r>
        <w:rPr>
          <w:noProof/>
        </w:rPr>
        <w:t>y UGW pozwoliłoby osiągnąć lepsze wyniki gospodarcze. Niekompletna UGW stoi na przeszkodzie integracji finansowej. To z kolei ogranicza możliwości finansowania bardzo potrzebnych inwestycji na rzecz sprzyjającej włączeniu społecznemu, produktywnej, zrównow</w:t>
      </w:r>
      <w:r>
        <w:rPr>
          <w:noProof/>
        </w:rPr>
        <w:t xml:space="preserve">ażonej i stabilnej gospodarki. Niedokończona UGW utrudnia również sprawną transmisję polityki pieniężnej w całej strefie euro oraz ogranicza zdolność Europy do decydowania o swojej przyszłości gospodarczej. Ponadto brak centralnego mechanizmu stabilizacji </w:t>
      </w:r>
      <w:r>
        <w:rPr>
          <w:noProof/>
        </w:rPr>
        <w:t>fiskalnej w dużym stopniu ogranicza antycykliczną zdolność fiskalną strefy euro. Co więcej, przesunięciu w kierunku rozwiązań międzyrządowych nie towarzyszył odpowiedni wzrost odpowiedzialności na szczeblu UE. W związku z tym wprowadzenie ulepszeń w zarząd</w:t>
      </w:r>
      <w:r>
        <w:rPr>
          <w:noProof/>
        </w:rPr>
        <w:t>zaniu w instytucjach odpowiedzialnych za strefę euro miałoby zasadnicze znaczenie dla poprawy demokratycznej rozliczalności. Wzmocnienie UGW jest kluczowym elementem pozwalającym zwiększyć znaczenie Europy na świecie, wzmocnić międzynarodową rolę euro i pr</w:t>
      </w:r>
      <w:r>
        <w:rPr>
          <w:noProof/>
        </w:rPr>
        <w:t>zyczynić się do budowy otwartej, wielostronnej i opartej na zasadach gospodarki światowej. Ważne jest, aby rozmowy były nadal prowadzone w otwarty i przejrzysty dla państw członkowskich spoza strefy euro sposób i przy pełnym poszanowaniu rynku wewnętrznego</w:t>
      </w:r>
      <w:r>
        <w:rPr>
          <w:noProof/>
        </w:rPr>
        <w:t xml:space="preserve"> Unii,</w:t>
      </w:r>
    </w:p>
    <w:p w:rsidR="00B95D1B" w:rsidRDefault="00BD26F3">
      <w:pPr>
        <w:pStyle w:val="Formuledadoption"/>
        <w:rPr>
          <w:noProof/>
        </w:rPr>
      </w:pPr>
      <w:r>
        <w:rPr>
          <w:noProof/>
        </w:rPr>
        <w:t>NINIEJSZYM ZALECA państwom członkowskim należącym do strefy euro podjęcie, indywidualnie i zbiorowo, następujących działań w ramach Eurogrupy w latach 2020–2021:</w:t>
      </w:r>
    </w:p>
    <w:p w:rsidR="00B95D1B" w:rsidRDefault="00BD26F3">
      <w:pPr>
        <w:pStyle w:val="ManualNumPar1"/>
        <w:rPr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>W państwach członkowskich należących do strefy euro i wykazujących deficyt obrotów b</w:t>
      </w:r>
      <w:r>
        <w:rPr>
          <w:noProof/>
        </w:rPr>
        <w:t>ieżących lub wysokie zadłużenie zewnętrzne – kontynuację reform mających na celu zwiększenie konkurencyjności i ograniczenie zadłużenia zewnętrznego. W państwach członkowskich należących do strefy euro o dużych nadwyżkach na rachunku obrotów bieżących – wz</w:t>
      </w:r>
      <w:r>
        <w:rPr>
          <w:noProof/>
        </w:rPr>
        <w:t>mocnienie warunków sprzyjających wzrostowi płac, przy poszanowaniu roli partnerów społecznych, jak również wprowadzenie środków pobudzających inwestycje publiczne i prywatne. We wszystkich państwach członkowskich – wspieranie wydajności dzięki poprawie oto</w:t>
      </w:r>
      <w:r>
        <w:rPr>
          <w:noProof/>
        </w:rPr>
        <w:t>czenia działalności gospodarczej i jakości instytucji, zwiększenie odporności dzięki udoskonaleniu funkcjonowania rynków towarów i usług w szczególności za pomocą pogłębienia jednolitego rynku. Wspieranie sprawiedliwego i sprzyjającego włączeniu społecznem</w:t>
      </w:r>
      <w:r>
        <w:rPr>
          <w:noProof/>
        </w:rPr>
        <w:t xml:space="preserve">u przejścia na konkurencyjną zieloną i cyfrową gospodarkę poprzez inwestycje materialne i niematerialne, zarówno publiczne, jak i prywatne. </w:t>
      </w:r>
    </w:p>
    <w:p w:rsidR="00B95D1B" w:rsidRDefault="00BD26F3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W państwach członkowskich o wysokim poziomie zadłużenia – realizację ostrożnych polityk w celu wiarygodnego i tr</w:t>
      </w:r>
      <w:r>
        <w:rPr>
          <w:noProof/>
        </w:rPr>
        <w:t>wałego sprowadzenia długu publicznego na ścieżkę spadkową. W państwach członkowskich znajdujących się w korzystnej sytuacji budżetowej – wykorzystanie tej sytuacji do dalszego wspierania wysokiej jakości inwestycji. W przypadku pogorszenia perspektyw gospo</w:t>
      </w:r>
      <w:r>
        <w:rPr>
          <w:noProof/>
        </w:rPr>
        <w:t>darczych – zapewnienie sprzyjającego wzrostowi kursu polityki budżetowej na poziomie zagregowanym, przy jednoczesnej realizacji polityk z pełnym poszanowaniem paktu stabilności i wzrostu, uwzględnieniem zaleceń dla poszczególnych krajów i założeniem unikan</w:t>
      </w:r>
      <w:r>
        <w:rPr>
          <w:noProof/>
        </w:rPr>
        <w:t>ia procykliczności w możliwie największym stopniu, oraz utrzymanie gotowości do koordynowania polityk w Eurogrupie. Poprawienie skuteczności krajowych ram budżetowych oraz jakości finansów publicznych oraz wprowadzenie podatku sprzyjającego wzrostowi i inn</w:t>
      </w:r>
      <w:r>
        <w:rPr>
          <w:noProof/>
        </w:rPr>
        <w:t xml:space="preserve">ych odpowiednich środków budżetowych wspierających gospodarkę zrównoważoną. Wspieranie i wdrożenie działań UE na rzecz zwalczania agresywnego planowania podatkowego oraz rozwiązanie problemu równania w dół w systemie opodatkowania osób prawnych. </w:t>
      </w:r>
    </w:p>
    <w:p w:rsidR="00B95D1B" w:rsidRDefault="00BD26F3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Wzmocn</w:t>
      </w:r>
      <w:r>
        <w:rPr>
          <w:noProof/>
        </w:rPr>
        <w:t>ienie systemów kształcenia i szkolenia oraz inwestycji w umiejętności. Zwiększenie skuteczności aktywnych polityk w zakresie rynku pracy, które wspierają jego integrację oraz skuteczne przepływy na rynku pracy, w tym przepływy w kierunku bardziej cyfrowych</w:t>
      </w:r>
      <w:r>
        <w:rPr>
          <w:noProof/>
        </w:rPr>
        <w:t xml:space="preserve"> i zielonych miejsc pracy. Promowanie uczestnictwa w rynku pracy, m.in. kobiet, oraz przesunięcie obciążenia podatkowego z pracy na inne obszary, w szczególności w przypadku osób o niskich dochodach i drugich żywicieli rodziny. Wspieranie tworzenia dobrej </w:t>
      </w:r>
      <w:r>
        <w:rPr>
          <w:noProof/>
        </w:rPr>
        <w:t>jakości miejsc pracy, zapewnienie sprawiedliwych warunków pracy oraz zlikwidowanie segmentacji rynków pracy. Poprawienie dostępu do adekwatnych i zrównoważonych systemów ochrony socjalnej. Zwiększenie skuteczności dialogu społecznego oraz promowanie negocj</w:t>
      </w:r>
      <w:r>
        <w:rPr>
          <w:noProof/>
        </w:rPr>
        <w:t xml:space="preserve">acji zbiorowych. </w:t>
      </w:r>
    </w:p>
    <w:p w:rsidR="00B95D1B" w:rsidRDefault="00BD26F3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Zakończenie budowy unii bankowej poprzez rozpoczęcie negocjacji politycznych w sprawie europejskiego systemu gwarantowania depozytów, podjęcie działań na rzecz poprawienia zarządzania kryzysowego oraz uruchomienie mechanizmów zapewnian</w:t>
      </w:r>
      <w:r>
        <w:rPr>
          <w:noProof/>
        </w:rPr>
        <w:t>ia płynności na potrzeby uporządkowanej likwidacji i mechanizmu ochronnego w ramach jednolitego funduszu restrukturyzacji i uporządkowanej likwidacji. Wzmocnienie europejskich ram regulacyjnych i nadzorczych, w tym poprzez zaostrzenie nadzoru i egzekwowani</w:t>
      </w:r>
      <w:r>
        <w:rPr>
          <w:noProof/>
        </w:rPr>
        <w:t>a przepisów przeciwdziałających praniu pieniędzy. Wspieranie uporządkowanego zmniejszania znacznego zadłużenia sektora prywatnego, w tym przez zaprzestanie preferencyjnego traktowania zadłużenia w systemie opodatkowania. Kontynuowanie działań umożliwiający</w:t>
      </w:r>
      <w:r>
        <w:rPr>
          <w:noProof/>
        </w:rPr>
        <w:t>ch szybkie ograniczenie przez banki poziomu kredytów zagrożonych w strefie euro oraz zapobieganie ich akumulacji. Wzmożenie wysiłku na rzecz zakończenia budowy unii rynków kapitałowych.</w:t>
      </w:r>
    </w:p>
    <w:p w:rsidR="00B95D1B" w:rsidRDefault="00BD26F3"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Osiągnięcie ambitnych postępów w zakresie pogłębiania unii gospodar</w:t>
      </w:r>
      <w:r>
        <w:rPr>
          <w:noProof/>
        </w:rPr>
        <w:t>czej i walutowej, dzięki sprawnej realizacji działań wskazanych w oświadczeniu ze szczytu strefy euro z grudnia 2019 r. oraz przyspieszeniu prac we wszystkich pozostałych kwestiach z zamierzeniem wzmocnienia międzynarodowej roli euro oraz promowania intere</w:t>
      </w:r>
      <w:r>
        <w:rPr>
          <w:noProof/>
        </w:rPr>
        <w:t>sów gospodarczych Europy na całym świecie. Pogłębienie unii gospodarczej i walutowej oraz wzmocnienie jej demokratycznej rozliczalności, przy pełnym poszanowaniu rynku wewnętrznego Unii oraz w otwarty i przejrzysty dla państw członkowskich spoza strefy eur</w:t>
      </w:r>
      <w:r>
        <w:rPr>
          <w:noProof/>
        </w:rPr>
        <w:t>o sposób.</w:t>
      </w:r>
    </w:p>
    <w:p w:rsidR="00B95D1B" w:rsidRDefault="00BD26F3" w:rsidP="00BD26F3">
      <w:pPr>
        <w:pStyle w:val="Fait"/>
        <w:rPr>
          <w:noProof/>
        </w:rPr>
      </w:pPr>
      <w:r w:rsidRPr="00BD26F3">
        <w:t>Sporządzono w Strasburgu dnia  r. 17.12.2019</w:t>
      </w:r>
    </w:p>
    <w:p w:rsidR="00B95D1B" w:rsidRDefault="00BD26F3">
      <w:pPr>
        <w:pStyle w:val="Institutionquisigne"/>
        <w:rPr>
          <w:noProof/>
        </w:rPr>
      </w:pPr>
      <w:r>
        <w:rPr>
          <w:noProof/>
        </w:rPr>
        <w:tab/>
      </w:r>
      <w:r>
        <w:rPr>
          <w:noProof/>
        </w:rPr>
        <w:t>W imieniu Rady</w:t>
      </w:r>
    </w:p>
    <w:p w:rsidR="00B95D1B" w:rsidRPr="00BD26F3" w:rsidRDefault="00BD26F3"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 w:rsidR="00B95D1B" w:rsidRPr="00BD26F3" w:rsidSect="00BD26F3">
      <w:footerReference w:type="default" r:id="rId17"/>
      <w:footerReference w:type="first" r:id="rId1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1B" w:rsidRDefault="00BD26F3">
      <w:pPr>
        <w:spacing w:before="0" w:after="0"/>
      </w:pPr>
      <w:r>
        <w:separator/>
      </w:r>
    </w:p>
  </w:endnote>
  <w:endnote w:type="continuationSeparator" w:id="0">
    <w:p w:rsidR="00B95D1B" w:rsidRDefault="00BD26F3">
      <w:pPr>
        <w:spacing w:before="0" w:after="0"/>
      </w:pPr>
      <w:r>
        <w:continuationSeparator/>
      </w:r>
    </w:p>
  </w:endnote>
  <w:endnote w:type="continuationNotice" w:id="1">
    <w:p w:rsidR="00B95D1B" w:rsidRDefault="00B95D1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3" w:rsidRPr="00BD26F3" w:rsidRDefault="00BD26F3" w:rsidP="00BD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1B" w:rsidRPr="00BD26F3" w:rsidRDefault="00BD26F3" w:rsidP="00BD26F3">
    <w:pPr>
      <w:pStyle w:val="Footer"/>
      <w:rPr>
        <w:rFonts w:ascii="Arial" w:hAnsi="Arial" w:cs="Arial"/>
        <w:b/>
        <w:sz w:val="48"/>
      </w:rPr>
    </w:pPr>
    <w:r w:rsidRPr="00BD26F3">
      <w:rPr>
        <w:rFonts w:ascii="Arial" w:hAnsi="Arial" w:cs="Arial"/>
        <w:b/>
        <w:sz w:val="48"/>
      </w:rPr>
      <w:t>PL</w:t>
    </w:r>
    <w:r w:rsidRPr="00BD26F3">
      <w:rPr>
        <w:rFonts w:ascii="Arial" w:hAnsi="Arial" w:cs="Arial"/>
        <w:b/>
        <w:sz w:val="48"/>
      </w:rPr>
      <w:tab/>
    </w:r>
    <w:r w:rsidRPr="00BD26F3">
      <w:rPr>
        <w:rFonts w:ascii="Arial" w:hAnsi="Arial" w:cs="Arial"/>
        <w:b/>
        <w:sz w:val="48"/>
      </w:rPr>
      <w:tab/>
    </w:r>
    <w:r w:rsidRPr="00BD26F3">
      <w:tab/>
    </w:r>
    <w:r w:rsidRPr="00BD26F3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3" w:rsidRPr="00BD26F3" w:rsidRDefault="00BD26F3" w:rsidP="00BD26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3" w:rsidRPr="00BD26F3" w:rsidRDefault="00BD26F3" w:rsidP="00BD26F3">
    <w:pPr>
      <w:pStyle w:val="Footer"/>
      <w:rPr>
        <w:rFonts w:ascii="Arial" w:hAnsi="Arial" w:cs="Arial"/>
        <w:b/>
        <w:sz w:val="48"/>
      </w:rPr>
    </w:pPr>
    <w:r w:rsidRPr="00BD26F3">
      <w:rPr>
        <w:rFonts w:ascii="Arial" w:hAnsi="Arial" w:cs="Arial"/>
        <w:b/>
        <w:sz w:val="48"/>
      </w:rPr>
      <w:t>PL</w:t>
    </w:r>
    <w:r w:rsidRPr="00BD26F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 w:rsidRPr="00BD26F3">
      <w:tab/>
    </w:r>
    <w:r w:rsidRPr="00BD26F3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3" w:rsidRPr="00BD26F3" w:rsidRDefault="00BD26F3" w:rsidP="00BD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1B" w:rsidRDefault="00BD26F3">
      <w:pPr>
        <w:spacing w:before="0" w:after="0"/>
      </w:pPr>
      <w:r>
        <w:separator/>
      </w:r>
    </w:p>
  </w:footnote>
  <w:footnote w:type="continuationSeparator" w:id="0">
    <w:p w:rsidR="00B95D1B" w:rsidRDefault="00BD26F3">
      <w:pPr>
        <w:spacing w:before="0" w:after="0"/>
      </w:pPr>
      <w:r>
        <w:continuationSeparator/>
      </w:r>
    </w:p>
  </w:footnote>
  <w:footnote w:type="continuationNotice" w:id="1">
    <w:p w:rsidR="00B95D1B" w:rsidRDefault="00B95D1B">
      <w:pPr>
        <w:spacing w:before="0" w:after="0"/>
      </w:pPr>
    </w:p>
  </w:footnote>
  <w:footnote w:id="2">
    <w:p w:rsidR="00B95D1B" w:rsidRDefault="00BD26F3">
      <w:pPr>
        <w:pStyle w:val="FootnoteText"/>
      </w:pPr>
      <w:r>
        <w:rPr>
          <w:rStyle w:val="FootnoteReference"/>
        </w:rPr>
        <w:footnoteRef/>
      </w:r>
      <w:r>
        <w:tab/>
        <w:t>Dz.U. L 209 z 2.8.1997, s. 1.</w:t>
      </w:r>
    </w:p>
  </w:footnote>
  <w:footnote w:id="3">
    <w:p w:rsidR="00B95D1B" w:rsidRDefault="00BD26F3">
      <w:pPr>
        <w:pStyle w:val="FootnoteText"/>
      </w:pPr>
      <w:r>
        <w:rPr>
          <w:rStyle w:val="FootnoteReference"/>
        </w:rPr>
        <w:footnoteRef/>
      </w:r>
      <w:r>
        <w:tab/>
        <w:t>Dz.U. L 306 z 23.11.2011, s. 25.</w:t>
      </w:r>
    </w:p>
  </w:footnote>
  <w:footnote w:id="4">
    <w:p w:rsidR="00B95D1B" w:rsidRDefault="00BD26F3">
      <w:pPr>
        <w:pStyle w:val="FootnoteText"/>
      </w:pPr>
      <w:r>
        <w:rPr>
          <w:rStyle w:val="FootnoteReference"/>
        </w:rPr>
        <w:footnoteRef/>
      </w:r>
      <w:r>
        <w:tab/>
        <w:t xml:space="preserve">Wszystkie prognozowane dane w niniejszym dokumencie pochodzą z prognozy </w:t>
      </w:r>
      <w:r>
        <w:t>Komisji Europejskiej z jesieni 2019 r.</w:t>
      </w:r>
    </w:p>
  </w:footnote>
  <w:footnote w:id="5">
    <w:p w:rsidR="00B95D1B" w:rsidRDefault="00BD26F3">
      <w:pPr>
        <w:pStyle w:val="FootnoteText"/>
      </w:pPr>
      <w:r>
        <w:rPr>
          <w:rStyle w:val="FootnoteReference"/>
        </w:rPr>
        <w:footnoteRef/>
      </w:r>
      <w:r>
        <w:tab/>
        <w:t>Komisja Europejska (2019), Sprawozdanie przedkładane w ramach mechanizmu ostrzegania na 2020 r., COM(2019) 651 final.</w:t>
      </w:r>
    </w:p>
  </w:footnote>
  <w:footnote w:id="6">
    <w:p w:rsidR="00B95D1B" w:rsidRDefault="00BD26F3">
      <w:pPr>
        <w:pStyle w:val="FootnoteText"/>
        <w:tabs>
          <w:tab w:val="left" w:pos="284"/>
        </w:tabs>
        <w:ind w:left="142" w:hanging="142"/>
      </w:pPr>
      <w:r>
        <w:rPr>
          <w:rStyle w:val="FootnoteReference"/>
        </w:rPr>
        <w:footnoteRef/>
      </w:r>
      <w:r>
        <w:tab/>
        <w:t>Rozporządzenie Parlamentu Europejskiego i Rady (UE) 2019/630 z dnia 17 kwietnia 2019 r. zmienia</w:t>
      </w:r>
      <w:r>
        <w:t>jące rozporządzenie (UE) nr 575/2013 w odniesieniu do minimalnego pokrycia strat z tytułu ekspozycji nieobsługiwanych, Dz.U. L 111 z 25.4.2019, s. 4.</w:t>
      </w:r>
    </w:p>
  </w:footnote>
  <w:footnote w:id="7">
    <w:p w:rsidR="00B95D1B" w:rsidRDefault="00BD26F3">
      <w:pPr>
        <w:pStyle w:val="FootnoteText"/>
        <w:tabs>
          <w:tab w:val="left" w:pos="284"/>
        </w:tabs>
        <w:ind w:left="142" w:hanging="142"/>
      </w:pPr>
      <w:r>
        <w:rPr>
          <w:rStyle w:val="FootnoteReference"/>
        </w:rPr>
        <w:footnoteRef/>
      </w:r>
      <w:r>
        <w:tab/>
        <w:t>Komunikat Komisji do Parlamentu Europejskiego i Rady z dnia 24 lipca 2019 r. „Jak zapewnić lepsze wdraża</w:t>
      </w:r>
      <w:r>
        <w:t>nie ram regulacyjnych UE dotyczących przeciwdziałania praniu pieniędzy i finansowaniu terroryzmu”, COM (2019) 360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3" w:rsidRPr="00BD26F3" w:rsidRDefault="00BD26F3" w:rsidP="00BD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3" w:rsidRPr="00BD26F3" w:rsidRDefault="00BD26F3" w:rsidP="00BD2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F3" w:rsidRPr="00BD26F3" w:rsidRDefault="00BD26F3" w:rsidP="00BD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C9293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93670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CF8C2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E8EE8F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3A838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7FCA2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F1EFC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AF6A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2-20 16:01:0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AE476DED-BFEF-4006-8E14-059290765557"/>
    <w:docVar w:name="LW_COVERPAGE_TYPE" w:val="1"/>
    <w:docVar w:name="LW_CROSSREFERENCE" w:val="{SWD(2019) 631 final}"/>
    <w:docVar w:name="LW_DocType" w:val="COM"/>
    <w:docVar w:name="LW_EMISSION" w:val="17.12.2019"/>
    <w:docVar w:name="LW_EMISSION_ISODATE" w:val="2019-12-17"/>
    <w:docVar w:name="LW_EMISSION_LOCATION" w:val="STR"/>
    <w:docVar w:name="LW_EMISSION_PREFIX" w:val="Strasburg, dnia "/>
    <w:docVar w:name="LW_EMISSION_SUFFIX" w:val=" r."/>
    <w:docVar w:name="LW_ID_DOCMODEL" w:val="SG-002"/>
    <w:docVar w:name="LW_ID_DOCSIGNATURE" w:val="SG-002"/>
    <w:docVar w:name="LW_ID_DOCSTRUCTURE" w:val="COM/PL/ORG/NOEEA"/>
    <w:docVar w:name="LW_ID_DOCTYPE" w:val="SG-002"/>
    <w:docVar w:name="LW_ID_EXP.MOTIFS.NEW" w:val="EM_PL_"/>
    <w:docVar w:name="LW_ID_STATUT" w:val="SG-002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6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" w:val="Zalecenie"/>
    <w:docVar w:name="LW_STATUT.CP" w:val="Zalecenie"/>
    <w:docVar w:name="LW_SUPERTITRE" w:val="&lt;UNUSED&gt;"/>
    <w:docVar w:name="LW_TITRE.OBJ" w:val="&lt;FMT:Bold&gt;w sprawie polityki gospodarczej w strefie euro&lt;/FMT&gt;"/>
    <w:docVar w:name="LW_TITRE.OBJ.CP" w:val="&lt;FMT:Bold&gt;w sprawie polityki gospodarczej w strefie euro&lt;/FMT&gt;"/>
    <w:docVar w:name="LW_TYPE.DOC" w:val="ZALECENIE RADY"/>
    <w:docVar w:name="LW_TYPE.DOC.CP" w:val="ZALECENIE RADY"/>
  </w:docVars>
  <w:rsids>
    <w:rsidRoot w:val="00B95D1B"/>
    <w:rsid w:val="00B95D1B"/>
    <w:rsid w:val="00B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2228FC50-67A5-4359-BA7A-F2B02851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6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26F3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BD26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D26F3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D26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D26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D2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D26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D2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D54C1909D81914B9C41027352BE0104" ma:contentTypeVersion="5" ma:contentTypeDescription="Create a new document in this library." ma:contentTypeScope="" ma:versionID="36ef6fcaac85a323d85d45113cecf569">
  <xsd:schema xmlns:xsd="http://www.w3.org/2001/XMLSchema" xmlns:xs="http://www.w3.org/2001/XMLSchema" xmlns:p="http://schemas.microsoft.com/office/2006/metadata/properties" xmlns:ns3="f5a38ab0-5677-45ad-9a5b-e7bb653b7b53" targetNamespace="http://schemas.microsoft.com/office/2006/metadata/properties" ma:root="true" ma:fieldsID="3b4d4fddcd61dd14c0e0d42a842bba08" ns3:_="">
    <xsd:import namespace="f5a38ab0-5677-45ad-9a5b-e7bb653b7b53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EC_ARES_NUMBER" minOccurs="0"/>
                <xsd:element ref="ns3:EC_ARES_DATE_TRANSFERRED" minOccurs="0"/>
                <xsd:element ref="ns3:EC_ARES_TRANSFERRED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8ab0-5677-45ad-9a5b-e7bb653b7b53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EC_ARES_NUMBER" ma:index="15" nillable="true" ma:displayName="Ares Number" ma:format="Hyperlink" ma:internalName="EC_ARES_NUMB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C_ARES_DATE_TRANSFERRED" ma:index="16" nillable="true" ma:displayName="Transferred to ARES" ma:format="DateTime" ma:internalName="EC_ARES_DATE_TRANSFERRED">
      <xsd:simpleType>
        <xsd:restriction base="dms:DateTime"/>
      </xsd:simpleType>
    </xsd:element>
    <xsd:element name="EC_ARES_TRANSFERRED_BY" ma:index="17" nillable="true" ma:displayName="Transferred By" ma:internalName="EC_ARES_TRANSFERRED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f5a38ab0-5677-45ad-9a5b-e7bb653b7b53">EN</EC_Collab_DocumentLanguage>
    <EC_ARES_TRANSFERRED_BY xmlns="f5a38ab0-5677-45ad-9a5b-e7bb653b7b53" xsi:nil="true"/>
    <EC_Collab_Reference xmlns="f5a38ab0-5677-45ad-9a5b-e7bb653b7b53" xsi:nil="true"/>
    <EC_ARES_NUMBER xmlns="f5a38ab0-5677-45ad-9a5b-e7bb653b7b53">
      <Url xsi:nil="true"/>
      <Description xsi:nil="true"/>
    </EC_ARES_NUMBER>
    <EC_Collab_Status xmlns="f5a38ab0-5677-45ad-9a5b-e7bb653b7b53">Not Started</EC_Collab_Status>
    <EC_ARES_DATE_TRANSFERRED xmlns="f5a38ab0-5677-45ad-9a5b-e7bb653b7b53" xsi:nil="true"/>
  </documentManagement>
</p:properties>
</file>

<file path=customXml/itemProps1.xml><?xml version="1.0" encoding="utf-8"?>
<ds:datastoreItem xmlns:ds="http://schemas.openxmlformats.org/officeDocument/2006/customXml" ds:itemID="{AB84331F-A910-4DE4-ABF6-DD2B0EFEC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DF9D4-2458-49F1-8555-E489328A8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38ab0-5677-45ad-9a5b-e7bb653b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48B5C-1B1C-4140-8781-F6C4F42EF9E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5a38ab0-5677-45ad-9a5b-e7bb653b7b5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2</TotalTime>
  <Pages>4</Pages>
  <Words>4025</Words>
  <Characters>26408</Characters>
  <Application>Microsoft Office Word</Application>
  <DocSecurity>0</DocSecurity>
  <Lines>400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PAREDES ECHAURI Cristina (SG)</cp:lastModifiedBy>
  <cp:revision>21</cp:revision>
  <dcterms:created xsi:type="dcterms:W3CDTF">2019-12-20T08:50:00Z</dcterms:created>
  <dcterms:modified xsi:type="dcterms:W3CDTF">2019-12-20T16:14:00Z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ContentTypeId">
    <vt:lpwstr>0x010100258AA79CEB83498886A3A0868112325000BD54C1909D81914B9C41027352BE0104</vt:lpwstr>
  </property>
  <property fmtid="{D5CDD505-2E9C-101B-9397-08002B2CF9AE}" pid="11" name="DQCStatus">
    <vt:lpwstr>Yellow (DQC version 03)</vt:lpwstr>
  </property>
</Properties>
</file>