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6C8" w:rsidRDefault="00115404">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B615389-7877-44DE-8539-137EE279682D" style="width:451.45pt;height:389.2pt">
            <v:imagedata r:id="rId8" o:title=""/>
          </v:shape>
        </w:pict>
      </w:r>
    </w:p>
    <w:bookmarkEnd w:id="0"/>
    <w:p w:rsidR="005C26C8" w:rsidRDefault="005C26C8">
      <w:pPr>
        <w:rPr>
          <w:noProof/>
        </w:rPr>
        <w:sectPr w:rsidR="005C26C8">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C26C8">
        <w:tc>
          <w:tcPr>
            <w:tcW w:w="9288" w:type="dxa"/>
            <w:shd w:val="clear" w:color="auto" w:fill="BFBFBF"/>
          </w:tcPr>
          <w:p w:rsidR="005C26C8" w:rsidRDefault="00115404">
            <w:pPr>
              <w:spacing w:before="200" w:after="200"/>
              <w:ind w:left="0"/>
              <w:jc w:val="both"/>
              <w:rPr>
                <w:rFonts w:ascii="Times New Roman" w:hAnsi="Times New Roman" w:cs="Times New Roman"/>
                <w:i/>
                <w:noProof/>
              </w:rPr>
            </w:pPr>
            <w:r>
              <w:rPr>
                <w:rFonts w:ascii="Times New Roman" w:hAnsi="Times New Roman"/>
                <w:i/>
                <w:noProof/>
              </w:rPr>
              <w:lastRenderedPageBreak/>
              <w:t>Kertomus varoitusmekanismista käynnistää makrotalouden epätasapainoa koskevan vuotuisen valvontamenettelyn. Menettelyn tavoitteena on havaita</w:t>
            </w:r>
            <w:r>
              <w:rPr>
                <w:rFonts w:ascii="Times New Roman" w:hAnsi="Times New Roman"/>
                <w:i/>
                <w:noProof/>
              </w:rPr>
              <w:t xml:space="preserve"> ja korjata epätasapainot, jotka haittaavat jäsenvaltioiden talouksien tai EU:n talouden häiriötöntä toimintaa ja jotka saattavat vaarantaa talous- ja rahaliiton moitteettoman toiminnan (asetuksen (EU) N:o 1176/2011 2 artiklan 1 kohta)</w:t>
            </w:r>
            <w:r>
              <w:rPr>
                <w:rStyle w:val="FootnoteReference"/>
                <w:rFonts w:ascii="Times New Roman" w:hAnsi="Times New Roman" w:cs="Times New Roman"/>
                <w:i/>
                <w:noProof/>
              </w:rPr>
              <w:footnoteReference w:id="2"/>
            </w:r>
            <w:r>
              <w:rPr>
                <w:noProof/>
              </w:rPr>
              <w:t>.</w:t>
            </w:r>
            <w:r>
              <w:rPr>
                <w:rFonts w:ascii="Times New Roman" w:hAnsi="Times New Roman"/>
                <w:i/>
                <w:noProof/>
              </w:rPr>
              <w:t xml:space="preserve"> </w:t>
            </w:r>
          </w:p>
          <w:p w:rsidR="005C26C8" w:rsidRDefault="00115404">
            <w:pPr>
              <w:spacing w:before="120" w:after="120"/>
              <w:ind w:left="0"/>
              <w:jc w:val="both"/>
              <w:rPr>
                <w:rFonts w:cstheme="minorHAnsi"/>
                <w:noProof/>
              </w:rPr>
            </w:pPr>
            <w:r>
              <w:rPr>
                <w:rFonts w:ascii="Times New Roman" w:hAnsi="Times New Roman"/>
                <w:i/>
                <w:noProof/>
              </w:rPr>
              <w:t>Kertomuksessa esi</w:t>
            </w:r>
            <w:r>
              <w:rPr>
                <w:rFonts w:ascii="Times New Roman" w:hAnsi="Times New Roman"/>
                <w:i/>
                <w:noProof/>
              </w:rPr>
              <w:t>tetty analyysi pohjautuu talouspoliittisiin päätelmiin, jotka tehdään käyttäen valittuihin indikaattoreihin perustuvaa tulostaulua sekä useita lisäindikaattoreita, arviointivälineitä ja muita tietoja, joiden avulla määritetään, onko jäsenvaltioissa politii</w:t>
            </w:r>
            <w:r>
              <w:rPr>
                <w:rFonts w:ascii="Times New Roman" w:hAnsi="Times New Roman"/>
                <w:i/>
                <w:noProof/>
              </w:rPr>
              <w:t>kkatoimia edellyttäviä epätasapainoja. Kertomuksessa nimetään jäsenvaltiot, joista komission on tarpeen tehdä perusteellinen tarkastelu arvioidakseen, miten makrotalouden riskit kasaantuvat tai purkautuvat kyseisissä jäsenvaltioissa, ja päätelläkseen, onko</w:t>
            </w:r>
            <w:r>
              <w:rPr>
                <w:rFonts w:ascii="Times New Roman" w:hAnsi="Times New Roman"/>
                <w:i/>
                <w:noProof/>
              </w:rPr>
              <w:t xml:space="preserve"> niissä epätasapainoja tai liiallisia epätasapainoja. Komissio laatii asianomaisia jäsenvaltioita koskevat perusteelliset tarkastelut ottaen huomioon Euroopan parlamentin kanssa käytävät sekä neuvostossa ja euroryhmässä käytävät varoitusmekanismia koskevat</w:t>
            </w:r>
            <w:r>
              <w:rPr>
                <w:rFonts w:ascii="Times New Roman" w:hAnsi="Times New Roman"/>
                <w:i/>
                <w:noProof/>
              </w:rPr>
              <w:t xml:space="preserve"> keskustelut. Vakiintuneen käytännön mukaisesti jäsenvaltioista, joissa havaittiin epätasapainotiloja edellisessä perusteellisessa tarkastelussa, tehdään joka tapauksessa uusi perusteellinen tarkastelu. Perusteelliset tarkastelut sisällytetään maaraporttei</w:t>
            </w:r>
            <w:r>
              <w:rPr>
                <w:rFonts w:ascii="Times New Roman" w:hAnsi="Times New Roman"/>
                <w:i/>
                <w:noProof/>
              </w:rPr>
              <w:t xml:space="preserve">hin. Perusteellisen tarkastelun tulokset vaikuttavat maakohtaisiin suosituksiin, jotka laaditaan osana talouspolitiikan eurooppalaista ohjausjaksoa. </w:t>
            </w:r>
          </w:p>
        </w:tc>
      </w:tr>
    </w:tbl>
    <w:p w:rsidR="005C26C8" w:rsidRDefault="005C26C8">
      <w:pPr>
        <w:jc w:val="both"/>
        <w:rPr>
          <w:rFonts w:cstheme="minorHAnsi"/>
          <w:b/>
          <w:bCs/>
          <w:noProof/>
        </w:rPr>
      </w:pPr>
    </w:p>
    <w:p w:rsidR="005C26C8" w:rsidRDefault="005C26C8">
      <w:pPr>
        <w:rPr>
          <w:rFonts w:eastAsia="MS Gothic" w:cstheme="minorHAnsi"/>
          <w:b/>
          <w:bCs/>
          <w:smallCaps/>
          <w:noProof/>
        </w:rPr>
      </w:pPr>
    </w:p>
    <w:p w:rsidR="005C26C8" w:rsidRDefault="00115404">
      <w:pPr>
        <w:pStyle w:val="ListParagraph"/>
        <w:numPr>
          <w:ilvl w:val="0"/>
          <w:numId w:val="42"/>
        </w:numPr>
        <w:ind w:left="426" w:hanging="426"/>
        <w:jc w:val="both"/>
        <w:rPr>
          <w:rFonts w:eastAsia="MS Gothic" w:cstheme="minorHAnsi"/>
          <w:b/>
          <w:bCs/>
          <w:smallCaps/>
          <w:noProof/>
        </w:rPr>
      </w:pPr>
      <w:r>
        <w:rPr>
          <w:b/>
          <w:bCs/>
          <w:smallCaps/>
          <w:noProof/>
        </w:rPr>
        <w:t>Tiivistelmä</w:t>
      </w:r>
    </w:p>
    <w:p w:rsidR="005C26C8" w:rsidRDefault="005C26C8">
      <w:pPr>
        <w:jc w:val="both"/>
        <w:rPr>
          <w:rFonts w:cstheme="minorHAnsi"/>
          <w:b/>
          <w:noProof/>
        </w:rPr>
      </w:pPr>
    </w:p>
    <w:p w:rsidR="005C26C8" w:rsidRDefault="00115404">
      <w:pPr>
        <w:spacing w:after="200"/>
        <w:ind w:left="0"/>
        <w:jc w:val="both"/>
        <w:rPr>
          <w:rFonts w:ascii="Times New Roman" w:hAnsi="Times New Roman" w:cs="Times New Roman"/>
          <w:noProof/>
        </w:rPr>
      </w:pPr>
      <w:r>
        <w:rPr>
          <w:rFonts w:ascii="Times New Roman" w:hAnsi="Times New Roman"/>
          <w:b/>
          <w:noProof/>
        </w:rPr>
        <w:t xml:space="preserve">Tällä kertomuksella käynnistetään yhdeksäs vuotuinen makrotalouden epätasapainoa koskeva </w:t>
      </w:r>
      <w:r>
        <w:rPr>
          <w:rFonts w:ascii="Times New Roman" w:hAnsi="Times New Roman"/>
          <w:b/>
          <w:noProof/>
        </w:rPr>
        <w:t>menettely (MIP).</w:t>
      </w:r>
      <w:r>
        <w:rPr>
          <w:rFonts w:ascii="Times New Roman" w:hAnsi="Times New Roman" w:cs="Times New Roman"/>
          <w:noProof/>
          <w:vertAlign w:val="superscript"/>
        </w:rPr>
        <w:footnoteReference w:id="3"/>
      </w:r>
      <w:r>
        <w:rPr>
          <w:rFonts w:ascii="Times New Roman" w:hAnsi="Times New Roman"/>
          <w:noProof/>
        </w:rPr>
        <w:t xml:space="preserve"> Menettelyn tavoitteena on havaita ja korjata epätasapainot, jotka haittaavat jäsenvaltioiden talouksien tai EU:n talouden häiriötöntä toimintaa ja jotka saattavat vaarantaa talous- ja rahaliiton moitteettoman toiminnan, ja ehdottaa tarkoituksenmukaisia va</w:t>
      </w:r>
      <w:r>
        <w:rPr>
          <w:rFonts w:ascii="Times New Roman" w:hAnsi="Times New Roman"/>
          <w:noProof/>
        </w:rPr>
        <w:t>statoimia. Makrotalouden epätasapainoa koskeva menettely toteutetaan osana talouspolitiikan eurooppalaista ohjausjaksoa. Näin pyritään varmistamaan johdonmukaisuus niiden analyysien ja suositusten kanssa, jotka ovat tulosta muiden talousvalvonnan välineide</w:t>
      </w:r>
      <w:r>
        <w:rPr>
          <w:rFonts w:ascii="Times New Roman" w:hAnsi="Times New Roman"/>
          <w:noProof/>
        </w:rPr>
        <w:t>n käytöstä. Samaan aikaan tämän kertomuksen kanssa hyväksytään vuotuinen kestävän kasvun strategia, jossa tarkastellaan Euroopan taloudellista ja yhteiskunnallista tilannetta sekä asetetaan EU:lle laaja-alaisia ensisijaisia politiikkatavoitteita.</w:t>
      </w:r>
    </w:p>
    <w:p w:rsidR="005C26C8" w:rsidRDefault="00115404">
      <w:pPr>
        <w:spacing w:after="200"/>
        <w:ind w:left="0"/>
        <w:jc w:val="both"/>
        <w:rPr>
          <w:rFonts w:ascii="Times New Roman" w:hAnsi="Times New Roman" w:cs="Times New Roman"/>
          <w:noProof/>
        </w:rPr>
      </w:pPr>
      <w:r>
        <w:rPr>
          <w:rFonts w:ascii="Times New Roman" w:hAnsi="Times New Roman"/>
          <w:b/>
          <w:noProof/>
        </w:rPr>
        <w:t>Tässä ker</w:t>
      </w:r>
      <w:r>
        <w:rPr>
          <w:rFonts w:ascii="Times New Roman" w:hAnsi="Times New Roman"/>
          <w:b/>
          <w:noProof/>
        </w:rPr>
        <w:t>tomuksessa nimetään jäsenvaltiot, joista olisi tehtävä perusteellinen tarkastelu sen arvioimiseksi, onko niissä politiikkatoimia edellyttäviä epätasapainoja.</w:t>
      </w:r>
      <w:r>
        <w:rPr>
          <w:rFonts w:ascii="Times New Roman" w:hAnsi="Times New Roman" w:cs="Times New Roman"/>
          <w:noProof/>
          <w:vertAlign w:val="superscript"/>
        </w:rPr>
        <w:footnoteReference w:id="4"/>
      </w:r>
      <w:r>
        <w:rPr>
          <w:rFonts w:ascii="Times New Roman" w:hAnsi="Times New Roman"/>
          <w:noProof/>
        </w:rPr>
        <w:t xml:space="preserve"> Varoitusmekanismia koskeva kertomus on talouden epätasapainojen tarkasteluväline, joka julkaistaa</w:t>
      </w:r>
      <w:r>
        <w:rPr>
          <w:rFonts w:ascii="Times New Roman" w:hAnsi="Times New Roman"/>
          <w:noProof/>
        </w:rPr>
        <w:t>n aina talouspolitiikan vuotuisen koordinointikierroksen alussa. Siinä esitetty analyysi pohjautuu talouspoliittisiin päätelmiin, jotka tehdään ohjeellisiin kynnysarvoihin suhteutettujen indikaattoreiden sekä tiettyjen lisäindikaattoreiden perusteella. Ker</w:t>
      </w:r>
      <w:r>
        <w:rPr>
          <w:rFonts w:ascii="Times New Roman" w:hAnsi="Times New Roman"/>
          <w:noProof/>
        </w:rPr>
        <w:t xml:space="preserve">tomuksen 2. kohta sisältää myös analyysin siitä, miten jäsenvaltioiden epätasapainot vaikuttavat koko euroalueeseen ja missä määrin ne edellyttävät </w:t>
      </w:r>
      <w:r>
        <w:rPr>
          <w:rFonts w:ascii="Times New Roman" w:hAnsi="Times New Roman"/>
          <w:noProof/>
        </w:rPr>
        <w:lastRenderedPageBreak/>
        <w:t>koordinoituja politiikkatoimia euroalueen jäsenvaltioiden keskinäisten riippuvuussuhteiden vuoksi.</w:t>
      </w:r>
      <w:r>
        <w:rPr>
          <w:rFonts w:ascii="Times New Roman" w:hAnsi="Times New Roman" w:cs="Times New Roman"/>
          <w:noProof/>
          <w:vertAlign w:val="superscript"/>
        </w:rPr>
        <w:footnoteReference w:id="5"/>
      </w:r>
      <w:r>
        <w:rPr>
          <w:rFonts w:ascii="Times New Roman" w:hAnsi="Times New Roman"/>
          <w:noProof/>
        </w:rPr>
        <w:t xml:space="preserve"> Tältä os</w:t>
      </w:r>
      <w:r>
        <w:rPr>
          <w:rFonts w:ascii="Times New Roman" w:hAnsi="Times New Roman"/>
          <w:noProof/>
        </w:rPr>
        <w:t>in tässä kertomuksessa esitetty analyysi täydentää arviointia, joka on esitetty euroalueen talouden analyysia koskevassa Euroopan komission yksiköiden valmisteluasiakirjassa, joka liittyy komission suositukseen neuvoston suositukseksi euroalueen talouspoli</w:t>
      </w:r>
      <w:r>
        <w:rPr>
          <w:rFonts w:ascii="Times New Roman" w:hAnsi="Times New Roman"/>
          <w:noProof/>
        </w:rPr>
        <w:t>tiikasta.</w:t>
      </w:r>
    </w:p>
    <w:p w:rsidR="005C26C8" w:rsidRDefault="00115404">
      <w:pPr>
        <w:spacing w:after="200"/>
        <w:ind w:left="0"/>
        <w:jc w:val="both"/>
        <w:rPr>
          <w:noProof/>
        </w:rPr>
      </w:pPr>
      <w:r>
        <w:rPr>
          <w:b/>
          <w:noProof/>
        </w:rPr>
        <w:t xml:space="preserve">Varoitusmekanismia koskeva kertomus perustuu analyysiin, jonka mukaan talousnäkymät ovat muuttumassa: talouskasvu heikkenee ja inflaatio-odotuksia on tarkistettu alaspäin. </w:t>
      </w:r>
      <w:r>
        <w:rPr>
          <w:noProof/>
        </w:rPr>
        <w:t>Euroopan komission syksyn 2019 talousennusteen mukaan reaalisen BKT:n kasv</w:t>
      </w:r>
      <w:r>
        <w:rPr>
          <w:noProof/>
        </w:rPr>
        <w:t>u on EU:ssa 1,4 prosenttia ja euroalueella 1,1 prosenttia vuonna 2019. Tämä tarkoittaa, että kasvu hidastuu, sillä se oli EU:ssa 2 prosenttia ja euroalueella 1,9 prosenttia vuonna 2018. Vuonna 2020 BKT:n kasvun ennustetaan olevan EU:ssa 1,4 prosenttia ja e</w:t>
      </w:r>
      <w:r>
        <w:rPr>
          <w:noProof/>
        </w:rPr>
        <w:t xml:space="preserve">uroalueella 1,2 prosenttia. Vuoden 2018 lopulta asti luvut ovat viitanneet vauhdin heikkenemiseen varsinkin nettoviennin ja teollisuustuotannon osalta. Laskusuhdanne on näkynyt erityisesti euroalueen suurissa jäsenvaltioissa, joihin kaupankäynti vaikuttaa </w:t>
      </w:r>
      <w:r>
        <w:rPr>
          <w:noProof/>
        </w:rPr>
        <w:t>enemmän, kun kauppapoliittisen toimintaympäristön epävarmuus lisääntyy.</w:t>
      </w:r>
      <w:r>
        <w:rPr>
          <w:rStyle w:val="FootnoteReference"/>
          <w:rFonts w:cstheme="minorHAnsi"/>
          <w:noProof/>
        </w:rPr>
        <w:footnoteReference w:id="6"/>
      </w:r>
      <w:r>
        <w:rPr>
          <w:noProof/>
        </w:rPr>
        <w:t xml:space="preserve"> Inflaatio-odotukset ovat laskeneet huomattavasti, minkä seurauksena rahaviranomaiset ovat toteuttaneet vuoden 2019 jälkipuoliskolla toimenpiteitä, joiden tarkoituksena on torjua tuota</w:t>
      </w:r>
      <w:r>
        <w:rPr>
          <w:noProof/>
        </w:rPr>
        <w:t>nnon ja hintojen alkavaa laskusuhdannetta.</w:t>
      </w:r>
      <w:r>
        <w:rPr>
          <w:rFonts w:ascii="Times New Roman" w:hAnsi="Times New Roman"/>
          <w:noProof/>
        </w:rPr>
        <w:t xml:space="preserve"> Joukkolainojen tuotto on heikentynyt erityisesti pidemmissä maturiteeteissa. Vaikka kuluttajahintainflaatio ja tuottavuuden kasvu ovat viime aikoina hidastuneet, palkkojen nousu on vuodesta 2018 lähtien jonkin ver</w:t>
      </w:r>
      <w:r>
        <w:rPr>
          <w:rFonts w:ascii="Times New Roman" w:hAnsi="Times New Roman"/>
          <w:noProof/>
        </w:rPr>
        <w:t>ran vahvistunut, kun työmarkkinat ovat kiristyneet.</w:t>
      </w:r>
    </w:p>
    <w:p w:rsidR="005C26C8" w:rsidRDefault="00115404">
      <w:pPr>
        <w:spacing w:after="200"/>
        <w:ind w:left="0"/>
        <w:jc w:val="both"/>
        <w:rPr>
          <w:rFonts w:ascii="Times New Roman" w:hAnsi="Times New Roman" w:cs="Times New Roman"/>
          <w:noProof/>
        </w:rPr>
      </w:pPr>
      <w:r>
        <w:rPr>
          <w:rFonts w:ascii="Times New Roman" w:hAnsi="Times New Roman"/>
          <w:b/>
          <w:noProof/>
        </w:rPr>
        <w:t xml:space="preserve">Olemassa olevat makrotalouden epätasapainot ovat vähitellen korjautuneet suotuisassa taloustilanteessa. </w:t>
      </w:r>
      <w:r>
        <w:rPr>
          <w:rFonts w:ascii="Times New Roman" w:hAnsi="Times New Roman"/>
          <w:noProof/>
        </w:rPr>
        <w:t>Kriisin jälkeen velkaantumista on purettu laajalti, minkä seurauksena useat virtojen epätasapainot j</w:t>
      </w:r>
      <w:r>
        <w:rPr>
          <w:rFonts w:ascii="Times New Roman" w:hAnsi="Times New Roman"/>
          <w:noProof/>
        </w:rPr>
        <w:t>a kestämättömät suuntaukset ovat korjautuneet (erityisesti suuret vaihtotaseen alijäämät, asuntojen hintojen nousua kiihdyttävä luotonannon liiallinen kasvu ja suuret yksikkötyökustannukset, jotka ovat merkki kustannuskilpailukyvyn heikkenemisestä). Varant</w:t>
      </w:r>
      <w:r>
        <w:rPr>
          <w:rFonts w:ascii="Times New Roman" w:hAnsi="Times New Roman"/>
          <w:noProof/>
        </w:rPr>
        <w:t>oepätasapainoihin liittyvien heikkouksien (yksityisen ja julkisen velan sekä ulkomaisen velan suuri määrä) korjautuminen on alkanut myöhemmin ja edennyt hitaammin, mutta velkasuhteet ovat kääntyneet vankemmin laskusuuntaan, kun talous on kasvanut ja hinnat</w:t>
      </w:r>
      <w:r>
        <w:rPr>
          <w:rFonts w:ascii="Times New Roman" w:hAnsi="Times New Roman"/>
          <w:noProof/>
        </w:rPr>
        <w:t xml:space="preserve"> ovat kääntyneet jälleen nousuun viime vuosina. Samaan aikaan talouden toimeliaisuuden kiihtymiseen on useissa jäsenvaltioissa liittynyt yksikkötyökustannusten ja asuntojen hintojen voimakas nousu. </w:t>
      </w:r>
    </w:p>
    <w:p w:rsidR="005C26C8" w:rsidRDefault="00115404">
      <w:pPr>
        <w:spacing w:after="200"/>
        <w:ind w:left="0"/>
        <w:jc w:val="both"/>
        <w:rPr>
          <w:rFonts w:ascii="Times New Roman" w:hAnsi="Times New Roman" w:cs="Times New Roman"/>
          <w:noProof/>
        </w:rPr>
      </w:pPr>
      <w:r>
        <w:rPr>
          <w:rFonts w:ascii="Times New Roman" w:hAnsi="Times New Roman"/>
          <w:b/>
          <w:noProof/>
        </w:rPr>
        <w:t>Talousnäkymien muutos saattaa tarkoittaa olemassa olevien</w:t>
      </w:r>
      <w:r>
        <w:rPr>
          <w:rFonts w:ascii="Times New Roman" w:hAnsi="Times New Roman"/>
          <w:b/>
          <w:noProof/>
        </w:rPr>
        <w:t xml:space="preserve"> epätasapainojen hitaampaa mukautumista tai uusien riskien toteutumista tilanteessa, jossa liikkumavara häiriöihin vastaamiseksi on kapenemassa</w:t>
      </w:r>
      <w:r>
        <w:rPr>
          <w:rFonts w:ascii="Times New Roman" w:hAnsi="Times New Roman"/>
          <w:noProof/>
        </w:rPr>
        <w:t>. Talousnäkymiin kohdistuvat heikkenemisriskit liittyvät erityisesti kaupan jännitteisiin ja globaalien arvoketju</w:t>
      </w:r>
      <w:r>
        <w:rPr>
          <w:rFonts w:ascii="Times New Roman" w:hAnsi="Times New Roman"/>
          <w:noProof/>
        </w:rPr>
        <w:t>jen häiriöihin, kehittyvien talouksien odotettua voimakkaampaan laskusuhdanteeseen ja geopoliittisten jännitteiden kärjistymiseen.</w:t>
      </w:r>
      <w:r>
        <w:rPr>
          <w:rFonts w:ascii="Times New Roman" w:hAnsi="Times New Roman" w:cs="Times New Roman"/>
          <w:noProof/>
          <w:vertAlign w:val="superscript"/>
        </w:rPr>
        <w:footnoteReference w:id="7"/>
      </w:r>
      <w:r>
        <w:rPr>
          <w:rFonts w:ascii="Times New Roman" w:hAnsi="Times New Roman"/>
          <w:noProof/>
        </w:rPr>
        <w:t xml:space="preserve"> Nimelliskasvun odotetaan heikkenevän, mikä tarkoittaa, että myös velan vähentämistä tukeva ympäristö on heikompi. </w:t>
      </w:r>
      <w:r>
        <w:rPr>
          <w:noProof/>
        </w:rPr>
        <w:t>Korkojen h</w:t>
      </w:r>
      <w:r>
        <w:rPr>
          <w:noProof/>
        </w:rPr>
        <w:t>uomattava aleneminen vähentää velkakustannuksia, mutta aiheuttaa toisaalta myös haasteita, jotka liittyvät muun muassa heikompiin kannustimiin vähentää velkaa, tuoton tavoittelusta johtuvaan mahdollisesti liialliseen riskinottoon ja rahoituslaitosten kanna</w:t>
      </w:r>
      <w:r>
        <w:rPr>
          <w:noProof/>
        </w:rPr>
        <w:t>ttavuuden heikkenemiseen tuottokäyrien tasoittuessa.</w:t>
      </w:r>
      <w:r>
        <w:rPr>
          <w:rStyle w:val="FootnoteReference"/>
          <w:noProof/>
        </w:rPr>
        <w:footnoteReference w:id="8"/>
      </w:r>
      <w:r>
        <w:rPr>
          <w:rFonts w:ascii="Times New Roman" w:hAnsi="Times New Roman"/>
          <w:noProof/>
        </w:rPr>
        <w:t xml:space="preserve"> Rahapoliittinen liikkumavara politiikan häiriöihin puuttumiseksi on kapenemassa, ja mahdollisuudet pehmentää häiriöitä yksityisten ja julkisten säästöjen avulla vaihtelevat huomattavasti eri puolilla EU</w:t>
      </w:r>
      <w:r>
        <w:rPr>
          <w:rFonts w:ascii="Times New Roman" w:hAnsi="Times New Roman"/>
          <w:noProof/>
        </w:rPr>
        <w:t>:ta, sillä rajoituksena ovat korkeat velkasuhteet lukuisissa jäsenvaltioissa.</w:t>
      </w:r>
    </w:p>
    <w:p w:rsidR="005C26C8" w:rsidRDefault="00115404">
      <w:pPr>
        <w:spacing w:after="120"/>
        <w:ind w:left="0"/>
        <w:jc w:val="both"/>
        <w:rPr>
          <w:rFonts w:cstheme="minorHAnsi"/>
          <w:b/>
          <w:noProof/>
        </w:rPr>
      </w:pPr>
      <w:r>
        <w:rPr>
          <w:b/>
          <w:noProof/>
        </w:rPr>
        <w:t>Kertomuksessa esitetyn horisontaalisen analyysin perusteella voidaan tehdä muun muassa seuraavat päätelmät:</w:t>
      </w:r>
    </w:p>
    <w:p w:rsidR="005C26C8" w:rsidRDefault="00115404">
      <w:pPr>
        <w:numPr>
          <w:ilvl w:val="0"/>
          <w:numId w:val="6"/>
        </w:numPr>
        <w:tabs>
          <w:tab w:val="left" w:pos="426"/>
        </w:tabs>
        <w:spacing w:after="120"/>
        <w:ind w:left="426" w:hanging="284"/>
        <w:jc w:val="both"/>
        <w:rPr>
          <w:rFonts w:eastAsia="Times New Roman" w:cstheme="minorHAnsi"/>
          <w:bCs/>
          <w:noProof/>
        </w:rPr>
      </w:pPr>
      <w:r>
        <w:rPr>
          <w:b/>
          <w:noProof/>
        </w:rPr>
        <w:t>Vaihtotaseet ovat hieman heikentyneet koko EU:ssa vuonna 2018, alijä</w:t>
      </w:r>
      <w:r>
        <w:rPr>
          <w:b/>
          <w:noProof/>
        </w:rPr>
        <w:t>ämät ovat edelleen poikkeus ja suuret ylijäämät jatkuvat.</w:t>
      </w:r>
      <w:r>
        <w:rPr>
          <w:noProof/>
        </w:rPr>
        <w:t xml:space="preserve"> Harvoja poikkeuksia lukuun ottamatta maissa, joissa on aiemmin ollut suuria vaihtotaseen ylijäämiä, vaihtotaseet ovat nyt pitkälti tasapainossa, kun taas joissakin jäsenvaltioissa on edelleen suuria</w:t>
      </w:r>
      <w:r>
        <w:rPr>
          <w:noProof/>
        </w:rPr>
        <w:t xml:space="preserve"> ja pysyviä ylijäämiä, jotka ylittävät talouden perustekijöiden mukaisen tason. Kaupan hidastuminen, vakaa kotimainen kysyntä ja öljyn hinnannousu ovat heikentäneet vaihtotaseita kautta linjan. </w:t>
      </w:r>
    </w:p>
    <w:p w:rsidR="005C26C8" w:rsidRDefault="00115404">
      <w:pPr>
        <w:numPr>
          <w:ilvl w:val="0"/>
          <w:numId w:val="6"/>
        </w:numPr>
        <w:tabs>
          <w:tab w:val="left" w:pos="426"/>
        </w:tabs>
        <w:spacing w:after="120"/>
        <w:ind w:left="426" w:hanging="284"/>
        <w:jc w:val="both"/>
        <w:rPr>
          <w:rFonts w:eastAsia="Times New Roman" w:cstheme="minorHAnsi"/>
          <w:bCs/>
          <w:noProof/>
        </w:rPr>
      </w:pPr>
      <w:r>
        <w:rPr>
          <w:b/>
          <w:noProof/>
        </w:rPr>
        <w:t>Ulkomaiset nettovarallisuusasemat (NIIP) ovat parantuneet nop</w:t>
      </w:r>
      <w:r>
        <w:rPr>
          <w:b/>
          <w:noProof/>
        </w:rPr>
        <w:t>eammin, mutta monissa jäsenvaltioissa on edelleen paljon ulkomaista velkaa.</w:t>
      </w:r>
      <w:r>
        <w:rPr>
          <w:noProof/>
        </w:rPr>
        <w:t xml:space="preserve"> Maltilliset vaihtotaseet ja viime vuosien jatkuva nimelliskasvu ovat tukeneet ulkomaisen rahoitusvelan supistamista suhteessa BKT:hen. Nettovelallismaiden ulkomaiset nettovarallisu</w:t>
      </w:r>
      <w:r>
        <w:rPr>
          <w:noProof/>
        </w:rPr>
        <w:t>usasemat ovat parantuneet aiempaa nopeammin myös positiivisten arvostusvaikutusten ansiosta. Nämä vaikutukset eivät kuitenkaan ole välttämättä pysyviä. Ulkomaiset nettovarallisuusasemat ovat edelleen pitkälti negatiivisia useissa EU-maissa, ja eräisiin vii</w:t>
      </w:r>
      <w:r>
        <w:rPr>
          <w:noProof/>
        </w:rPr>
        <w:t>meksi toteutuneisiin vaihtotaseisiin liittyy riski, että ne eivät riitä turvaamaan ulkoisten varantoasemien paranemista riittävän nopeasti. Samaan aikaan suuret nettovelkojat ovat kirjanneet yhä positiivisempia ulkomaisia nettovarallisuusasemia suurten yli</w:t>
      </w:r>
      <w:r>
        <w:rPr>
          <w:noProof/>
        </w:rPr>
        <w:t>jäämien vuoksi.</w:t>
      </w:r>
    </w:p>
    <w:p w:rsidR="005C26C8" w:rsidRDefault="00115404">
      <w:pPr>
        <w:numPr>
          <w:ilvl w:val="0"/>
          <w:numId w:val="6"/>
        </w:numPr>
        <w:tabs>
          <w:tab w:val="left" w:pos="426"/>
        </w:tabs>
        <w:spacing w:after="120"/>
        <w:ind w:left="426" w:hanging="284"/>
        <w:jc w:val="both"/>
        <w:rPr>
          <w:rFonts w:eastAsia="Times New Roman" w:cstheme="minorHAnsi"/>
          <w:bCs/>
          <w:noProof/>
        </w:rPr>
      </w:pPr>
      <w:r>
        <w:rPr>
          <w:b/>
          <w:noProof/>
        </w:rPr>
        <w:t xml:space="preserve">Yksikkötyökustannukset ovat monissa jäsenvaltioissa kasvaneet aiempaa nopeammin, kun palkkojen nousu on kiihtynyt ja tuottavuuden kasvu hidastunut. </w:t>
      </w:r>
      <w:r>
        <w:rPr>
          <w:noProof/>
        </w:rPr>
        <w:t>Palkkojen nousu on kiihtynyt kaikkialla EU:ssa, kun työmarkkinat ovat kiristyneet. Yksikkötyökustannusten kasvu liittyy yhä enemmän myös tuottavuuden kasvun hidastumiseen. Joissain tapauksissa, erityisesti Keski- ja Itä-Euroopan ja Baltian maissa yksikköty</w:t>
      </w:r>
      <w:r>
        <w:rPr>
          <w:noProof/>
        </w:rPr>
        <w:t>ökustannusten merkittävä kasvu on jatkoa muutama vuosi sitten alkaneelle suuntaukselle, joka liittyy työvoiman kysynnän kasvuun sekä osaamisvajeisiin ja työvoiman tarjonnan pullonkauloihin talouksissa, joissa palkat ovat keskimääräistä alhaisemmat. Myös eu</w:t>
      </w:r>
      <w:r>
        <w:rPr>
          <w:noProof/>
        </w:rPr>
        <w:t>roalueen maissa yksikkötyökustannusten kasvu on kiihtynyt viime aikoina, joskin vähemmän. Yksikkötyökustannukset ovat kasvaneet nettovelkojamaissa enemmän kuin nettovelallismaissa. Ero on kuitenkin kaventumassa, minkä seurauksena kustannuskilpailukyvyn keh</w:t>
      </w:r>
      <w:r>
        <w:rPr>
          <w:noProof/>
        </w:rPr>
        <w:t xml:space="preserve">itys ei enää samalla tavoin tue symmetrisempää tasapainottamista. </w:t>
      </w:r>
    </w:p>
    <w:p w:rsidR="005C26C8" w:rsidRDefault="00115404">
      <w:pPr>
        <w:numPr>
          <w:ilvl w:val="0"/>
          <w:numId w:val="6"/>
        </w:numPr>
        <w:tabs>
          <w:tab w:val="left" w:pos="426"/>
        </w:tabs>
        <w:spacing w:after="120"/>
        <w:ind w:left="426" w:hanging="284"/>
        <w:jc w:val="both"/>
        <w:rPr>
          <w:rFonts w:cstheme="minorHAnsi"/>
          <w:noProof/>
        </w:rPr>
      </w:pPr>
      <w:r>
        <w:rPr>
          <w:b/>
          <w:noProof/>
        </w:rPr>
        <w:t xml:space="preserve">Reaaliset efektiiviset valuuttakurssit (REER) ovat vahvistuneet. </w:t>
      </w:r>
      <w:r>
        <w:rPr>
          <w:noProof/>
        </w:rPr>
        <w:t>Reaaliset efektiiviset valuuttakurssit ovat vuodesta 2016 alkaen vahvistuneet useissa maissa samalla kun yksikkötyökustannus</w:t>
      </w:r>
      <w:r>
        <w:rPr>
          <w:noProof/>
        </w:rPr>
        <w:t>ten kasvu on kiihtynyt ja valuuttakurssien nimellinen vahvistuminen jatkunut. Edeltävinä vuosina suhteelliset kustannukset ja hinnat laskivat monissa EU:n jäsenvaltioissa, kun nimelliset valuuttakurssit laskivat ja kustannus- ja hintainflaatio oli kilpaili</w:t>
      </w:r>
      <w:r>
        <w:rPr>
          <w:noProof/>
        </w:rPr>
        <w:t>joihin verrattuna vaimeaa. Alakohtainen uudelleenkohdentaminen suljetulta sektorilta avoimen sektorin toimintoihin, mitä nettovelallismaissa on tapahtunut useiden vuosien ajan kriisin jälkeen, on nyt hidastumassa tai pysähtymässä tai jopa kääntymässä päinv</w:t>
      </w:r>
      <w:r>
        <w:rPr>
          <w:noProof/>
        </w:rPr>
        <w:t>astaiseksi.</w:t>
      </w:r>
    </w:p>
    <w:p w:rsidR="005C26C8" w:rsidRDefault="00115404">
      <w:pPr>
        <w:pStyle w:val="ListParagraph"/>
        <w:numPr>
          <w:ilvl w:val="0"/>
          <w:numId w:val="6"/>
        </w:numPr>
        <w:tabs>
          <w:tab w:val="left" w:pos="426"/>
        </w:tabs>
        <w:spacing w:after="120"/>
        <w:ind w:left="426" w:hanging="284"/>
        <w:contextualSpacing w:val="0"/>
        <w:jc w:val="both"/>
        <w:rPr>
          <w:rFonts w:eastAsia="Times New Roman" w:cstheme="minorHAnsi"/>
          <w:noProof/>
        </w:rPr>
      </w:pPr>
      <w:r>
        <w:rPr>
          <w:b/>
          <w:noProof/>
        </w:rPr>
        <w:t xml:space="preserve">Yksityisen sektorin velkavivun purkaminen etenee pitkälti nimellisen BKT:n kasvun ansiosta, kun taas kotitalouksien velkaantumisen väheneminen on hidastunut. </w:t>
      </w:r>
      <w:r>
        <w:rPr>
          <w:noProof/>
        </w:rPr>
        <w:t>Yksityisen sektorin nettosäästöt ovat vähentyneet, ja velkasuhteen supistuminen johtuu</w:t>
      </w:r>
      <w:r>
        <w:rPr>
          <w:noProof/>
        </w:rPr>
        <w:t xml:space="preserve"> enenevässä määrin nimellisen BKT:n kasvusta. Velkavivun purkaminen on hidastunut, mikä johtuu sekä säästöjen vähenemisestä että BKT:n kasvun hidastumisesta. Erityisesti kotitaloudet ovat lisänneet lainanottoaan yhä useammissa jäsenvaltioissa. Vaikka velka</w:t>
      </w:r>
      <w:r>
        <w:rPr>
          <w:noProof/>
        </w:rPr>
        <w:t>antumista on purettu useimmissa maissa, joissa velkasuhde on korkea, yksityisen sektorin velkasuhde on kasvanut muutamissa korkean velkaantuneisuuden maissa. Julkinen velka on edelleen vähentynyt useimmissa jäsenvaltioissa, mutta muutamissa korkean velkaan</w:t>
      </w:r>
      <w:r>
        <w:rPr>
          <w:noProof/>
        </w:rPr>
        <w:t xml:space="preserve">tuneisuuden maissa vähennystä ei ole tapahtunut tai se on ollut rajallista. Valtion joukkovelkakirjojen tuotto kuitenkin laski huomattavasti vuonna 2019, myös kaikkein velkaantuneimpien valtiollisten lainanottajien osalta. </w:t>
      </w:r>
    </w:p>
    <w:p w:rsidR="005C26C8" w:rsidRDefault="00115404">
      <w:pPr>
        <w:numPr>
          <w:ilvl w:val="0"/>
          <w:numId w:val="1"/>
        </w:numPr>
        <w:spacing w:after="120"/>
        <w:ind w:left="426" w:hanging="284"/>
        <w:jc w:val="both"/>
        <w:rPr>
          <w:rFonts w:eastAsia="Times New Roman" w:cstheme="minorHAnsi"/>
          <w:noProof/>
        </w:rPr>
      </w:pPr>
      <w:r>
        <w:rPr>
          <w:b/>
          <w:noProof/>
        </w:rPr>
        <w:t>EU:n pankkisektorin häiriönsieto</w:t>
      </w:r>
      <w:r>
        <w:rPr>
          <w:b/>
          <w:noProof/>
        </w:rPr>
        <w:t xml:space="preserve">kyky on parantunut, mutta joitakin haasteita on yhä jäljellä. </w:t>
      </w:r>
      <w:r>
        <w:rPr>
          <w:noProof/>
        </w:rPr>
        <w:t>Vakavaraisuussuhteiden kasvu on pysähtynyt tasolle, joka ylittää sääntelynormit. Myös oman pääoman tuotto on vakiintunut aiempien vuosien paranemisen jälkeen. Järjestämättömien lainojen osuus on</w:t>
      </w:r>
      <w:r>
        <w:rPr>
          <w:noProof/>
        </w:rPr>
        <w:t xml:space="preserve"> laskenut viime vuosina huomattavasti. Ongelmaluottojen määrä vähenee tällä hetkellä merkittävästi vain niissä maissa, joissa järjestämättömien lainojen osuus on suuri. Haasteita on kuitenkin edelleen useissa EU-maissa, joissa vakavaraisuussuhde ja kannatt</w:t>
      </w:r>
      <w:r>
        <w:rPr>
          <w:noProof/>
        </w:rPr>
        <w:t xml:space="preserve">avuuden tunnusluvut ovat suhteellisen alhaisia ja järjestämättömien lainojen osuus suuri. </w:t>
      </w:r>
      <w:r>
        <w:rPr>
          <w:rFonts w:ascii="Times New Roman" w:hAnsi="Times New Roman"/>
          <w:noProof/>
        </w:rPr>
        <w:t xml:space="preserve">Haasteita lisäävät muuttuvat talousnäkymät, joille on ominaista korkojen mataluus pitkällä aikavälillä ja heikkenevä talouskasvu. </w:t>
      </w:r>
    </w:p>
    <w:p w:rsidR="005C26C8" w:rsidRDefault="00115404">
      <w:pPr>
        <w:pStyle w:val="ListParagraph"/>
        <w:numPr>
          <w:ilvl w:val="0"/>
          <w:numId w:val="45"/>
        </w:numPr>
        <w:spacing w:after="120"/>
        <w:ind w:left="425" w:hanging="425"/>
        <w:contextualSpacing w:val="0"/>
        <w:jc w:val="both"/>
        <w:rPr>
          <w:rFonts w:ascii="Times New Roman" w:hAnsi="Times New Roman" w:cs="Times New Roman"/>
          <w:noProof/>
        </w:rPr>
      </w:pPr>
      <w:r>
        <w:rPr>
          <w:rFonts w:ascii="Times New Roman" w:hAnsi="Times New Roman"/>
          <w:b/>
          <w:noProof/>
        </w:rPr>
        <w:t xml:space="preserve">Asuntojen hinnat nousivat edelleen </w:t>
      </w:r>
      <w:r>
        <w:rPr>
          <w:rFonts w:ascii="Times New Roman" w:hAnsi="Times New Roman"/>
          <w:b/>
          <w:noProof/>
        </w:rPr>
        <w:t xml:space="preserve">nopeasti vuonna 2018, mutta hintakehitys hidastui siellä, missä on vahvempia merkkejä yliarvostuksesta. </w:t>
      </w:r>
      <w:r>
        <w:rPr>
          <w:noProof/>
        </w:rPr>
        <w:t>Asuntojen hinnat nousivat edelleen vuonna 2018, ja yhä useammassa maassa asuntojen arvostukset ovat olleet 2000-luvun puolivälistä lähtien huipussaan, j</w:t>
      </w:r>
      <w:r>
        <w:rPr>
          <w:noProof/>
        </w:rPr>
        <w:t xml:space="preserve">a asunnot ovat todennäköisesti yliarvostettuja. </w:t>
      </w:r>
      <w:r>
        <w:rPr>
          <w:rFonts w:ascii="Times New Roman" w:hAnsi="Times New Roman"/>
          <w:noProof/>
        </w:rPr>
        <w:t>Eniten asuntojen hinnat kuitenkin nousivat eräissä EU-maissa, joissa on toistaiseksi ollut vain rajoitetusti merkkejä yliarvostuksesta. Sen sijaan niissä maissa, joissa huoli yliarvostuksesta on ollut suuremp</w:t>
      </w:r>
      <w:r>
        <w:rPr>
          <w:rFonts w:ascii="Times New Roman" w:hAnsi="Times New Roman"/>
          <w:noProof/>
        </w:rPr>
        <w:t>i ja kotitalouksilla enemmän velkaa, hinnat ovat usein laskeneet. Joissain maissa uudet asuntoluotot näyttävät lisääntyvän, mikä saattaa johtaa asuntojen hinnannousun kiihtymiseen edelleen.</w:t>
      </w:r>
    </w:p>
    <w:p w:rsidR="005C26C8" w:rsidRDefault="00115404">
      <w:pPr>
        <w:pStyle w:val="ListParagraph"/>
        <w:numPr>
          <w:ilvl w:val="0"/>
          <w:numId w:val="44"/>
        </w:numPr>
        <w:spacing w:after="200"/>
        <w:ind w:left="426" w:hanging="284"/>
        <w:contextualSpacing w:val="0"/>
        <w:jc w:val="both"/>
        <w:rPr>
          <w:rFonts w:cstheme="minorHAnsi"/>
          <w:noProof/>
        </w:rPr>
      </w:pPr>
      <w:r>
        <w:rPr>
          <w:b/>
          <w:noProof/>
        </w:rPr>
        <w:t xml:space="preserve">Työmarkkinat kohenivat edelleen, ja työttömyys on vähentynyt </w:t>
      </w:r>
      <w:r>
        <w:rPr>
          <w:b/>
          <w:noProof/>
        </w:rPr>
        <w:t>kaikissa EU:n jäsenvaltioissa.</w:t>
      </w:r>
      <w:r>
        <w:rPr>
          <w:noProof/>
        </w:rPr>
        <w:t xml:space="preserve"> Työttömyys on vähentynyt edelleen eri puolilla EU:ta, erityisesti nuorten ja pitkäaikaistyöttömien keskuudessa. Työmarkkinoiden kiristyminen näkyi jossain määrin voimakkaampana palkkojen nousuna myös euroalueen maissa. Siitä </w:t>
      </w:r>
      <w:r>
        <w:rPr>
          <w:noProof/>
        </w:rPr>
        <w:t>lähtien kun elpyminen alkoi, reaalipalkat nousivat vähemmän kuin työn tuottavuus vuoteen 2017 asti. Muutos tapahtui vasta vuodesta 2018 alkaen. Vaikka työllisyyden ja palkkojen kasvuun perustuva ansiotulojen lisääntyminen on osaltaan edistänyt kotimaisen k</w:t>
      </w:r>
      <w:r>
        <w:rPr>
          <w:noProof/>
        </w:rPr>
        <w:t>ysynnän kasvua, ei ole juurikaan näyttöä palkkojen nousun siirtymisestä hinta-inflaatioon.</w:t>
      </w:r>
      <w:r>
        <w:rPr>
          <w:rStyle w:val="FootnoteReference"/>
          <w:noProof/>
        </w:rPr>
        <w:footnoteReference w:id="9"/>
      </w:r>
    </w:p>
    <w:p w:rsidR="005C26C8" w:rsidRDefault="00115404">
      <w:pPr>
        <w:spacing w:after="200"/>
        <w:ind w:left="0"/>
        <w:jc w:val="both"/>
        <w:rPr>
          <w:rFonts w:cstheme="minorHAnsi"/>
          <w:noProof/>
        </w:rPr>
      </w:pPr>
      <w:r>
        <w:rPr>
          <w:b/>
          <w:noProof/>
        </w:rPr>
        <w:t>Tässä taloustilanteessa euroalueella tarvitaan sekä vaihtotaseen alijäämien että vaihtotaseen ylijäämien tasapainottamista, josta olisi hyötyä kaikille jäsenvaltioi</w:t>
      </w:r>
      <w:r>
        <w:rPr>
          <w:b/>
          <w:noProof/>
        </w:rPr>
        <w:t>lle</w:t>
      </w:r>
      <w:r>
        <w:rPr>
          <w:noProof/>
        </w:rPr>
        <w:t>.</w:t>
      </w:r>
      <w:r>
        <w:rPr>
          <w:b/>
          <w:noProof/>
        </w:rPr>
        <w:t xml:space="preserve"> </w:t>
      </w:r>
      <w:r>
        <w:rPr>
          <w:noProof/>
        </w:rPr>
        <w:t>Euroalueen vaihtotaseen ylijäämän ennustetaan kääntyvän laskusuuntaan vientikysynnän hidastuessa, mutta pysyttelevän lähellä huippuaan ja talouden perustekijöiden mukaisen tason yläpuolella. Euroalueen ylijäämä kasvoi vahvan vientituloksen ansiosta ja</w:t>
      </w:r>
      <w:r>
        <w:rPr>
          <w:noProof/>
        </w:rPr>
        <w:t xml:space="preserve"> siksi, että velkaantumista purettiin merkittävästi talouden eri aloilla, myös maissa, joissa tarvetta velkaantumisen purkamiseen oli vain vähän tai ei lainkaan. Viimeisin maltillinen kehitys johtuu pääasiassa globaalin kaupan heikkenemisestä ja suuremmast</w:t>
      </w:r>
      <w:r>
        <w:rPr>
          <w:noProof/>
        </w:rPr>
        <w:t>a energiataseen vajeesta. Tässä taloustilanteessa on suurempi tarve edistyä euroalueella sekä vaihtotaseen alijäämien että vaihtotaseen ylijäämien tasapainottamisessa, edistää siirtymistä korkeampaan inflaatio- ja korkotasoon ja vähentää riippuvuutta ulkom</w:t>
      </w:r>
      <w:r>
        <w:rPr>
          <w:noProof/>
        </w:rPr>
        <w:t>aisesta kysynnästä. Tätä varten euroalueen jäsenvaltioissa tarvitaan asianmukaista politiikkayhdistelmää, jossa otetaan huomioon keskinäiset riippuvuussuhteet ja heijastusvaikutukset. Vaikka monissa nettovelallismaissa on aiemmin korjattu suuriakin vaihtot</w:t>
      </w:r>
      <w:r>
        <w:rPr>
          <w:noProof/>
        </w:rPr>
        <w:t>aseen alijäämiä, niiden vaihtotaseet ovat heikkenemässä, ja suurten ulkomaisen ja kotimaisen velan määrien vähentäminen edellyttää jatkuvaa varovaisuusperiaatteiden mukaisten vaihtotaseiden ylläpitämistä ja velan asianmukaisen supistamisvauhdin varmistamis</w:t>
      </w:r>
      <w:r>
        <w:rPr>
          <w:noProof/>
        </w:rPr>
        <w:t>ta samalla kun jatketaan uudistuksia, jotka lisäävät BKT:n kasvupotentiaalia. Nettovelkojamaissa olisi hyödynnettävä alhaisten korkojen tarjoamaa mahdollisuutta lisätä jatkuvasti julkisia ja yksityisiä investointeja. Hyödyntämällä suotuisaa julkisen taloud</w:t>
      </w:r>
      <w:r>
        <w:rPr>
          <w:noProof/>
        </w:rPr>
        <w:t xml:space="preserve">en rahoitusasemaa investointien ja muun tuottavan varainkäytön tukemiseen näissä maissa voitaisiin myös vähentää kasvunäkymien riippuvuutta ulkomaisesta kysynnästä ja tukea tasapainottamista euroalueella. </w:t>
      </w:r>
    </w:p>
    <w:p w:rsidR="005C26C8" w:rsidRDefault="00115404">
      <w:pPr>
        <w:spacing w:after="200"/>
        <w:ind w:left="0"/>
        <w:jc w:val="both"/>
        <w:rPr>
          <w:rFonts w:ascii="Times New Roman" w:hAnsi="Times New Roman" w:cs="Times New Roman"/>
          <w:noProof/>
        </w:rPr>
      </w:pPr>
      <w:r>
        <w:rPr>
          <w:b/>
          <w:noProof/>
        </w:rPr>
        <w:t>Mahdolliset epätasapainojen lähteet ovat kaiken ka</w:t>
      </w:r>
      <w:r>
        <w:rPr>
          <w:b/>
          <w:noProof/>
        </w:rPr>
        <w:t>ikkiaan pitkälti samat kuin vuoden 2019 varoitusmekanismia koskevassa kertomuksessa, mutta näkymät näyttäisivät olevan monessa suhteessa heikkenemään päin.</w:t>
      </w:r>
      <w:r>
        <w:rPr>
          <w:rFonts w:ascii="Times New Roman" w:hAnsi="Times New Roman"/>
          <w:noProof/>
        </w:rPr>
        <w:t xml:space="preserve"> Ulkoiset varantoasemat ovat parantuneet suotuisassa taloustilanteessa nopeammin, mutta vaihtotaseide</w:t>
      </w:r>
      <w:r>
        <w:rPr>
          <w:rFonts w:ascii="Times New Roman" w:hAnsi="Times New Roman"/>
          <w:noProof/>
        </w:rPr>
        <w:t>n heikkeneminen ja nimellisen BKT:n hitaampi kasvu vähentävät lisäparannusten mahdollisuuksia. Jäljellä on yhä suuria vaihtotaseen ylijäämiä, kun taas kilpailukyvyn kehitys ei enää samalla tavoin tue tasapainottamista ja reaalisten efektiivisten valuuttaku</w:t>
      </w:r>
      <w:r>
        <w:rPr>
          <w:rFonts w:ascii="Times New Roman" w:hAnsi="Times New Roman"/>
          <w:noProof/>
        </w:rPr>
        <w:t>rssien vahvistuminen yleistyy. Yksityisen sektorin velkaantuminen vähenee hitaammin, joissain tapauksissa velkatason ollessa jo korkea, ja se on perustunut enenevässä määrin nimellisen BKT:n kasvuun. Nimellisen kasvun heikkenevien näkymien vuoksi herää kys</w:t>
      </w:r>
      <w:r>
        <w:rPr>
          <w:rFonts w:ascii="Times New Roman" w:hAnsi="Times New Roman"/>
          <w:noProof/>
        </w:rPr>
        <w:t>ymys, voidaanko velkaa edelleen vähentää maissa, joissa sitä on paljon, ilman yksityisten tai julkisten säästöjen lisäämistä tai BKT:n kasvupotentiaalin paranemista. Rahoitusalalla tilanne on vuosia jatkuneiden huomattavien parannusten jälkeen vakiintunut,</w:t>
      </w:r>
      <w:r>
        <w:rPr>
          <w:rFonts w:ascii="Times New Roman" w:hAnsi="Times New Roman"/>
          <w:noProof/>
        </w:rPr>
        <w:t xml:space="preserve"> mutta tulevaisuudessa saattaa ilmetä matalaan korkotasoon liittyviä uusia haasteita. Asuntojen hinnat nousevat edelleen voimakkaasti, ja asuntojen arvostukset ovat huipussaan yhä useammissa EU-maissa. Yliarvostetuilla markkinoilla hintojennousu hidastuu, </w:t>
      </w:r>
      <w:r>
        <w:rPr>
          <w:rFonts w:ascii="Times New Roman" w:hAnsi="Times New Roman"/>
          <w:noProof/>
        </w:rPr>
        <w:t xml:space="preserve">mutta asuntoluottojen uudelleenkäynnistyminen saattaa joissain maissa tehdä asuntohintojen noususta itseään ylläpitävän ilmiön. </w:t>
      </w:r>
    </w:p>
    <w:p w:rsidR="005C26C8" w:rsidRDefault="00115404">
      <w:pPr>
        <w:spacing w:after="200"/>
        <w:ind w:left="0"/>
        <w:jc w:val="both"/>
        <w:rPr>
          <w:rFonts w:ascii="Times New Roman" w:hAnsi="Times New Roman" w:cs="Times New Roman"/>
          <w:noProof/>
        </w:rPr>
      </w:pPr>
      <w:r>
        <w:rPr>
          <w:rFonts w:ascii="Times New Roman" w:hAnsi="Times New Roman"/>
          <w:b/>
          <w:noProof/>
        </w:rPr>
        <w:t>Mahdolliset epätasapainojen lähteet yhdistyvät tiettyjen ryhmien puitteissa</w:t>
      </w:r>
      <w:r>
        <w:rPr>
          <w:rFonts w:ascii="Times New Roman" w:hAnsi="Times New Roman"/>
          <w:noProof/>
        </w:rPr>
        <w:t xml:space="preserve">. Useat jäsenvaltiot kärsivät edelleen moninaisista </w:t>
      </w:r>
      <w:r>
        <w:rPr>
          <w:rFonts w:ascii="Times New Roman" w:hAnsi="Times New Roman"/>
          <w:noProof/>
        </w:rPr>
        <w:t>ja toisiinsa liittyvistä velkaantuneisuuden aiheuttamista haavoittuvuuksista, jotka saattavat jossain määrin heijastaa rahoitusalan olosuhteita. Muutamissa jäsenvaltioissa haavoittuvuus johtuu pääasiassa suuresta ja pysyvästä julkisesta velasta ja kasvupot</w:t>
      </w:r>
      <w:r>
        <w:rPr>
          <w:rFonts w:ascii="Times New Roman" w:hAnsi="Times New Roman"/>
          <w:noProof/>
        </w:rPr>
        <w:t>entiaalia rajoittavasta heikosta tuottavuudesta ja kilpailukyvystä. Joillakin mailla on puolestaan suuri pitkäaikainen vaihtotaseen ylijäämä. Joissakin jäsenvaltioissa huolenaiheet liittyvät kustannuskilpailukyvyn kehitykseen, johon saattaa liittyä myös ul</w:t>
      </w:r>
      <w:r>
        <w:rPr>
          <w:rFonts w:ascii="Times New Roman" w:hAnsi="Times New Roman"/>
          <w:noProof/>
        </w:rPr>
        <w:t>koisen rahoitusaseman heikkeneminen. Muutamissa jäsenvaltioissa suurimmat haasteet johtuvat asuntojen hintojen kehityksestä, johon joissain tapauksissa liittyy kotitalouksien suuri velkaantuminen.</w:t>
      </w:r>
    </w:p>
    <w:p w:rsidR="005C26C8" w:rsidRDefault="00115404">
      <w:pPr>
        <w:spacing w:after="200"/>
        <w:ind w:left="0"/>
        <w:jc w:val="both"/>
        <w:rPr>
          <w:noProof/>
          <w:color w:val="000000" w:themeColor="text1"/>
        </w:rPr>
      </w:pPr>
      <w:r>
        <w:rPr>
          <w:rFonts w:ascii="Times New Roman" w:hAnsi="Times New Roman"/>
          <w:b/>
          <w:noProof/>
        </w:rPr>
        <w:t>Tulevat haasteet edellyttävät makrotalouden epätasapainoa k</w:t>
      </w:r>
      <w:r>
        <w:rPr>
          <w:rFonts w:ascii="Times New Roman" w:hAnsi="Times New Roman"/>
          <w:b/>
          <w:noProof/>
        </w:rPr>
        <w:t>oskevan menettelyn mukaisessa valvonnassa ennakoivaa toimintatapaa</w:t>
      </w:r>
      <w:r>
        <w:rPr>
          <w:rFonts w:ascii="Times New Roman" w:hAnsi="Times New Roman"/>
          <w:noProof/>
        </w:rPr>
        <w:t>. Koska suurin osa virtojen epätasapainoista on korjattu ja varantoepätasapainot vähenevät asteittain, makrotalouden epätasapainoa koskevan menettelyn mukaisessa valvonnassa kiinnitetään väh</w:t>
      </w:r>
      <w:r>
        <w:rPr>
          <w:rFonts w:ascii="Times New Roman" w:hAnsi="Times New Roman"/>
          <w:noProof/>
        </w:rPr>
        <w:t xml:space="preserve">itellen enemmän huomiota sellaisten mahdollisesti kestämättömien suuntausten seurantaan, jotka saattavat kiteytyä keskipitkällä aikavälillä. </w:t>
      </w:r>
      <w:r>
        <w:rPr>
          <w:noProof/>
        </w:rPr>
        <w:t>Samalla muuttuva taloustilanne, mukaan lukien riskit, jotka johtuvat pääasiassa euroalueen ja EU:n ulkopuolisesta t</w:t>
      </w:r>
      <w:r>
        <w:rPr>
          <w:noProof/>
        </w:rPr>
        <w:t>alousympäristöstä, korostavat tarvetta arvioida epätasapainoja yksityiskohtaisemmin myös euroalueen ja EU:n näkökulmasta.</w:t>
      </w:r>
    </w:p>
    <w:p w:rsidR="005C26C8" w:rsidRDefault="00115404">
      <w:pPr>
        <w:spacing w:after="200"/>
        <w:ind w:left="0"/>
        <w:jc w:val="both"/>
        <w:rPr>
          <w:rFonts w:cstheme="minorHAnsi"/>
          <w:noProof/>
        </w:rPr>
      </w:pPr>
      <w:r>
        <w:rPr>
          <w:b/>
          <w:noProof/>
        </w:rPr>
        <w:t>Useiden varoitusmekanismia koskevassa kertomuksessa mainittujen jäsenvaltioiden osalta esitetään yksityiskohtaisempi ja kattavampi ana</w:t>
      </w:r>
      <w:r>
        <w:rPr>
          <w:b/>
          <w:noProof/>
        </w:rPr>
        <w:t>lyysi niitä koskevassa perusteellisessa tarkastelussa</w:t>
      </w:r>
      <w:r>
        <w:rPr>
          <w:noProof/>
        </w:rPr>
        <w:t>. Kuten edellisillä vuotuisilla kierroksilla, perusteelliset tarkastelut sisällytetään maaraportteihin. Perusteellisissa tarkasteluissa esitettävä komission analyysi perustuu laajaan tietoaineistoon ja k</w:t>
      </w:r>
      <w:r>
        <w:rPr>
          <w:noProof/>
        </w:rPr>
        <w:t>omission yhteistyössä neuvoston komiteoiden ja työryhmien kanssa kehittämiin asiaankuuluviin tieto- ja arviointikehyksiin. Perusteellisissa tarkasteluissa esitettävä analyysi muodostaa perustan jäsenvaltioissa vallitsevien epätasapainojen tai liiallisten e</w:t>
      </w:r>
      <w:r>
        <w:rPr>
          <w:noProof/>
        </w:rPr>
        <w:t>pätasapainojen tunnistamiselle sekä maakohtaisten suositusten mahdolliselle päivittämiselle.</w:t>
      </w:r>
      <w:r>
        <w:rPr>
          <w:rFonts w:cstheme="minorHAnsi"/>
          <w:noProof/>
          <w:vertAlign w:val="superscript"/>
        </w:rPr>
        <w:footnoteReference w:id="10"/>
      </w:r>
      <w:r>
        <w:rPr>
          <w:noProof/>
        </w:rPr>
        <w:t xml:space="preserve"> Maat, joiden osalta on havaittu epätasapainoja tai liiallisia epätasapainoja, ovat nyt ja jatkossa erityisseurannan kohteena. Näin varmistetaan makrotalouden epät</w:t>
      </w:r>
      <w:r>
        <w:rPr>
          <w:noProof/>
        </w:rPr>
        <w:t>asapainoa koskevan menettelyn puitteissa toteutettujen politiikkatoimien jatkuva seuranta.</w:t>
      </w:r>
    </w:p>
    <w:p w:rsidR="005C26C8" w:rsidRDefault="00115404">
      <w:pPr>
        <w:spacing w:after="200"/>
        <w:ind w:left="0"/>
        <w:jc w:val="both"/>
        <w:rPr>
          <w:rFonts w:cstheme="minorHAnsi"/>
          <w:noProof/>
        </w:rPr>
      </w:pPr>
      <w:r>
        <w:rPr>
          <w:b/>
          <w:noProof/>
        </w:rPr>
        <w:t xml:space="preserve">Perusteelliset tarkastelut laaditaan jäsenvaltioista, joissa on jo havaittu epätasapainoja tai liiallisia epätasapainoja. </w:t>
      </w:r>
      <w:r>
        <w:rPr>
          <w:noProof/>
        </w:rPr>
        <w:t>Varovaisuuteen perustuvan vakiintuneen käyt</w:t>
      </w:r>
      <w:r>
        <w:rPr>
          <w:noProof/>
        </w:rPr>
        <w:t>ännön mukaisesti perusteelliset tarkastelut laaditaan sen arvioimiseksi, ovatko olemassa olevat epätasapainot purkautumassa, jatkumassa vai pahenemassa, ja niissä otetaan asianmukaisesti huomioon toteutetut korjaavat politiikkatoimet. Näin ollen perusteell</w:t>
      </w:r>
      <w:r>
        <w:rPr>
          <w:noProof/>
        </w:rPr>
        <w:t>inen tarkastelu tehdään niistä 13 jäsenvaltiosta, joissa havaittiin epätasapainoja ja liiallisia epätasapainoja helmikuussa 2019 tehdyissä perusteellisissa tarkasteluissa.</w:t>
      </w:r>
      <w:r>
        <w:rPr>
          <w:rFonts w:cstheme="minorHAnsi"/>
          <w:noProof/>
          <w:vertAlign w:val="superscript"/>
        </w:rPr>
        <w:footnoteReference w:id="11"/>
      </w:r>
      <w:r>
        <w:rPr>
          <w:noProof/>
        </w:rPr>
        <w:t xml:space="preserve"> Epätasapainoja on havaittu kymmenessä jäsenvaltiossa (</w:t>
      </w:r>
      <w:r>
        <w:rPr>
          <w:b/>
          <w:noProof/>
        </w:rPr>
        <w:t>Alankomaat, Bulgaria, Espanja</w:t>
      </w:r>
      <w:r>
        <w:rPr>
          <w:b/>
          <w:noProof/>
        </w:rPr>
        <w:t>, Irlanti, Kroatia, Portugali, Ranska, Romania, Ruotsi</w:t>
      </w:r>
      <w:r>
        <w:rPr>
          <w:noProof/>
        </w:rPr>
        <w:t xml:space="preserve"> ja </w:t>
      </w:r>
      <w:r>
        <w:rPr>
          <w:b/>
          <w:noProof/>
        </w:rPr>
        <w:t>Saksa</w:t>
      </w:r>
      <w:r>
        <w:rPr>
          <w:noProof/>
        </w:rPr>
        <w:t xml:space="preserve">) ja liiallisia epätasapainoja </w:t>
      </w:r>
      <w:r>
        <w:rPr>
          <w:b/>
          <w:noProof/>
        </w:rPr>
        <w:t>Italiassa</w:t>
      </w:r>
      <w:r>
        <w:rPr>
          <w:noProof/>
        </w:rPr>
        <w:t xml:space="preserve">, </w:t>
      </w:r>
      <w:r>
        <w:rPr>
          <w:b/>
          <w:noProof/>
        </w:rPr>
        <w:t>Kreikassa</w:t>
      </w:r>
      <w:r>
        <w:rPr>
          <w:noProof/>
        </w:rPr>
        <w:t xml:space="preserve"> ja </w:t>
      </w:r>
      <w:r>
        <w:rPr>
          <w:b/>
          <w:noProof/>
        </w:rPr>
        <w:t>Kyproksessa</w:t>
      </w:r>
      <w:r>
        <w:rPr>
          <w:noProof/>
        </w:rPr>
        <w:t>.</w:t>
      </w:r>
    </w:p>
    <w:p w:rsidR="005C26C8" w:rsidRDefault="00115404">
      <w:pPr>
        <w:ind w:left="0"/>
        <w:jc w:val="both"/>
        <w:rPr>
          <w:rFonts w:ascii="Times New Roman" w:hAnsi="Times New Roman" w:cs="Times New Roman"/>
          <w:noProof/>
        </w:rPr>
      </w:pPr>
      <w:r>
        <w:rPr>
          <w:rFonts w:ascii="Times New Roman" w:hAnsi="Times New Roman"/>
          <w:b/>
          <w:noProof/>
        </w:rPr>
        <w:t>Tässä varoitusmekanismia koskevassa kertomuksessa esitetyn analyysin perusteella komissio ei katso tarpeelliseksi tehdä perus</w:t>
      </w:r>
      <w:r>
        <w:rPr>
          <w:rFonts w:ascii="Times New Roman" w:hAnsi="Times New Roman"/>
          <w:b/>
          <w:noProof/>
        </w:rPr>
        <w:t xml:space="preserve">teellista tarkastelua muista jäsenvaltioista. </w:t>
      </w:r>
      <w:r>
        <w:rPr>
          <w:rFonts w:ascii="Times New Roman" w:hAnsi="Times New Roman"/>
          <w:noProof/>
        </w:rPr>
        <w:t>Varoitusmekanismia koskevan kertomuksen arvioinnissa ei mainita muita merkittäviä riskejä, joiden vuoksi olisi tarpeen tehdä uusi perusteellinen tarkastelu jostakin muusta jäsenvaltiosta, jossa ei ole todettu e</w:t>
      </w:r>
      <w:r>
        <w:rPr>
          <w:rFonts w:ascii="Times New Roman" w:hAnsi="Times New Roman"/>
          <w:noProof/>
        </w:rPr>
        <w:t xml:space="preserve">pätasapainoa tai liiallista epätasapainoa makrotalouden epätasapainoa koskevan menettelyn viimeisimmällä kierroksella. Sen sijaan tässä varoitusmekanismia koskevassa kertomuksessa todetaan, että </w:t>
      </w:r>
      <w:r>
        <w:rPr>
          <w:rFonts w:ascii="Times New Roman" w:hAnsi="Times New Roman"/>
          <w:b/>
          <w:noProof/>
        </w:rPr>
        <w:t>tulevissa maaraporteissa on seurattava tiiviisti</w:t>
      </w:r>
      <w:r>
        <w:rPr>
          <w:rFonts w:ascii="Times New Roman" w:hAnsi="Times New Roman"/>
          <w:noProof/>
        </w:rPr>
        <w:t xml:space="preserve"> useita kehit</w:t>
      </w:r>
      <w:r>
        <w:rPr>
          <w:rFonts w:ascii="Times New Roman" w:hAnsi="Times New Roman"/>
          <w:noProof/>
        </w:rPr>
        <w:t>yssuuntia, joihin saattaa niiden pitkittyessä liittyä makrotaloudellisia riskejä. Nämä riskit liittyvät yksikkötyökustannuksiin ja niiden vaikutuksiin ulkoiseen kilpailukykyyn useissa jäsenvaltioissa (Latvia, Liettua, Slovakia, Tšekki, Unkari ja Viro) sekä</w:t>
      </w:r>
      <w:r>
        <w:rPr>
          <w:rFonts w:ascii="Times New Roman" w:hAnsi="Times New Roman"/>
          <w:noProof/>
        </w:rPr>
        <w:t xml:space="preserve"> asuntomarkkinoihin ja kotitalouksien velkaan (Belgia, Itävalta, Luxemburg, Slovakia, Slovenia, Suomi, Tanska, Tšekki, Unkari ja Yhdistynyt kuningaskunta)</w:t>
      </w:r>
      <w:r>
        <w:rPr>
          <w:rStyle w:val="FootnoteReference"/>
          <w:rFonts w:ascii="Times New Roman" w:hAnsi="Times New Roman" w:cs="Times New Roman"/>
          <w:noProof/>
        </w:rPr>
        <w:footnoteReference w:id="12"/>
      </w:r>
      <w:r>
        <w:rPr>
          <w:noProof/>
        </w:rPr>
        <w:t>.</w:t>
      </w:r>
    </w:p>
    <w:p w:rsidR="005C26C8" w:rsidRDefault="005C26C8">
      <w:pPr>
        <w:ind w:left="0"/>
        <w:rPr>
          <w:rFonts w:eastAsia="MS Gothic" w:cstheme="minorHAnsi"/>
          <w:b/>
          <w:bCs/>
          <w:smallCaps/>
          <w:noProof/>
        </w:rPr>
      </w:pPr>
    </w:p>
    <w:p w:rsidR="005C26C8" w:rsidRDefault="005C26C8">
      <w:pPr>
        <w:ind w:left="0"/>
        <w:rPr>
          <w:rFonts w:eastAsia="MS Gothic" w:cstheme="minorHAnsi"/>
          <w:b/>
          <w:bCs/>
          <w:smallCaps/>
          <w:noProof/>
        </w:rPr>
      </w:pPr>
    </w:p>
    <w:p w:rsidR="005C26C8" w:rsidRDefault="00115404">
      <w:pPr>
        <w:ind w:left="0"/>
        <w:rPr>
          <w:rFonts w:eastAsia="MS Gothic" w:cstheme="minorHAnsi"/>
          <w:b/>
          <w:bCs/>
          <w:smallCaps/>
          <w:noProof/>
        </w:rPr>
      </w:pPr>
      <w:r>
        <w:rPr>
          <w:b/>
          <w:bCs/>
          <w:smallCaps/>
          <w:noProof/>
        </w:rPr>
        <w:t>2.</w:t>
      </w:r>
      <w:r>
        <w:rPr>
          <w:b/>
          <w:bCs/>
          <w:smallCaps/>
          <w:noProof/>
        </w:rPr>
        <w:tab/>
        <w:t>Makrotalouden epätasapainojen vaikutus euroalueella</w:t>
      </w:r>
    </w:p>
    <w:p w:rsidR="005C26C8" w:rsidRDefault="005C26C8">
      <w:pPr>
        <w:ind w:left="0"/>
        <w:rPr>
          <w:rFonts w:eastAsia="MS Gothic" w:cstheme="minorHAnsi"/>
          <w:b/>
          <w:bCs/>
          <w:smallCaps/>
          <w:noProof/>
        </w:rPr>
      </w:pPr>
    </w:p>
    <w:p w:rsidR="005C26C8" w:rsidRDefault="00115404">
      <w:pPr>
        <w:spacing w:after="120"/>
        <w:ind w:left="0"/>
        <w:jc w:val="both"/>
        <w:rPr>
          <w:rFonts w:ascii="Times New Roman" w:hAnsi="Times New Roman" w:cs="Times New Roman"/>
          <w:noProof/>
        </w:rPr>
      </w:pPr>
      <w:r>
        <w:rPr>
          <w:rFonts w:ascii="Times New Roman" w:hAnsi="Times New Roman"/>
          <w:b/>
          <w:noProof/>
        </w:rPr>
        <w:t xml:space="preserve">Euroalueen vaihtotase on ohittanut huippunsa, mutta se on edelleen hyvin ylijäämäinen. </w:t>
      </w:r>
      <w:r>
        <w:rPr>
          <w:rFonts w:ascii="Times New Roman" w:hAnsi="Times New Roman"/>
          <w:noProof/>
        </w:rPr>
        <w:t>Euroalueen vaihtotase on siirtynyt kriisiä edeltävästä pitkälti tasapainoisesta rahoitusasemasta huippulukemaan, joka oli 3,2 prosenttia suhteessa BKT:hen vuonna 2016. S</w:t>
      </w:r>
      <w:r>
        <w:rPr>
          <w:rFonts w:ascii="Times New Roman" w:hAnsi="Times New Roman"/>
          <w:noProof/>
        </w:rPr>
        <w:t>ittemmin se on laskenut vain vähän, 3,1 prosenttiin suhteessa BKT:hen vuonna 2018 (kuvio 1).</w:t>
      </w:r>
      <w:r>
        <w:rPr>
          <w:rFonts w:ascii="Times New Roman" w:hAnsi="Times New Roman" w:cs="Times New Roman"/>
          <w:noProof/>
          <w:vertAlign w:val="superscript"/>
        </w:rPr>
        <w:footnoteReference w:id="13"/>
      </w:r>
      <w:r>
        <w:rPr>
          <w:rFonts w:ascii="Times New Roman" w:hAnsi="Times New Roman"/>
          <w:noProof/>
        </w:rPr>
        <w:t xml:space="preserve"> Euroalueen vaihtotaseen ylijäämä on edelleen maailman suurin, ja sen arvioidaan ylittävän talouden perustekijöiden perusteella odotettavissa olevan arvon (noin 1,7 % suhteessa euroalueen BKT:hen vuonna 2018).</w:t>
      </w:r>
      <w:r>
        <w:rPr>
          <w:rFonts w:ascii="Times New Roman" w:hAnsi="Times New Roman" w:cs="Times New Roman"/>
          <w:noProof/>
          <w:vertAlign w:val="superscript"/>
        </w:rPr>
        <w:footnoteReference w:id="14"/>
      </w:r>
      <w:r>
        <w:rPr>
          <w:rFonts w:ascii="Times New Roman" w:hAnsi="Times New Roman"/>
          <w:noProof/>
        </w:rPr>
        <w:t xml:space="preserve"> Euroalueen vaihtotaseen ylijäämä johtuu pääas</w:t>
      </w:r>
      <w:r>
        <w:rPr>
          <w:rFonts w:ascii="Times New Roman" w:hAnsi="Times New Roman"/>
          <w:noProof/>
        </w:rPr>
        <w:t>iassa suurista ylijäämistä Saksassa ja Alankomaissa, joiden yhteenlasketut ulkoiset rahoitusasemat muodostivat 2,8 prosenttia euroalueen ylijäämästä vuonna 2018. Jos politiikka säilyy muuttumattomana, kausivaihtelusta puhdistetun euroalueen vaihtotaseen yl</w:t>
      </w:r>
      <w:r>
        <w:rPr>
          <w:rFonts w:ascii="Times New Roman" w:hAnsi="Times New Roman"/>
          <w:noProof/>
        </w:rPr>
        <w:t>ijäämän odotetaan Euroopan komission syksyn 2019 talousennusteen mukaan supistuvan 2,7 prosenttiin suhteessa BKT:hen vuonna 2019 ja edelleen 2,5 prosenttiin suhteessa BKT:hen vuoteen 2020 mennessä.</w:t>
      </w:r>
    </w:p>
    <w:p w:rsidR="005C26C8" w:rsidRDefault="00115404">
      <w:pPr>
        <w:spacing w:after="120"/>
        <w:ind w:left="0"/>
        <w:jc w:val="both"/>
        <w:rPr>
          <w:rFonts w:ascii="Times New Roman" w:hAnsi="Times New Roman" w:cs="Times New Roman"/>
          <w:noProof/>
        </w:rPr>
      </w:pPr>
      <w:r>
        <w:rPr>
          <w:rFonts w:ascii="Times New Roman" w:hAnsi="Times New Roman"/>
          <w:b/>
          <w:noProof/>
        </w:rPr>
        <w:t>Euroalueen vaihtotaseen ylijäämän supistuminen johtuu pääa</w:t>
      </w:r>
      <w:r>
        <w:rPr>
          <w:rFonts w:ascii="Times New Roman" w:hAnsi="Times New Roman"/>
          <w:b/>
          <w:noProof/>
        </w:rPr>
        <w:t>siassa kauppataseen heikkenemisestä.</w:t>
      </w:r>
      <w:r>
        <w:rPr>
          <w:rFonts w:ascii="Times New Roman" w:hAnsi="Times New Roman"/>
          <w:noProof/>
        </w:rPr>
        <w:t xml:space="preserve"> Tärkein tekijä vaihtotaseen supistumisessa vuosina 2016–2018 on energiatase, öljyn hinnannousun vuoksi. Energiataseen alijäämä oli –1,7 prosenttia suhteessa BKT:hen vuonna 2017, ja se syveni –2,1 prosenttiin suhteessa B</w:t>
      </w:r>
      <w:r>
        <w:rPr>
          <w:rFonts w:ascii="Times New Roman" w:hAnsi="Times New Roman"/>
          <w:noProof/>
        </w:rPr>
        <w:t>KT:hen vuonna 2018. Muun tavarakaupan tase on pysynyt suunnilleen vakaana, noin 4,6 prosentissa suhteessa BKT:hen. Maailmanlaajuinen kasvun ja kaupan hidastuminen vuoden 2018 puolivälistä alkaen, kauppapoliittiseen toimintaympäristöön liittyvän epävarmuude</w:t>
      </w:r>
      <w:r>
        <w:rPr>
          <w:rFonts w:ascii="Times New Roman" w:hAnsi="Times New Roman"/>
          <w:noProof/>
        </w:rPr>
        <w:t>n jatkuva lisääntyminen ja euron efektiivisen valuuttakurssin vahvistuminen vuonna 2018 ovat syitä euroalueen kasvun hidastumiseen sekä tuonnin että viennin osalta. Kuukausitason tiedot osoittavat, että euroalueen tavaravienti ja -tuonti muun maailman kans</w:t>
      </w:r>
      <w:r>
        <w:rPr>
          <w:rFonts w:ascii="Times New Roman" w:hAnsi="Times New Roman"/>
          <w:noProof/>
        </w:rPr>
        <w:t>sa supistuvat edelleen vuonna 2019 (kuvio 2). Euroalueen vaihtotasetta voivat edelleen heikentää useat tekijät, kuten suhdanneolojen suhteellinen heikkeneminen maailmantalouden muilla aloilla, rajoittavien kauppapolitiikkojen vaikutukset ja geopoliittisist</w:t>
      </w:r>
      <w:r>
        <w:rPr>
          <w:rFonts w:ascii="Times New Roman" w:hAnsi="Times New Roman"/>
          <w:noProof/>
        </w:rPr>
        <w:t>a jännitteistä johtuva öljyn hinnannousun jatkuminen.</w:t>
      </w:r>
    </w:p>
    <w:p w:rsidR="00115404" w:rsidRDefault="00115404">
      <w:pPr>
        <w:rPr>
          <w:rFonts w:ascii="Times New Roman" w:hAnsi="Times New Roman" w:cs="Times New Roman"/>
          <w:noProof/>
        </w:rPr>
      </w:pPr>
      <w:r>
        <w:rPr>
          <w:rFonts w:ascii="Times New Roman" w:hAnsi="Times New Roman" w:cs="Times New Roman"/>
          <w:noProof/>
        </w:rPr>
        <w:br w:type="page"/>
      </w:r>
    </w:p>
    <w:p w:rsidR="005C26C8" w:rsidRDefault="005C26C8">
      <w:pPr>
        <w:spacing w:after="120"/>
        <w:ind w:left="0"/>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1"/>
        <w:gridCol w:w="4661"/>
      </w:tblGrid>
      <w:tr w:rsidR="005C26C8">
        <w:tc>
          <w:tcPr>
            <w:tcW w:w="4661" w:type="dxa"/>
            <w:tcBorders>
              <w:top w:val="nil"/>
              <w:left w:val="nil"/>
              <w:bottom w:val="nil"/>
              <w:right w:val="nil"/>
            </w:tcBorders>
            <w:shd w:val="clear" w:color="auto" w:fill="auto"/>
          </w:tcPr>
          <w:p w:rsidR="005C26C8" w:rsidRDefault="00115404">
            <w:pPr>
              <w:spacing w:line="240" w:lineRule="auto"/>
              <w:ind w:left="0"/>
              <w:jc w:val="both"/>
              <w:rPr>
                <w:rFonts w:ascii="Times New Roman" w:hAnsi="Times New Roman" w:cs="Times New Roman"/>
                <w:b/>
                <w:noProof/>
              </w:rPr>
            </w:pPr>
            <w:r>
              <w:rPr>
                <w:rFonts w:ascii="Times New Roman" w:hAnsi="Times New Roman"/>
                <w:b/>
                <w:noProof/>
              </w:rPr>
              <w:t xml:space="preserve">Kuvio 1: Euroalueen vaihtotaseen kehitys: erittely maittain </w:t>
            </w:r>
          </w:p>
        </w:tc>
        <w:tc>
          <w:tcPr>
            <w:tcW w:w="4661" w:type="dxa"/>
            <w:tcBorders>
              <w:top w:val="nil"/>
              <w:left w:val="nil"/>
              <w:bottom w:val="nil"/>
              <w:right w:val="nil"/>
            </w:tcBorders>
            <w:shd w:val="clear" w:color="auto" w:fill="auto"/>
          </w:tcPr>
          <w:p w:rsidR="005C26C8" w:rsidRDefault="00115404">
            <w:pPr>
              <w:spacing w:line="240" w:lineRule="auto"/>
              <w:ind w:left="0"/>
              <w:jc w:val="both"/>
              <w:rPr>
                <w:rFonts w:ascii="Times New Roman" w:hAnsi="Times New Roman" w:cs="Times New Roman"/>
                <w:b/>
                <w:noProof/>
              </w:rPr>
            </w:pPr>
            <w:r>
              <w:rPr>
                <w:rFonts w:ascii="Times New Roman" w:hAnsi="Times New Roman"/>
                <w:b/>
                <w:noProof/>
              </w:rPr>
              <w:t xml:space="preserve">Kuvio 2: Euroalueen ja muun maailman välisen kaupan kehitys </w:t>
            </w:r>
          </w:p>
        </w:tc>
      </w:tr>
      <w:tr w:rsidR="005C26C8">
        <w:tblPrEx>
          <w:tblCellMar>
            <w:left w:w="70" w:type="dxa"/>
            <w:right w:w="70" w:type="dxa"/>
          </w:tblCellMar>
        </w:tblPrEx>
        <w:trPr>
          <w:trHeight w:val="3346"/>
        </w:trPr>
        <w:tc>
          <w:tcPr>
            <w:tcW w:w="4661" w:type="dxa"/>
            <w:tcBorders>
              <w:top w:val="nil"/>
              <w:left w:val="nil"/>
              <w:bottom w:val="nil"/>
              <w:right w:val="nil"/>
            </w:tcBorders>
            <w:shd w:val="clear" w:color="auto" w:fill="auto"/>
          </w:tcPr>
          <w:p w:rsidR="005C26C8" w:rsidRDefault="00115404">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anchor distT="0" distB="0" distL="114300" distR="114300" simplePos="0" relativeHeight="251673600" behindDoc="0" locked="0" layoutInCell="1" allowOverlap="1">
                  <wp:simplePos x="0" y="0"/>
                  <wp:positionH relativeFrom="column">
                    <wp:posOffset>22860</wp:posOffset>
                  </wp:positionH>
                  <wp:positionV relativeFrom="paragraph">
                    <wp:posOffset>73660</wp:posOffset>
                  </wp:positionV>
                  <wp:extent cx="2892425" cy="2796540"/>
                  <wp:effectExtent l="0" t="0" r="3175" b="381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2425"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61" w:type="dxa"/>
            <w:tcBorders>
              <w:top w:val="nil"/>
              <w:left w:val="nil"/>
              <w:bottom w:val="nil"/>
              <w:right w:val="nil"/>
            </w:tcBorders>
            <w:shd w:val="clear" w:color="auto" w:fill="auto"/>
          </w:tcPr>
          <w:p w:rsidR="005C26C8" w:rsidRDefault="00115404">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anchor distT="0" distB="0" distL="114300" distR="114300" simplePos="0" relativeHeight="251674624" behindDoc="0" locked="0" layoutInCell="1" allowOverlap="1">
                  <wp:simplePos x="0" y="0"/>
                  <wp:positionH relativeFrom="column">
                    <wp:posOffset>-1067</wp:posOffset>
                  </wp:positionH>
                  <wp:positionV relativeFrom="paragraph">
                    <wp:posOffset>-2748</wp:posOffset>
                  </wp:positionV>
                  <wp:extent cx="2797175" cy="2873380"/>
                  <wp:effectExtent l="0" t="0" r="3175" b="31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175" cy="2873380"/>
                          </a:xfrm>
                          <a:prstGeom prst="rect">
                            <a:avLst/>
                          </a:prstGeom>
                          <a:noFill/>
                          <a:ln>
                            <a:noFill/>
                          </a:ln>
                        </pic:spPr>
                      </pic:pic>
                    </a:graphicData>
                  </a:graphic>
                </wp:anchor>
              </w:drawing>
            </w:r>
          </w:p>
        </w:tc>
      </w:tr>
      <w:tr w:rsidR="005C26C8">
        <w:tc>
          <w:tcPr>
            <w:tcW w:w="4661" w:type="dxa"/>
            <w:tcBorders>
              <w:top w:val="nil"/>
              <w:left w:val="nil"/>
              <w:bottom w:val="nil"/>
              <w:right w:val="nil"/>
            </w:tcBorders>
            <w:shd w:val="clear" w:color="auto" w:fill="auto"/>
          </w:tcPr>
          <w:p w:rsidR="005C26C8" w:rsidRDefault="00115404">
            <w:pPr>
              <w:spacing w:line="240" w:lineRule="auto"/>
              <w:ind w:left="0"/>
              <w:jc w:val="both"/>
              <w:rPr>
                <w:rFonts w:ascii="Times New Roman" w:hAnsi="Times New Roman" w:cs="Times New Roman"/>
                <w:noProof/>
                <w:sz w:val="20"/>
              </w:rPr>
            </w:pPr>
            <w:r>
              <w:rPr>
                <w:rFonts w:ascii="Times New Roman" w:hAnsi="Times New Roman"/>
                <w:i/>
                <w:noProof/>
                <w:sz w:val="20"/>
              </w:rPr>
              <w:t>Lähde:</w:t>
            </w:r>
            <w:r>
              <w:rPr>
                <w:rFonts w:ascii="Times New Roman" w:hAnsi="Times New Roman"/>
                <w:noProof/>
                <w:sz w:val="20"/>
              </w:rPr>
              <w:t xml:space="preserve"> Eurostatin maksutaseluvut, </w:t>
            </w:r>
            <w:r>
              <w:rPr>
                <w:noProof/>
                <w:sz w:val="20"/>
                <w:szCs w:val="20"/>
              </w:rPr>
              <w:t xml:space="preserve">Euroopan komission syksyn 2019 </w:t>
            </w:r>
            <w:r>
              <w:rPr>
                <w:noProof/>
                <w:sz w:val="20"/>
                <w:szCs w:val="20"/>
              </w:rPr>
              <w:t>talousennuste</w:t>
            </w:r>
            <w:r>
              <w:rPr>
                <w:rFonts w:ascii="Times New Roman" w:hAnsi="Times New Roman"/>
                <w:noProof/>
                <w:sz w:val="20"/>
              </w:rPr>
              <w:t xml:space="preserve">. </w:t>
            </w:r>
          </w:p>
        </w:tc>
        <w:tc>
          <w:tcPr>
            <w:tcW w:w="4661" w:type="dxa"/>
            <w:tcBorders>
              <w:top w:val="nil"/>
              <w:left w:val="nil"/>
              <w:bottom w:val="nil"/>
              <w:right w:val="nil"/>
            </w:tcBorders>
            <w:shd w:val="clear" w:color="auto" w:fill="auto"/>
          </w:tcPr>
          <w:p w:rsidR="005C26C8" w:rsidRDefault="00115404">
            <w:pPr>
              <w:spacing w:line="240" w:lineRule="auto"/>
              <w:ind w:left="0"/>
              <w:jc w:val="both"/>
              <w:rPr>
                <w:rFonts w:ascii="Times New Roman" w:hAnsi="Times New Roman" w:cs="Times New Roman"/>
                <w:noProof/>
                <w:sz w:val="20"/>
              </w:rPr>
            </w:pPr>
            <w:r>
              <w:rPr>
                <w:rFonts w:ascii="Times New Roman" w:hAnsi="Times New Roman"/>
                <w:i/>
                <w:noProof/>
                <w:sz w:val="20"/>
              </w:rPr>
              <w:t>Lähde:</w:t>
            </w:r>
            <w:r>
              <w:rPr>
                <w:rFonts w:ascii="Times New Roman" w:hAnsi="Times New Roman"/>
                <w:noProof/>
                <w:sz w:val="20"/>
              </w:rPr>
              <w:t xml:space="preserve"> Eurostatin ulkomaankauppatilastot</w:t>
            </w:r>
          </w:p>
          <w:p w:rsidR="005C26C8" w:rsidRDefault="00115404">
            <w:pPr>
              <w:spacing w:line="240" w:lineRule="auto"/>
              <w:ind w:left="0"/>
              <w:jc w:val="both"/>
              <w:rPr>
                <w:rFonts w:ascii="Times New Roman" w:hAnsi="Times New Roman" w:cs="Times New Roman"/>
                <w:noProof/>
                <w:sz w:val="20"/>
              </w:rPr>
            </w:pPr>
            <w:r>
              <w:rPr>
                <w:rFonts w:ascii="Times New Roman" w:hAnsi="Times New Roman"/>
                <w:i/>
                <w:noProof/>
                <w:sz w:val="20"/>
              </w:rPr>
              <w:t>Huom.</w:t>
            </w:r>
            <w:r>
              <w:rPr>
                <w:rFonts w:ascii="Times New Roman" w:hAnsi="Times New Roman"/>
                <w:noProof/>
                <w:sz w:val="20"/>
              </w:rPr>
              <w:t xml:space="preserve"> Kausitasoitetut tiedot, käypinä hintoina. </w:t>
            </w:r>
          </w:p>
        </w:tc>
      </w:tr>
    </w:tbl>
    <w:p w:rsidR="005C26C8" w:rsidRDefault="005C26C8">
      <w:pPr>
        <w:spacing w:before="120" w:after="120"/>
        <w:ind w:left="0"/>
        <w:jc w:val="both"/>
        <w:rPr>
          <w:rFonts w:ascii="Times New Roman" w:hAnsi="Times New Roman" w:cs="Times New Roman"/>
          <w:b/>
          <w:noProof/>
        </w:rPr>
      </w:pPr>
    </w:p>
    <w:p w:rsidR="005C26C8" w:rsidRDefault="00115404">
      <w:pPr>
        <w:spacing w:after="120"/>
        <w:ind w:left="0"/>
        <w:jc w:val="both"/>
        <w:rPr>
          <w:noProof/>
        </w:rPr>
      </w:pPr>
      <w:r>
        <w:rPr>
          <w:rFonts w:ascii="Times New Roman" w:hAnsi="Times New Roman"/>
          <w:b/>
          <w:noProof/>
        </w:rPr>
        <w:t xml:space="preserve">Euroalueen vaihtotaseen ylijäämä on viime aikoina hieman supistunut, mutta taustalla ovat eri tekijät kuin ne, jotka aiemmin kasvattivat sitä. </w:t>
      </w:r>
      <w:r>
        <w:rPr>
          <w:rFonts w:ascii="Times New Roman" w:hAnsi="Times New Roman"/>
          <w:noProof/>
        </w:rPr>
        <w:t>Euroalueen vaihtotase kääntyi ylijäämäiseksi vuoden 2008 finanssikriisin jälkeen, mikä johtui suurten alijäämien jyrkästä korjausliikkeestä valtioiden rajat ylittävien rahavirtojen suunnan käännyttyä. Ylijäämä kasvoi, kun velkakriisi levisi Espanjaan ja It</w:t>
      </w:r>
      <w:r>
        <w:rPr>
          <w:rFonts w:ascii="Times New Roman" w:hAnsi="Times New Roman"/>
          <w:noProof/>
        </w:rPr>
        <w:t>aliaan ja kotimainen kysyntä näissä maissa vaimeni. Samaan aikaan myös Saksan suuri vaihtotaseen ylijäämä kasvoi asteittain, kun kotimainen kysyntä kasvoi hitaammin kuin tuotanto ja velkaantuminen väheni kaikilla talouden sektoreilla. Kaiken kaikkiaan euro</w:t>
      </w:r>
      <w:r>
        <w:rPr>
          <w:rFonts w:ascii="Times New Roman" w:hAnsi="Times New Roman"/>
          <w:noProof/>
        </w:rPr>
        <w:t>alueen ylijäämän kasvu finanssikriisin jälkeen vuoteen 2016 saakka johtui pääasiassa yksityisen sektorin laaja-alaisesta velkaantumisen vähentämisestä, johon julkinen sektori liittyi sen jälkeen kun velkakriisi paheni vuonna 2011. Euroalueen ylijäämän supi</w:t>
      </w:r>
      <w:r>
        <w:rPr>
          <w:rFonts w:ascii="Times New Roman" w:hAnsi="Times New Roman"/>
          <w:noProof/>
        </w:rPr>
        <w:t>stuminen vuodesta 2017 johtuu pääasiassa ylijäämän supistumisesta Saksassa ja jossain määrin myös Italiassa ja Espanjassa, jotka ovat suhteellisen suuria teollisuusviejiä ja riippuvaisia hiilivetyjä sisältävien energialähteiden tuonnista. Euroalueen vaihto</w:t>
      </w:r>
      <w:r>
        <w:rPr>
          <w:rFonts w:ascii="Times New Roman" w:hAnsi="Times New Roman"/>
          <w:noProof/>
        </w:rPr>
        <w:t>taseen viimeaikainen kehitys ei näyttäisi liittyvän merkittävään velkaantumisen lisääntymiseen vaan pikemminkin nettoviennin supistumiseen tilanteessa, jossa maailmanlaajuinen kauppa hidastuu ja energialasku kallistuu. Euroalueen vaihtotaseen ylijäämän sup</w:t>
      </w:r>
      <w:r>
        <w:rPr>
          <w:rFonts w:ascii="Times New Roman" w:hAnsi="Times New Roman"/>
          <w:noProof/>
        </w:rPr>
        <w:t>istuminen vuosina 2017 ja 2018 näkyy pääasiassa siinä, että rahoitusalan ulkopuolisten yritysten nettoluotonantoasema, joka oli positiivinen vuodesta 2013 asti, on alkanut heikentyä. Samaan aikaan yritysten nettosäästämisasteen kohtuullistuminen viime aiko</w:t>
      </w:r>
      <w:r>
        <w:rPr>
          <w:rFonts w:ascii="Times New Roman" w:hAnsi="Times New Roman"/>
          <w:noProof/>
        </w:rPr>
        <w:t xml:space="preserve">ina on tasapainottanut julkisen sektorin nettoluotonottoaseman paranemista (kuvio 4). </w:t>
      </w:r>
    </w:p>
    <w:p w:rsidR="005C26C8" w:rsidRDefault="00115404">
      <w:pPr>
        <w:rPr>
          <w:noProof/>
        </w:rPr>
      </w:pPr>
      <w:r>
        <w:rPr>
          <w:noProof/>
        </w:rPr>
        <w:br w:type="page"/>
      </w:r>
    </w:p>
    <w:tbl>
      <w:tblPr>
        <w:tblW w:w="0" w:type="auto"/>
        <w:tblLayout w:type="fixed"/>
        <w:tblLook w:val="04A0" w:firstRow="1" w:lastRow="0" w:firstColumn="1" w:lastColumn="0" w:noHBand="0" w:noVBand="1"/>
      </w:tblPr>
      <w:tblGrid>
        <w:gridCol w:w="4661"/>
        <w:gridCol w:w="4661"/>
      </w:tblGrid>
      <w:tr w:rsidR="005C26C8">
        <w:tc>
          <w:tcPr>
            <w:tcW w:w="4661" w:type="dxa"/>
            <w:shd w:val="clear" w:color="auto" w:fill="auto"/>
          </w:tcPr>
          <w:p w:rsidR="005C26C8" w:rsidRDefault="00115404">
            <w:pPr>
              <w:spacing w:line="240" w:lineRule="auto"/>
              <w:ind w:left="0"/>
              <w:jc w:val="both"/>
              <w:rPr>
                <w:rFonts w:ascii="Times New Roman" w:hAnsi="Times New Roman" w:cs="Times New Roman"/>
                <w:b/>
                <w:noProof/>
              </w:rPr>
            </w:pPr>
            <w:r>
              <w:rPr>
                <w:rFonts w:ascii="Times New Roman" w:hAnsi="Times New Roman"/>
                <w:b/>
                <w:noProof/>
              </w:rPr>
              <w:t>Kuvio 3: Euroalueen tuotanto, kotimainen kysyntä, nettovienti ja pohjainflaatio</w:t>
            </w:r>
          </w:p>
        </w:tc>
        <w:tc>
          <w:tcPr>
            <w:tcW w:w="4661" w:type="dxa"/>
            <w:shd w:val="clear" w:color="auto" w:fill="auto"/>
          </w:tcPr>
          <w:p w:rsidR="005C26C8" w:rsidRDefault="00115404">
            <w:pPr>
              <w:spacing w:line="240" w:lineRule="auto"/>
              <w:ind w:left="0"/>
              <w:jc w:val="both"/>
              <w:rPr>
                <w:rFonts w:ascii="Times New Roman" w:hAnsi="Times New Roman" w:cs="Times New Roman"/>
                <w:b/>
                <w:noProof/>
              </w:rPr>
            </w:pPr>
            <w:r>
              <w:rPr>
                <w:rFonts w:ascii="Times New Roman" w:hAnsi="Times New Roman"/>
                <w:b/>
                <w:noProof/>
              </w:rPr>
              <w:t>Kuvio 4: Euroalueen nettoluotonanto /nettoluotonotto sektoreittain</w:t>
            </w:r>
          </w:p>
        </w:tc>
      </w:tr>
      <w:tr w:rsidR="005C26C8">
        <w:trPr>
          <w:trHeight w:val="3406"/>
        </w:trPr>
        <w:tc>
          <w:tcPr>
            <w:tcW w:w="4661" w:type="dxa"/>
            <w:shd w:val="clear" w:color="auto" w:fill="auto"/>
          </w:tcPr>
          <w:p w:rsidR="005C26C8" w:rsidRDefault="00115404">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2996907" cy="2698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956" cy="2702011"/>
                          </a:xfrm>
                          <a:prstGeom prst="rect">
                            <a:avLst/>
                          </a:prstGeom>
                          <a:noFill/>
                          <a:ln>
                            <a:noFill/>
                          </a:ln>
                        </pic:spPr>
                      </pic:pic>
                    </a:graphicData>
                  </a:graphic>
                </wp:inline>
              </w:drawing>
            </w:r>
          </w:p>
        </w:tc>
        <w:tc>
          <w:tcPr>
            <w:tcW w:w="4661" w:type="dxa"/>
            <w:shd w:val="clear" w:color="auto" w:fill="auto"/>
          </w:tcPr>
          <w:p w:rsidR="005C26C8" w:rsidRDefault="00115404">
            <w:pPr>
              <w:spacing w:line="240" w:lineRule="auto"/>
              <w:ind w:left="0"/>
              <w:jc w:val="both"/>
              <w:rPr>
                <w:rFonts w:ascii="Times New Roman" w:hAnsi="Times New Roman" w:cs="Times New Roman"/>
                <w:noProof/>
              </w:rPr>
            </w:pPr>
            <w:r>
              <w:rPr>
                <w:rFonts w:ascii="Times New Roman" w:hAnsi="Times New Roman" w:cs="Times New Roman"/>
                <w:noProof/>
                <w:lang w:val="en-GB" w:eastAsia="en-GB"/>
              </w:rPr>
              <w:drawing>
                <wp:inline distT="0" distB="0" distL="0" distR="0">
                  <wp:extent cx="3034880" cy="2288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311" cy="2291231"/>
                          </a:xfrm>
                          <a:prstGeom prst="rect">
                            <a:avLst/>
                          </a:prstGeom>
                          <a:noFill/>
                          <a:ln>
                            <a:noFill/>
                          </a:ln>
                        </pic:spPr>
                      </pic:pic>
                    </a:graphicData>
                  </a:graphic>
                </wp:inline>
              </w:drawing>
            </w:r>
          </w:p>
        </w:tc>
      </w:tr>
      <w:tr w:rsidR="005C26C8">
        <w:trPr>
          <w:trHeight w:val="224"/>
        </w:trPr>
        <w:tc>
          <w:tcPr>
            <w:tcW w:w="4661" w:type="dxa"/>
            <w:shd w:val="clear" w:color="auto" w:fill="auto"/>
          </w:tcPr>
          <w:p w:rsidR="005C26C8" w:rsidRDefault="00115404">
            <w:pPr>
              <w:spacing w:line="240" w:lineRule="auto"/>
              <w:ind w:left="0"/>
              <w:jc w:val="both"/>
              <w:rPr>
                <w:rFonts w:ascii="Times New Roman" w:hAnsi="Times New Roman" w:cs="Times New Roman"/>
                <w:noProof/>
                <w:sz w:val="20"/>
              </w:rPr>
            </w:pPr>
            <w:r>
              <w:rPr>
                <w:rFonts w:ascii="Times New Roman" w:hAnsi="Times New Roman"/>
                <w:i/>
                <w:noProof/>
                <w:sz w:val="20"/>
              </w:rPr>
              <w:t>Lähde:</w:t>
            </w:r>
            <w:r>
              <w:rPr>
                <w:rFonts w:ascii="Times New Roman" w:hAnsi="Times New Roman"/>
                <w:noProof/>
                <w:sz w:val="20"/>
              </w:rPr>
              <w:t xml:space="preserve"> AMECO-tietokanta</w:t>
            </w:r>
            <w:r>
              <w:rPr>
                <w:rFonts w:ascii="Times New Roman" w:hAnsi="Times New Roman" w:cs="Times New Roman"/>
                <w:noProof/>
                <w:sz w:val="20"/>
                <w:vertAlign w:val="superscript"/>
              </w:rPr>
              <w:footnoteReference w:id="15"/>
            </w:r>
          </w:p>
        </w:tc>
        <w:tc>
          <w:tcPr>
            <w:tcW w:w="4661" w:type="dxa"/>
            <w:shd w:val="clear" w:color="auto" w:fill="auto"/>
          </w:tcPr>
          <w:p w:rsidR="005C26C8" w:rsidRDefault="00115404">
            <w:pPr>
              <w:spacing w:line="240" w:lineRule="auto"/>
              <w:ind w:left="0"/>
              <w:jc w:val="both"/>
              <w:rPr>
                <w:rFonts w:ascii="Times New Roman" w:hAnsi="Times New Roman" w:cs="Times New Roman"/>
                <w:noProof/>
                <w:sz w:val="20"/>
              </w:rPr>
            </w:pPr>
            <w:r>
              <w:rPr>
                <w:rFonts w:ascii="Times New Roman" w:hAnsi="Times New Roman"/>
                <w:i/>
                <w:noProof/>
                <w:sz w:val="20"/>
              </w:rPr>
              <w:t>Lähde:</w:t>
            </w:r>
            <w:r>
              <w:rPr>
                <w:rFonts w:ascii="Times New Roman" w:hAnsi="Times New Roman"/>
                <w:noProof/>
                <w:sz w:val="20"/>
              </w:rPr>
              <w:t xml:space="preserve"> Eurostat </w:t>
            </w:r>
          </w:p>
        </w:tc>
      </w:tr>
    </w:tbl>
    <w:p w:rsidR="005C26C8" w:rsidRDefault="005C26C8">
      <w:pPr>
        <w:spacing w:after="120"/>
        <w:ind w:left="0"/>
        <w:jc w:val="both"/>
        <w:rPr>
          <w:rFonts w:ascii="Times New Roman" w:hAnsi="Times New Roman" w:cs="Times New Roman"/>
          <w:b/>
          <w:noProof/>
        </w:rPr>
      </w:pPr>
    </w:p>
    <w:p w:rsidR="005C26C8" w:rsidRDefault="00115404">
      <w:pPr>
        <w:spacing w:after="120"/>
        <w:ind w:left="0"/>
        <w:jc w:val="both"/>
        <w:rPr>
          <w:rFonts w:ascii="Times New Roman" w:hAnsi="Times New Roman" w:cs="Times New Roman"/>
          <w:noProof/>
        </w:rPr>
      </w:pPr>
      <w:r>
        <w:rPr>
          <w:rFonts w:ascii="Times New Roman" w:hAnsi="Times New Roman"/>
          <w:b/>
          <w:noProof/>
        </w:rPr>
        <w:t xml:space="preserve">Matalan inflaation ja matalan korkotason ympäristö aiheuttaa useita haasteita. </w:t>
      </w:r>
      <w:r>
        <w:rPr>
          <w:rFonts w:ascii="Times New Roman" w:hAnsi="Times New Roman"/>
          <w:noProof/>
        </w:rPr>
        <w:t xml:space="preserve">Rahaviranomaiset ovat toteuttaneet sekä euroalueella että muilla suuralueilla maailmassa toimenpiteitä torjuakseen tuotannon alkavaa </w:t>
      </w:r>
      <w:r>
        <w:rPr>
          <w:rFonts w:ascii="Times New Roman" w:hAnsi="Times New Roman"/>
          <w:noProof/>
        </w:rPr>
        <w:t>hidastumista ja inflaatio-odotusten kääntymistä alaspäin vuonna 2019. Näin ne ovat toimineet päinvastoin kuin aiemmin ilmoitettiin, kun tarkoituksena oli kiristää rahoitusehtoja. Joukkovelkakirjojen tuotot ovat kääntyneet negatiivisiksi ja laskevat erityis</w:t>
      </w:r>
      <w:r>
        <w:rPr>
          <w:rFonts w:ascii="Times New Roman" w:hAnsi="Times New Roman"/>
          <w:noProof/>
        </w:rPr>
        <w:t>esti tuottokäyrien pitkässä päässä. Riskialttiimpien joukkovelkakirjojen korkoerot kapenevat. Pohjainflaatio on edelleen alle rahaviranomaisten tavoitteen; euroalueen tuotantokuilun arvioidaan kaventuvan sen jälkeen kun se vuonna 2017 kääntyi positiiviseks</w:t>
      </w:r>
      <w:r>
        <w:rPr>
          <w:rFonts w:ascii="Times New Roman" w:hAnsi="Times New Roman"/>
          <w:noProof/>
        </w:rPr>
        <w:t>i pitkään jatkuneen vaimean kysynnän ja negatiivisten tuotantokuilujen kauden jälkeen (kuvio 3). Jatkossa velan vähentäminen ei ole heikomman nimelliskasvun vuoksi yhtä helppoa, mutta matala korkotaso vähentää velkakustannuksia. Historiallisesti erittäin a</w:t>
      </w:r>
      <w:r>
        <w:rPr>
          <w:rFonts w:ascii="Times New Roman" w:hAnsi="Times New Roman"/>
          <w:noProof/>
        </w:rPr>
        <w:t>lhaisella tasolla oleviin pitkiin korkoihin liittyy kuitenkin myös useita potentiaalisia haasteita, kuten pyrkimykset kiertää sääntelyrajoituksia ja tavoitella tuottoja riskialttiiden investointien avulla, luottoriskin aliarviointi ja heikentyneet kannusti</w:t>
      </w:r>
      <w:r>
        <w:rPr>
          <w:rFonts w:ascii="Times New Roman" w:hAnsi="Times New Roman"/>
          <w:noProof/>
        </w:rPr>
        <w:t>met supistaa suuria velkamääriä kaventuneiden tuottoerojen seurauksena, sekä säänneltyjen rahoituslaitosten, erityisesti pankkien ja vakuutuslaitosten, kannattavuuden heikkeneminen tuottokäyrien tasoittuessa.</w:t>
      </w:r>
      <w:r>
        <w:rPr>
          <w:rFonts w:ascii="Times New Roman" w:hAnsi="Times New Roman" w:cs="Times New Roman"/>
          <w:noProof/>
          <w:vertAlign w:val="superscript"/>
        </w:rPr>
        <w:footnoteReference w:id="16"/>
      </w:r>
      <w:r>
        <w:rPr>
          <w:rFonts w:ascii="Times New Roman" w:hAnsi="Times New Roman"/>
          <w:noProof/>
        </w:rPr>
        <w:t xml:space="preserve"> </w:t>
      </w:r>
    </w:p>
    <w:p w:rsidR="005C26C8" w:rsidRDefault="00115404">
      <w:pPr>
        <w:spacing w:after="120"/>
        <w:ind w:left="0"/>
        <w:jc w:val="both"/>
        <w:rPr>
          <w:rFonts w:ascii="Times New Roman" w:hAnsi="Times New Roman" w:cs="Times New Roman"/>
          <w:noProof/>
        </w:rPr>
      </w:pPr>
      <w:r>
        <w:rPr>
          <w:rFonts w:ascii="Times New Roman" w:hAnsi="Times New Roman"/>
          <w:b/>
          <w:noProof/>
        </w:rPr>
        <w:t>Tasapainottaminen on euroalueella vielä keske</w:t>
      </w:r>
      <w:r>
        <w:rPr>
          <w:rFonts w:ascii="Times New Roman" w:hAnsi="Times New Roman"/>
          <w:b/>
          <w:noProof/>
        </w:rPr>
        <w:t>n eikä kilpailukyvyn kehitys enää tue euroalueen sisäistä tasapainottamista samalla tavoin.</w:t>
      </w:r>
      <w:r>
        <w:rPr>
          <w:rFonts w:ascii="Times New Roman" w:hAnsi="Times New Roman"/>
          <w:noProof/>
        </w:rPr>
        <w:t xml:space="preserve"> Vaikka useimmat suuret vaihtotaseen alijäämät ovat korjautuneet, monissa euroalueen maissa on edelleen suuria ylijäämiä. Maissa, joissa on aiemmin ollut suuria alij</w:t>
      </w:r>
      <w:r>
        <w:rPr>
          <w:rFonts w:ascii="Times New Roman" w:hAnsi="Times New Roman"/>
          <w:noProof/>
        </w:rPr>
        <w:t>äämiä, on tyypillisesti edelleen suuri negatiivinen ulkomainen nettovarallisuusasema, usein yhdistettynä suureen yksityiseen tai julkiseen velkaan, mikä kertoo haavoittuvuudesta. Finanssikriisin jälkeen suhteellisten kustannusten ja hintojen sopeuttamispro</w:t>
      </w:r>
      <w:r>
        <w:rPr>
          <w:rFonts w:ascii="Times New Roman" w:hAnsi="Times New Roman"/>
          <w:noProof/>
        </w:rPr>
        <w:t>sessi on tukenut tasapainottamista. Yksikkötyökustannukset ovat kasvaneet nettovelkojamaissa nopeammin kuin nettovelallismaissa, eli ennen finanssikriisiä havaittu suuntaus on kääntynyt päinvastaiseksi. Suuntaus jatkuu edelleen, mutta erot näiden maaryhmie</w:t>
      </w:r>
      <w:r>
        <w:rPr>
          <w:rFonts w:ascii="Times New Roman" w:hAnsi="Times New Roman"/>
          <w:noProof/>
        </w:rPr>
        <w:t>n välillä eivät ole yhtä selviä (kuvio 5)</w:t>
      </w:r>
      <w:r>
        <w:rPr>
          <w:rStyle w:val="FootnoteReference"/>
          <w:rFonts w:ascii="Times New Roman" w:hAnsi="Times New Roman" w:cs="Times New Roman"/>
          <w:noProof/>
        </w:rPr>
        <w:footnoteReference w:id="17"/>
      </w:r>
      <w:r>
        <w:rPr>
          <w:noProof/>
        </w:rPr>
        <w:t>.</w:t>
      </w:r>
      <w:r>
        <w:rPr>
          <w:rFonts w:ascii="Times New Roman" w:hAnsi="Times New Roman"/>
          <w:noProof/>
        </w:rPr>
        <w:t xml:space="preserve"> Työmarkkinoiden kiristyminen myös nettovelallismaissa aiheuttaa palkkojen nousun kiihtymistä, ja kustannuskilpailukyky heikkenee edelleen tuottavuuden kasvun hidastuessa samalla kun pääoma-työvoimasuhteiden kasvu</w:t>
      </w:r>
      <w:r>
        <w:rPr>
          <w:rFonts w:ascii="Times New Roman" w:hAnsi="Times New Roman"/>
          <w:noProof/>
        </w:rPr>
        <w:t xml:space="preserve"> hidastuu tai kääntyy laskuun. Kilpailukykytasot, joita mitataan ostovoimapariteettina ilmaistulla BKT-deflaattorilla suhteessa kilpailijoihin (kuvio 6), ovat löyhästi sidoksissa ulkoisiin rahoitusasemiin ja tasapainottamistarpeisiin.</w:t>
      </w:r>
      <w:r>
        <w:rPr>
          <w:rFonts w:ascii="Times New Roman" w:hAnsi="Times New Roman" w:cs="Times New Roman"/>
          <w:noProof/>
          <w:vertAlign w:val="superscript"/>
        </w:rPr>
        <w:footnoteReference w:id="18"/>
      </w:r>
      <w:r>
        <w:rPr>
          <w:rFonts w:ascii="Times New Roman" w:hAnsi="Times New Roman"/>
          <w:noProof/>
        </w:rPr>
        <w:t xml:space="preserve"> Avoimen sektorin osu</w:t>
      </w:r>
      <w:r>
        <w:rPr>
          <w:rFonts w:ascii="Times New Roman" w:hAnsi="Times New Roman"/>
          <w:noProof/>
        </w:rPr>
        <w:t>us kokonaisarvonlisäyksestä on vastannut suhteellisten hintojen sopeutusta: sen osuus on kasvanut kriisin jälkeen niissä maissa, joissa oli aiemmin suuri alijäämä. Tämä prosessi on kuitenkin hidastumassa tai kääntymässä päinvastaiseksi.</w:t>
      </w:r>
      <w:r>
        <w:rPr>
          <w:rFonts w:ascii="Times New Roman" w:hAnsi="Times New Roman" w:cs="Times New Roman"/>
          <w:noProof/>
          <w:vertAlign w:val="superscript"/>
        </w:rPr>
        <w:footnoteReference w:id="19"/>
      </w:r>
    </w:p>
    <w:p w:rsidR="00115404" w:rsidRDefault="00115404">
      <w:pPr>
        <w:spacing w:after="120"/>
        <w:ind w:left="0"/>
        <w:jc w:val="both"/>
        <w:rPr>
          <w:rFonts w:ascii="Times New Roman" w:hAnsi="Times New Roman"/>
          <w:noProof/>
        </w:rPr>
      </w:pPr>
      <w:r>
        <w:rPr>
          <w:rFonts w:ascii="Times New Roman" w:hAnsi="Times New Roman"/>
          <w:b/>
          <w:noProof/>
        </w:rPr>
        <w:t>Tässä taloustilant</w:t>
      </w:r>
      <w:r>
        <w:rPr>
          <w:rFonts w:ascii="Times New Roman" w:hAnsi="Times New Roman"/>
          <w:b/>
          <w:noProof/>
        </w:rPr>
        <w:t>eessa euroalueella tarvitaan sekä vaihtotaseen alijäämien että vaihtotaseen ylijäämien tasapainottamista, josta olisi hyötyä kaikille jäsenvaltioille</w:t>
      </w:r>
      <w:r>
        <w:rPr>
          <w:rFonts w:ascii="Times New Roman" w:hAnsi="Times New Roman"/>
          <w:noProof/>
        </w:rPr>
        <w:t>. Ulkomaisen ja kotimaisen velan suurten määrien vähentäminen edellyttää nettovelallismaissa varovaisuusper</w:t>
      </w:r>
      <w:r>
        <w:rPr>
          <w:rFonts w:ascii="Times New Roman" w:hAnsi="Times New Roman"/>
          <w:noProof/>
        </w:rPr>
        <w:t>iaatteiden mukaisten vaihtotaseiden ylläpitämistä ja velan asianmukaisen supistamisvauhdin varmistamista samalla kun pyritään lisäämään kasvupotentiaalia. Tuottavuusnäkymien parantaminen erityisesti kohdennettujen investointien ja kokonaistuottavuutta tuke</w:t>
      </w:r>
      <w:r>
        <w:rPr>
          <w:rFonts w:ascii="Times New Roman" w:hAnsi="Times New Roman"/>
          <w:noProof/>
        </w:rPr>
        <w:t>vien uudistusten avulla on tarpeen koko euroalueella, mutta erityisesti nettovelallismaissa, koska tämä on olennaisen tärkeää sekä velkakantojen kestävyyden kannalta että suhteellisen kilpailukyvyn kehityksen muuttamiseksi enemmän tasapainottamista tukevak</w:t>
      </w:r>
      <w:r>
        <w:rPr>
          <w:rFonts w:ascii="Times New Roman" w:hAnsi="Times New Roman"/>
          <w:noProof/>
        </w:rPr>
        <w:t xml:space="preserve">si. </w:t>
      </w:r>
      <w:r>
        <w:rPr>
          <w:noProof/>
        </w:rPr>
        <w:t>Sitä vastoin nettovelkojamaissa julkisten ja yksityisten investointien lisääminen edelleen edistäisi potentiaalista kasvua, vähentäisi kasvunäkymien riippuvuutta ulkomaisesta kysynnästä näissä maissa ja tukisi kotimaista kysyntää, mikä edistäisi tasapa</w:t>
      </w:r>
      <w:r>
        <w:rPr>
          <w:noProof/>
        </w:rPr>
        <w:t>inottamista euroalueella.</w:t>
      </w:r>
      <w:r>
        <w:rPr>
          <w:rFonts w:ascii="Times New Roman" w:hAnsi="Times New Roman"/>
          <w:noProof/>
        </w:rPr>
        <w:t xml:space="preserve"> Vallitsevassa taloustilanteessa finanssipoliittiset elvytystoimet maissa, joilla on suuri ylijäämä ja suotuisa julkisen talouden rahoitusasema, edistäisivät myös selviytymistä alhaisen inflaation ja matalan korkotason toimintaympä</w:t>
      </w:r>
      <w:r>
        <w:rPr>
          <w:rFonts w:ascii="Times New Roman" w:hAnsi="Times New Roman"/>
          <w:noProof/>
        </w:rPr>
        <w:t>ristössä ja tukisivat siten velkaantumisen vähentämistä ja nettovelallisasemien tasapainottamista.</w:t>
      </w:r>
    </w:p>
    <w:p w:rsidR="00115404" w:rsidRDefault="00115404" w:rsidP="00115404">
      <w:pPr>
        <w:rPr>
          <w:noProof/>
        </w:rPr>
      </w:pPr>
      <w:r>
        <w:rPr>
          <w:noProof/>
        </w:rPr>
        <w:br w:type="page"/>
      </w:r>
    </w:p>
    <w:p w:rsidR="005C26C8" w:rsidRDefault="005C26C8">
      <w:pPr>
        <w:spacing w:after="120"/>
        <w:ind w:left="0"/>
        <w:jc w:val="both"/>
        <w:rPr>
          <w:rFonts w:ascii="Times New Roman" w:hAnsi="Times New Roman" w:cs="Times New Roman"/>
          <w:b/>
          <w:noProof/>
        </w:rPr>
      </w:pPr>
    </w:p>
    <w:tbl>
      <w:tblPr>
        <w:tblStyle w:val="TableGrid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1"/>
        <w:gridCol w:w="4661"/>
      </w:tblGrid>
      <w:tr w:rsidR="005C26C8">
        <w:tc>
          <w:tcPr>
            <w:tcW w:w="4661" w:type="dxa"/>
          </w:tcPr>
          <w:p w:rsidR="005C26C8" w:rsidRDefault="00115404">
            <w:pPr>
              <w:jc w:val="both"/>
              <w:rPr>
                <w:rFonts w:ascii="Times New Roman" w:hAnsi="Times New Roman"/>
                <w:b/>
                <w:noProof/>
              </w:rPr>
            </w:pPr>
            <w:r>
              <w:rPr>
                <w:rFonts w:ascii="Times New Roman" w:hAnsi="Times New Roman"/>
                <w:b/>
                <w:noProof/>
              </w:rPr>
              <w:t>Kuvio 5: Yksikkötyökustannusten kasvu euroalueella</w:t>
            </w:r>
          </w:p>
          <w:p w:rsidR="005C26C8" w:rsidRDefault="005C26C8">
            <w:pPr>
              <w:jc w:val="both"/>
              <w:rPr>
                <w:rFonts w:ascii="Times New Roman" w:hAnsi="Times New Roman" w:cs="Times New Roman"/>
                <w:b/>
                <w:noProof/>
              </w:rPr>
            </w:pPr>
          </w:p>
        </w:tc>
        <w:tc>
          <w:tcPr>
            <w:tcW w:w="4661" w:type="dxa"/>
          </w:tcPr>
          <w:p w:rsidR="005C26C8" w:rsidRDefault="00115404">
            <w:pPr>
              <w:jc w:val="both"/>
              <w:rPr>
                <w:rFonts w:ascii="Times New Roman" w:hAnsi="Times New Roman" w:cs="Times New Roman"/>
                <w:b/>
                <w:noProof/>
              </w:rPr>
            </w:pPr>
            <w:r>
              <w:rPr>
                <w:rFonts w:ascii="Times New Roman" w:hAnsi="Times New Roman"/>
                <w:b/>
                <w:noProof/>
              </w:rPr>
              <w:t xml:space="preserve">Kuvio 6: Reaaliset efektiiviset valuuttakurssit (REER) BKT-deflaattorin perusteella </w:t>
            </w:r>
          </w:p>
        </w:tc>
      </w:tr>
      <w:tr w:rsidR="005C26C8">
        <w:trPr>
          <w:trHeight w:val="4479"/>
        </w:trPr>
        <w:tc>
          <w:tcPr>
            <w:tcW w:w="4661" w:type="dxa"/>
          </w:tcPr>
          <w:tbl>
            <w:tblPr>
              <w:tblStyle w:val="TableGrid2"/>
              <w:tblW w:w="4479" w:type="dxa"/>
              <w:tblLayout w:type="fixed"/>
              <w:tblLook w:val="04A0" w:firstRow="1" w:lastRow="0" w:firstColumn="1" w:lastColumn="0" w:noHBand="0" w:noVBand="1"/>
            </w:tblPr>
            <w:tblGrid>
              <w:gridCol w:w="4479"/>
            </w:tblGrid>
            <w:tr w:rsidR="005C26C8">
              <w:trPr>
                <w:trHeight w:val="4479"/>
              </w:trPr>
              <w:tc>
                <w:tcPr>
                  <w:tcW w:w="4479" w:type="dxa"/>
                  <w:tcBorders>
                    <w:top w:val="nil"/>
                    <w:left w:val="nil"/>
                    <w:bottom w:val="nil"/>
                    <w:right w:val="nil"/>
                  </w:tcBorders>
                </w:tcPr>
                <w:p w:rsidR="005C26C8" w:rsidRDefault="00115404">
                  <w:pPr>
                    <w:ind w:right="113"/>
                    <w:rPr>
                      <w:noProof/>
                    </w:rPr>
                  </w:pPr>
                  <w:r>
                    <w:rPr>
                      <w:rFonts w:ascii="Times New Roman" w:hAnsi="Times New Roman" w:cs="Times New Roman"/>
                      <w:b/>
                      <w:noProof/>
                      <w:lang w:val="en-GB" w:eastAsia="en-GB"/>
                    </w:rPr>
                    <w:drawing>
                      <wp:anchor distT="0" distB="0" distL="114300" distR="114300" simplePos="0" relativeHeight="251676672" behindDoc="0" locked="0" layoutInCell="1" allowOverlap="1">
                        <wp:simplePos x="0" y="0"/>
                        <wp:positionH relativeFrom="column">
                          <wp:posOffset>-46291</wp:posOffset>
                        </wp:positionH>
                        <wp:positionV relativeFrom="paragraph">
                          <wp:posOffset>639</wp:posOffset>
                        </wp:positionV>
                        <wp:extent cx="2887367" cy="2966037"/>
                        <wp:effectExtent l="0" t="0" r="8255" b="63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8384" cy="29670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C26C8" w:rsidRDefault="005C26C8">
            <w:pPr>
              <w:jc w:val="both"/>
              <w:rPr>
                <w:rFonts w:ascii="Times New Roman" w:hAnsi="Times New Roman" w:cs="Times New Roman"/>
                <w:noProof/>
              </w:rPr>
            </w:pPr>
          </w:p>
        </w:tc>
        <w:tc>
          <w:tcPr>
            <w:tcW w:w="4661" w:type="dxa"/>
          </w:tcPr>
          <w:p w:rsidR="005C26C8" w:rsidRDefault="00115404">
            <w:pPr>
              <w:jc w:val="both"/>
              <w:rPr>
                <w:rFonts w:ascii="Times New Roman" w:hAnsi="Times New Roman" w:cs="Times New Roman"/>
                <w:noProof/>
              </w:rPr>
            </w:pPr>
            <w:r>
              <w:rPr>
                <w:rFonts w:ascii="Times New Roman" w:hAnsi="Times New Roman" w:cs="Times New Roman"/>
                <w:noProof/>
                <w:lang w:val="en-GB" w:eastAsia="en-GB"/>
              </w:rPr>
              <w:drawing>
                <wp:anchor distT="0" distB="0" distL="114300" distR="114300" simplePos="0" relativeHeight="251677696" behindDoc="0" locked="0" layoutInCell="1" allowOverlap="1">
                  <wp:simplePos x="0" y="0"/>
                  <wp:positionH relativeFrom="column">
                    <wp:posOffset>-2145</wp:posOffset>
                  </wp:positionH>
                  <wp:positionV relativeFrom="paragraph">
                    <wp:posOffset>640</wp:posOffset>
                  </wp:positionV>
                  <wp:extent cx="2704647" cy="2999411"/>
                  <wp:effectExtent l="0" t="0" r="63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4647" cy="2999411"/>
                          </a:xfrm>
                          <a:prstGeom prst="rect">
                            <a:avLst/>
                          </a:prstGeom>
                          <a:noFill/>
                          <a:ln>
                            <a:noFill/>
                          </a:ln>
                        </pic:spPr>
                      </pic:pic>
                    </a:graphicData>
                  </a:graphic>
                </wp:anchor>
              </w:drawing>
            </w:r>
          </w:p>
        </w:tc>
      </w:tr>
      <w:tr w:rsidR="005C26C8">
        <w:tc>
          <w:tcPr>
            <w:tcW w:w="4661" w:type="dxa"/>
          </w:tcPr>
          <w:p w:rsidR="005C26C8" w:rsidRDefault="00115404">
            <w:pPr>
              <w:jc w:val="both"/>
              <w:rPr>
                <w:rFonts w:ascii="Times New Roman" w:hAnsi="Times New Roman" w:cs="Times New Roman"/>
                <w:noProof/>
                <w:sz w:val="20"/>
              </w:rPr>
            </w:pPr>
            <w:r>
              <w:rPr>
                <w:rFonts w:ascii="Times New Roman" w:hAnsi="Times New Roman"/>
                <w:i/>
                <w:noProof/>
                <w:sz w:val="20"/>
              </w:rPr>
              <w:t>Lähde:</w:t>
            </w:r>
            <w:r>
              <w:rPr>
                <w:rFonts w:ascii="Times New Roman" w:hAnsi="Times New Roman"/>
                <w:noProof/>
                <w:sz w:val="20"/>
              </w:rPr>
              <w:t xml:space="preserve"> AMECO</w:t>
            </w:r>
          </w:p>
          <w:p w:rsidR="005C26C8" w:rsidRDefault="00115404">
            <w:pPr>
              <w:jc w:val="both"/>
              <w:rPr>
                <w:rFonts w:ascii="Times New Roman" w:hAnsi="Times New Roman" w:cs="Times New Roman"/>
                <w:noProof/>
                <w:sz w:val="20"/>
              </w:rPr>
            </w:pPr>
            <w:r>
              <w:rPr>
                <w:rFonts w:ascii="Times New Roman" w:hAnsi="Times New Roman"/>
                <w:i/>
                <w:noProof/>
                <w:sz w:val="20"/>
              </w:rPr>
              <w:t>Huom.</w:t>
            </w:r>
            <w:r>
              <w:rPr>
                <w:rFonts w:ascii="Times New Roman" w:hAnsi="Times New Roman"/>
                <w:noProof/>
                <w:sz w:val="20"/>
              </w:rPr>
              <w:t xml:space="preserve"> Maat, joissa ulkomainen nettovarallisuusasema (NIIP) &gt; +35 % suhteessa BKT:hen: DE, LU, NL, BE, MT. Maat, joissa NIIP on 35 % – –35 % suhteessa BKT:hen: FI, EE, IT, LT, FR, SI, AT. Muissa maissa NIIP &lt; –35 % suhteessa BKT:hen. Maakohtainen jak</w:t>
            </w:r>
            <w:r>
              <w:rPr>
                <w:rFonts w:ascii="Times New Roman" w:hAnsi="Times New Roman"/>
                <w:noProof/>
                <w:sz w:val="20"/>
              </w:rPr>
              <w:t>o perustuu keskimääräisiin NIIP-arvoihin kaudella 2016–2018. Nettovelkojamaissa vaihtotase oli samalla kaudella keskimäärin ylijäämäinen. Luvut ovat BKT-painotettuja keskiarvoja kaikkien kolmen maaryhmän osalta.</w:t>
            </w:r>
          </w:p>
        </w:tc>
        <w:tc>
          <w:tcPr>
            <w:tcW w:w="4661" w:type="dxa"/>
          </w:tcPr>
          <w:p w:rsidR="005C26C8" w:rsidRDefault="00115404">
            <w:pPr>
              <w:jc w:val="both"/>
              <w:rPr>
                <w:rFonts w:ascii="Times New Roman" w:hAnsi="Times New Roman" w:cs="Times New Roman"/>
                <w:noProof/>
                <w:sz w:val="20"/>
              </w:rPr>
            </w:pPr>
            <w:r>
              <w:rPr>
                <w:rFonts w:ascii="Times New Roman" w:hAnsi="Times New Roman"/>
                <w:i/>
                <w:noProof/>
                <w:sz w:val="20"/>
              </w:rPr>
              <w:t>Lähde:</w:t>
            </w:r>
            <w:r>
              <w:rPr>
                <w:rFonts w:ascii="Times New Roman" w:hAnsi="Times New Roman"/>
                <w:noProof/>
                <w:sz w:val="20"/>
              </w:rPr>
              <w:t xml:space="preserve"> Komission yksiköiden laskelmat Eurost</w:t>
            </w:r>
            <w:r>
              <w:rPr>
                <w:rFonts w:ascii="Times New Roman" w:hAnsi="Times New Roman"/>
                <w:noProof/>
                <w:sz w:val="20"/>
              </w:rPr>
              <w:t xml:space="preserve">atin ja IMF:n tietojen perusteella. </w:t>
            </w:r>
          </w:p>
          <w:p w:rsidR="005C26C8" w:rsidRDefault="00115404">
            <w:pPr>
              <w:jc w:val="both"/>
              <w:rPr>
                <w:rFonts w:ascii="Times New Roman" w:hAnsi="Times New Roman" w:cs="Times New Roman"/>
                <w:noProof/>
                <w:sz w:val="20"/>
              </w:rPr>
            </w:pPr>
            <w:r>
              <w:rPr>
                <w:rFonts w:ascii="Times New Roman" w:hAnsi="Times New Roman"/>
                <w:i/>
                <w:noProof/>
                <w:sz w:val="20"/>
              </w:rPr>
              <w:t>Huom.</w:t>
            </w:r>
            <w:r>
              <w:rPr>
                <w:rFonts w:ascii="Times New Roman" w:hAnsi="Times New Roman"/>
                <w:noProof/>
                <w:sz w:val="20"/>
              </w:rPr>
              <w:t xml:space="preserve"> Reaaliset efektiiviset valuuttakurssit lasketaan ottaen huomioon BKT-deflaattorin osuus suhteessa kilpailijoihin ostovoimapariteettina ilmaistuna (olettaen, että US=100). Maakohtaiset painotukset ovat samat kuin n</w:t>
            </w:r>
            <w:r>
              <w:rPr>
                <w:rFonts w:ascii="Times New Roman" w:hAnsi="Times New Roman"/>
                <w:noProof/>
                <w:sz w:val="20"/>
              </w:rPr>
              <w:t xml:space="preserve">e, joiden perusteella laaditaan reaalisten efektiivisten valuuttakurssien indeksit (42 kilpailijaryhmää). </w:t>
            </w:r>
          </w:p>
        </w:tc>
      </w:tr>
    </w:tbl>
    <w:p w:rsidR="005C26C8" w:rsidRDefault="005C26C8">
      <w:pPr>
        <w:ind w:left="0"/>
        <w:rPr>
          <w:rFonts w:eastAsia="MS Gothic" w:cstheme="minorHAnsi"/>
          <w:b/>
          <w:bCs/>
          <w:smallCaps/>
          <w:noProof/>
        </w:rPr>
      </w:pPr>
    </w:p>
    <w:p w:rsidR="005C26C8" w:rsidRDefault="005C26C8">
      <w:pPr>
        <w:ind w:left="0"/>
        <w:rPr>
          <w:rFonts w:eastAsia="MS Gothic" w:cstheme="minorHAnsi"/>
          <w:b/>
          <w:bCs/>
          <w:smallCaps/>
          <w:noProof/>
        </w:rPr>
      </w:pPr>
    </w:p>
    <w:p w:rsidR="005C26C8" w:rsidRDefault="00115404">
      <w:pPr>
        <w:ind w:left="0"/>
        <w:rPr>
          <w:rFonts w:eastAsia="MS Gothic" w:cstheme="minorHAnsi"/>
          <w:b/>
          <w:bCs/>
          <w:smallCaps/>
          <w:noProof/>
        </w:rPr>
      </w:pPr>
      <w:r>
        <w:rPr>
          <w:b/>
          <w:bCs/>
          <w:smallCaps/>
          <w:noProof/>
        </w:rPr>
        <w:t>3.</w:t>
      </w:r>
      <w:r>
        <w:rPr>
          <w:b/>
          <w:bCs/>
          <w:smallCaps/>
          <w:noProof/>
        </w:rPr>
        <w:tab/>
        <w:t>Epätasapainot, riskit ja sopeutus: kehityksen pääpiirteet eri maissa</w:t>
      </w:r>
    </w:p>
    <w:p w:rsidR="005C26C8" w:rsidRDefault="005C26C8">
      <w:pPr>
        <w:ind w:left="0"/>
        <w:jc w:val="both"/>
        <w:rPr>
          <w:rFonts w:eastAsia="Times New Roman" w:cstheme="minorHAnsi"/>
          <w:b/>
          <w:noProof/>
        </w:rPr>
      </w:pPr>
    </w:p>
    <w:p w:rsidR="005C26C8" w:rsidRDefault="00115404">
      <w:pPr>
        <w:spacing w:after="120"/>
        <w:ind w:left="0"/>
        <w:jc w:val="both"/>
        <w:rPr>
          <w:rFonts w:eastAsia="Times New Roman" w:cstheme="minorHAnsi"/>
          <w:noProof/>
        </w:rPr>
      </w:pPr>
      <w:r>
        <w:rPr>
          <w:b/>
          <w:noProof/>
        </w:rPr>
        <w:t xml:space="preserve">Varoitusmekanismia koskeva kertomus perustuu talouspoliittisiin </w:t>
      </w:r>
      <w:r>
        <w:rPr>
          <w:b/>
          <w:noProof/>
        </w:rPr>
        <w:t>päätelmiin, jotka on tehty makrotalouden epätasapainoa koskevan menettelyn tulostauluun sisältyvien indikaattorien pohjalta.</w:t>
      </w:r>
      <w:r>
        <w:rPr>
          <w:noProof/>
        </w:rPr>
        <w:t xml:space="preserve"> </w:t>
      </w:r>
      <w:r>
        <w:rPr>
          <w:b/>
          <w:noProof/>
        </w:rPr>
        <w:t>Kyseisen tulostaulun avulla saadaan alustavaa näyttöä mahdollisista riskeistä ja haavoittuvuuksista</w:t>
      </w:r>
      <w:r>
        <w:rPr>
          <w:noProof/>
        </w:rPr>
        <w:t>. Tulostauluun sisältyy 14 indik</w:t>
      </w:r>
      <w:r>
        <w:rPr>
          <w:noProof/>
        </w:rPr>
        <w:t>aattoria, joille on asetettu ohjeelliset kynnysarvot. Ne kuvaavat muun muassa ulkoista rahoitusasemaa, kilpailukykyä, yksityisen sektorin velkaa, asuntomarkkinoita, pankkisektoria ja työllisyyttä. Tietojen vakauden ja maiden yhdenmukaisen kohtelun varmista</w:t>
      </w:r>
      <w:r>
        <w:rPr>
          <w:noProof/>
        </w:rPr>
        <w:t>miseksi tulostaulu perustuu toteutunutta tilannetta kuvaaviin laadukkaisiin tilastotietoihin. Näin ollen tässä kertomuksessa käytettävän tulostaulun tiedot ulottuvat vuoteen 2018 asti. Makrotalouden epätasapainoa koskevasta menettelystä annetun asetuksen (</w:t>
      </w:r>
      <w:r>
        <w:rPr>
          <w:noProof/>
        </w:rPr>
        <w:t>asetus (EU) N:o 1176/2011) mukaisesti tulostaulun arvoja ei lueta mekaanisesti varoitusmekanismia koskevaan kertomukseen sisältyvissä arvioinneissa, vaan niiden pohjalta tehdään talouspoliittisia päätelmiä, joiden avulla voidaan paremmin ymmärtää yleistä t</w:t>
      </w:r>
      <w:r>
        <w:rPr>
          <w:noProof/>
        </w:rPr>
        <w:t>aloudellista tilannetta ja ottaa huomioon maakohtaiset näkökohdat.</w:t>
      </w:r>
      <w:r>
        <w:rPr>
          <w:noProof/>
          <w:vertAlign w:val="superscript"/>
        </w:rPr>
        <w:footnoteReference w:id="20"/>
      </w:r>
      <w:r>
        <w:rPr>
          <w:noProof/>
        </w:rPr>
        <w:t xml:space="preserve"> Tulostaulun pohjalta tehtäviä päätelmiä täydennetään lisäindikaattoreilla. Varoitusmekanismia koskevassa kertomuksessa tehdyssä arvioinnissa otetaan huomioon myös tuoreemmat tiedot ja lisä</w:t>
      </w:r>
      <w:r>
        <w:rPr>
          <w:noProof/>
        </w:rPr>
        <w:t>tiedot, arviointikehyksistä saadut tiedot sekä perusteellisissa tarkasteluissa ja asiaankuuluvissa analyyseissa tehdyt havainnot sekä komission syksyn 2019 talousennuste.</w:t>
      </w:r>
    </w:p>
    <w:p w:rsidR="00115404" w:rsidRDefault="00115404">
      <w:pPr>
        <w:spacing w:after="120"/>
        <w:ind w:left="0"/>
        <w:jc w:val="both"/>
        <w:rPr>
          <w:noProof/>
        </w:rPr>
      </w:pPr>
      <w:r>
        <w:rPr>
          <w:b/>
          <w:noProof/>
        </w:rPr>
        <w:t>Tulostaulun tiedot viittaavat siihen, että saattaa olla muodostumassa kustannuskilpai</w:t>
      </w:r>
      <w:r>
        <w:rPr>
          <w:b/>
          <w:noProof/>
        </w:rPr>
        <w:t xml:space="preserve">lukykyyn ja asuntojen hintojen kehitykseen liittyviä ongelmia sen lisäksi, että korkeina pysyttelevät velkamäärät ovat korjautumassa vain asteittain. </w:t>
      </w:r>
      <w:r>
        <w:rPr>
          <w:noProof/>
        </w:rPr>
        <w:t>Tulostaulun kynnysarvot ylittyvät edelleen useimmiten julkisen velan, ulkomaisen nettovarallisuusaseman ja</w:t>
      </w:r>
      <w:r>
        <w:rPr>
          <w:noProof/>
        </w:rPr>
        <w:t xml:space="preserve"> yksityisen velan tapauksessa (kuvio 7).</w:t>
      </w:r>
      <w:r>
        <w:rPr>
          <w:noProof/>
          <w:vertAlign w:val="superscript"/>
        </w:rPr>
        <w:footnoteReference w:id="21"/>
      </w:r>
      <w:r>
        <w:rPr>
          <w:noProof/>
        </w:rPr>
        <w:t xml:space="preserve"> Talouskasvu sekä vaihtotaseiden ja julkisen talouden tasapainon paraneminen ovat kuitenkin osaltaan auttaneet vähentämään ulkomaista nettovelkaa ja julkista velkaa suhteessa BKT:hen, mikä on vähentänyt niiden jäsen</w:t>
      </w:r>
      <w:r>
        <w:rPr>
          <w:noProof/>
        </w:rPr>
        <w:t>valtioiden määrää, joissa näihin liittyvät tulostaulun kynnysarvot ylittyvät. Sitä vastoin yksityistä velkaa koskevan kynnysarvon ylittävien maiden määrä on pysynyt ennallaan, kun löyhemmät nettosäästöasemat tasapainottavat kasvun vaikutusta julkisen talou</w:t>
      </w:r>
      <w:r>
        <w:rPr>
          <w:noProof/>
        </w:rPr>
        <w:t>den velkasuhteeseen. Joissakin maissa talouskasvu näkyy myös työvoimakustannusten ja asuntojen hintojen nopeana kasvuna. Niiden jäsenvaltioiden lukumäärä, joissa yksikkötyökustannusten kasvu ylitti kynnysarvon, yli kaksinkertaistui verrattuna aiempiin tulo</w:t>
      </w:r>
      <w:r>
        <w:rPr>
          <w:noProof/>
        </w:rPr>
        <w:t xml:space="preserve">stauluihin. Entistä useammat maat myös ylittävät reaalisen efektiivisen valuuttakurssin kynnysarvon valuuttakurssinsa vahvistumisen vuoksi. Asuntojen hintojen kehitys viime vuosina näkyy siinä, että tämän kynnysarvon ylittäneiden maiden lukumäärä on viime </w:t>
      </w:r>
      <w:r>
        <w:rPr>
          <w:noProof/>
        </w:rPr>
        <w:t>aikoina hieman noussut. Tapauksissa, joissa vaihtotase ylittää kynnysarvon, on edelleen kyse enimmäkseen ylijäämistä. Jatkuva työllistävä talouskasvu näkyy siinä, että korkeita työttömyyslukuja kirjataan yhä harvemmissa EU-maissa ja että nuoriso- ja pitkäa</w:t>
      </w:r>
      <w:r>
        <w:rPr>
          <w:noProof/>
        </w:rPr>
        <w:t>ikaistyöttömyyteen ja työvoimaosuuteen liittyvät huolenaiheet ovat vähentyneet.</w:t>
      </w:r>
    </w:p>
    <w:p w:rsidR="00115404" w:rsidRDefault="00115404" w:rsidP="00115404">
      <w:pPr>
        <w:rPr>
          <w:noProof/>
        </w:rPr>
      </w:pPr>
      <w:r>
        <w:rPr>
          <w:noProof/>
        </w:rPr>
        <w:br w:type="page"/>
      </w:r>
    </w:p>
    <w:p w:rsidR="005C26C8" w:rsidRDefault="005C26C8">
      <w:pPr>
        <w:spacing w:after="120"/>
        <w:rPr>
          <w:rFonts w:eastAsia="MS Mincho" w:cstheme="minorHAnsi"/>
          <w:b/>
          <w:bCs/>
          <w:noProof/>
          <w:sz w:val="24"/>
          <w:szCs w:val="20"/>
        </w:rPr>
      </w:pPr>
    </w:p>
    <w:p w:rsidR="005C26C8" w:rsidRDefault="00115404">
      <w:pPr>
        <w:keepNext/>
        <w:ind w:left="0"/>
        <w:jc w:val="center"/>
        <w:rPr>
          <w:rFonts w:eastAsia="MS Mincho" w:cstheme="minorHAnsi"/>
          <w:b/>
          <w:bCs/>
          <w:noProof/>
          <w:sz w:val="24"/>
          <w:szCs w:val="20"/>
        </w:rPr>
      </w:pPr>
      <w:r>
        <w:rPr>
          <w:b/>
          <w:bCs/>
          <w:noProof/>
          <w:szCs w:val="20"/>
        </w:rPr>
        <w:t>Kuvio 7: Niiden maiden määrä, joilla tulostaulun indikaattorin arvo ylittää kynnysarvon</w:t>
      </w:r>
    </w:p>
    <w:p w:rsidR="005C26C8" w:rsidRDefault="00115404">
      <w:pPr>
        <w:keepNext/>
        <w:ind w:left="0"/>
        <w:jc w:val="center"/>
        <w:rPr>
          <w:rFonts w:eastAsia="MS Mincho" w:cstheme="minorHAnsi"/>
          <w:b/>
          <w:bCs/>
          <w:noProof/>
          <w:sz w:val="24"/>
          <w:szCs w:val="20"/>
        </w:rPr>
      </w:pPr>
      <w:r>
        <w:rPr>
          <w:noProof/>
          <w:lang w:val="en-GB" w:eastAsia="en-GB"/>
        </w:rPr>
        <w:drawing>
          <wp:anchor distT="0" distB="0" distL="114300" distR="114300" simplePos="0" relativeHeight="251678720" behindDoc="0" locked="0" layoutInCell="1" allowOverlap="1">
            <wp:simplePos x="0" y="0"/>
            <wp:positionH relativeFrom="column">
              <wp:posOffset>99129</wp:posOffset>
            </wp:positionH>
            <wp:positionV relativeFrom="paragraph">
              <wp:posOffset>1638</wp:posOffset>
            </wp:positionV>
            <wp:extent cx="5659082" cy="2943858"/>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9082" cy="2943858"/>
                    </a:xfrm>
                    <a:prstGeom prst="rect">
                      <a:avLst/>
                    </a:prstGeom>
                    <a:noFill/>
                    <a:ln>
                      <a:noFill/>
                    </a:ln>
                  </pic:spPr>
                </pic:pic>
              </a:graphicData>
            </a:graphic>
          </wp:anchor>
        </w:drawing>
      </w:r>
      <w:r>
        <w:rPr>
          <w:b/>
          <w:bCs/>
          <w:noProof/>
          <w:szCs w:val="20"/>
        </w:rPr>
        <w:t xml:space="preserve"> </w:t>
      </w: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Eurostat</w:t>
      </w:r>
    </w:p>
    <w:p w:rsidR="005C26C8" w:rsidRDefault="00115404">
      <w:pPr>
        <w:ind w:left="0"/>
        <w:jc w:val="both"/>
        <w:rPr>
          <w:rFonts w:eastAsia="Times New Roman" w:cstheme="minorHAnsi"/>
          <w:noProof/>
          <w:sz w:val="20"/>
          <w:szCs w:val="20"/>
        </w:rPr>
      </w:pPr>
      <w:r>
        <w:rPr>
          <w:i/>
          <w:noProof/>
          <w:sz w:val="20"/>
          <w:szCs w:val="20"/>
        </w:rPr>
        <w:t xml:space="preserve">Huom. </w:t>
      </w:r>
      <w:r>
        <w:rPr>
          <w:noProof/>
          <w:sz w:val="20"/>
          <w:szCs w:val="20"/>
        </w:rPr>
        <w:t xml:space="preserve">Niiden maiden määrä, joilla tulostaulun indikaattorin arvo </w:t>
      </w:r>
      <w:r>
        <w:rPr>
          <w:noProof/>
          <w:sz w:val="20"/>
          <w:szCs w:val="20"/>
        </w:rPr>
        <w:t>ylittää kynnysarvon, perustuu tulostauluun sellaisena kuin se julkaistiin yhdessä vastaavan vuotuisen varoitusmekanismia koskevan kertomuksen kanssa. Tietoihin tämän jälkeen tehdyt mahdolliset tarkistukset voivat aiheuttaa sen, että tulostaulun indikaattor</w:t>
      </w:r>
      <w:r>
        <w:rPr>
          <w:noProof/>
          <w:sz w:val="20"/>
          <w:szCs w:val="20"/>
        </w:rPr>
        <w:t>ien uusimpien arvojen perusteella laskettu kynnysarvon ylittävien arvojen määrä poikkeaa yllä olevassa kuviossa ilmoitetusta määrästä.</w:t>
      </w:r>
    </w:p>
    <w:p w:rsidR="005C26C8" w:rsidRDefault="005C26C8">
      <w:pPr>
        <w:rPr>
          <w:rFonts w:eastAsia="Times New Roman" w:cstheme="minorHAnsi"/>
          <w:noProof/>
          <w:szCs w:val="24"/>
        </w:rPr>
      </w:pPr>
    </w:p>
    <w:p w:rsidR="005C26C8" w:rsidRDefault="00115404">
      <w:pPr>
        <w:spacing w:after="120"/>
        <w:ind w:left="0"/>
        <w:jc w:val="both"/>
        <w:rPr>
          <w:rFonts w:eastAsia="Times New Roman" w:cstheme="minorHAnsi"/>
          <w:noProof/>
        </w:rPr>
      </w:pPr>
      <w:r>
        <w:rPr>
          <w:b/>
          <w:noProof/>
        </w:rPr>
        <w:t>Vaihtotaseet heikkenivät hieman useimmissa EU:n jäsenvaltioissa vuonna 2018.</w:t>
      </w:r>
      <w:r>
        <w:rPr>
          <w:noProof/>
        </w:rPr>
        <w:t xml:space="preserve"> Kaupan hidastuminen, vakaa kotimainen kysyn</w:t>
      </w:r>
      <w:r>
        <w:rPr>
          <w:noProof/>
        </w:rPr>
        <w:t>tä ja öljyn hinnannousu heikensivät vaihtotaseita useimmissa jäsenvaltioissa. Useimmissa tapauksissa vaihtotase ylittää tason, jota voitaisiin odottaa maakohtaisten talouden perustekijöiden perusteella (ns. norminmukaiset vaihtotaseet) ja joka tarvittaisii</w:t>
      </w:r>
      <w:r>
        <w:rPr>
          <w:noProof/>
        </w:rPr>
        <w:t>n suurten ulkomaisten velka-asemien korjaamiseksi (kuvio 8).</w:t>
      </w:r>
      <w:r>
        <w:rPr>
          <w:noProof/>
          <w:vertAlign w:val="superscript"/>
        </w:rPr>
        <w:footnoteReference w:id="22"/>
      </w:r>
      <w:r>
        <w:rPr>
          <w:noProof/>
        </w:rPr>
        <w:t xml:space="preserve"> Vaikka vaihtotaseiden heikkeneminen vuosina 2017 ja 2018 usein ylitti pelkän suhdannetekijöiden vaikutuksen (kuvio 9), suhdannekorjatut vaihtotaseet viittaavat yleensä siihen, että ulkoinen raho</w:t>
      </w:r>
      <w:r>
        <w:rPr>
          <w:noProof/>
        </w:rPr>
        <w:t>itusasema on vahvempi kuin nimellinen alijäämä, koska tuotantokuilut ovat positiivisia lähes kaikkialla.</w:t>
      </w:r>
      <w:r>
        <w:rPr>
          <w:rStyle w:val="FootnoteReference"/>
          <w:rFonts w:cstheme="minorHAnsi"/>
          <w:noProof/>
        </w:rPr>
        <w:footnoteReference w:id="23"/>
      </w:r>
      <w:r>
        <w:rPr>
          <w:noProof/>
        </w:rPr>
        <w:t xml:space="preserve"> </w:t>
      </w:r>
    </w:p>
    <w:p w:rsidR="005C26C8" w:rsidRDefault="00115404">
      <w:pPr>
        <w:numPr>
          <w:ilvl w:val="0"/>
          <w:numId w:val="8"/>
        </w:numPr>
        <w:spacing w:after="120"/>
        <w:ind w:left="426" w:hanging="284"/>
        <w:jc w:val="both"/>
        <w:rPr>
          <w:rFonts w:eastAsia="Times New Roman" w:cstheme="minorHAnsi"/>
          <w:b/>
          <w:noProof/>
        </w:rPr>
      </w:pPr>
      <w:r>
        <w:rPr>
          <w:b/>
          <w:noProof/>
        </w:rPr>
        <w:t xml:space="preserve">Vain kahdessa jäsenvaltiossa vaihtotaseen alijäämä ylittää makrotalouden epätasapainoa koskevan menettelyn alemman kynnysarvon. </w:t>
      </w:r>
      <w:r>
        <w:rPr>
          <w:noProof/>
        </w:rPr>
        <w:t>Kyproksella on EU:n s</w:t>
      </w:r>
      <w:r>
        <w:rPr>
          <w:noProof/>
        </w:rPr>
        <w:t>uurin vaihtotaseen alijäämä tulostaulun kolmen vuoden keskiarvon perusteella. Vuonna 2018 alijäämä supistui, mutta ei saavuttanut tasoa, joka varmistaisi ulkomaisen nettovarallisuusaseman paranemisen riittävän nopeasti.</w:t>
      </w:r>
      <w:r>
        <w:rPr>
          <w:rStyle w:val="FootnoteReference"/>
          <w:noProof/>
        </w:rPr>
        <w:footnoteReference w:id="24"/>
      </w:r>
      <w:r>
        <w:rPr>
          <w:noProof/>
        </w:rPr>
        <w:t xml:space="preserve"> Myös Yhdistyneen kuningaskunnan ali</w:t>
      </w:r>
      <w:r>
        <w:rPr>
          <w:noProof/>
        </w:rPr>
        <w:t xml:space="preserve">jäämä ylittää tulostaulun kynnysarvon. Romaniassa vaihtotaseen alijäämä todettiin vain vuonna 2018, </w:t>
      </w:r>
      <w:r>
        <w:rPr>
          <w:noProof/>
        </w:rPr>
        <w:noBreakHyphen/>
        <w:t>4,6 prosenttia suhteessa BKT:hen, mikä merkitsi selvää heikkenemistä edellisvuosiin verrattuna. Lukema alittaa normin, ja suurta osaa heikkenemisestä ei vo</w:t>
      </w:r>
      <w:r>
        <w:rPr>
          <w:noProof/>
        </w:rPr>
        <w:t>ida selittää suhdannekierron perusteella.</w:t>
      </w:r>
    </w:p>
    <w:p w:rsidR="005C26C8" w:rsidRDefault="00115404">
      <w:pPr>
        <w:numPr>
          <w:ilvl w:val="0"/>
          <w:numId w:val="8"/>
        </w:numPr>
        <w:spacing w:after="120"/>
        <w:ind w:left="426" w:hanging="284"/>
        <w:jc w:val="both"/>
        <w:rPr>
          <w:rFonts w:eastAsia="Times New Roman" w:cstheme="minorHAnsi"/>
          <w:noProof/>
        </w:rPr>
      </w:pPr>
      <w:r>
        <w:rPr>
          <w:b/>
          <w:noProof/>
        </w:rPr>
        <w:t>Vaihtotaseet heikkenivät useissa suurissa nettovelallismaissa.</w:t>
      </w:r>
      <w:r>
        <w:rPr>
          <w:noProof/>
        </w:rPr>
        <w:t xml:space="preserve"> Vaihtotaseen toteutuma supistui vuonna 2018 Kreikassa, Portugalissa ja Espanjassa. Kreikan vaihtotaseen alijäämää ei voida selittää perustekijöillä, ei</w:t>
      </w:r>
      <w:r>
        <w:rPr>
          <w:noProof/>
        </w:rPr>
        <w:t>kä se riitä korjaamaan erittäin negatiivista ulkomaista nettovarallisuusasemaa varovaisemmalle tasolle 10 vuoden aikajänteellä.</w:t>
      </w:r>
      <w:r>
        <w:rPr>
          <w:rStyle w:val="FootnoteReference"/>
          <w:noProof/>
        </w:rPr>
        <w:footnoteReference w:id="25"/>
      </w:r>
      <w:r>
        <w:rPr>
          <w:noProof/>
        </w:rPr>
        <w:t xml:space="preserve"> Portugalissa viimeisimmät luvut ovat alle tason, joka varmistaisi negatiivisen ulkomaisen nettovarallisuusaseman korjaamisen as</w:t>
      </w:r>
      <w:r>
        <w:rPr>
          <w:noProof/>
        </w:rPr>
        <w:t>ianmukaisessa tahdissa. Sitä vastoin Espanjan vaihtotaseen alijäämän kehitys vastaa tasoa, joka varmistaa ulkomaisen nettovarallisuusaseman korjaamisen asianmukaisessa tahdissa. Irlannin vaihtotase parani jyrkästi vuonna 2018, mikä johtui pitkälti monikans</w:t>
      </w:r>
      <w:r>
        <w:rPr>
          <w:noProof/>
        </w:rPr>
        <w:t xml:space="preserve">allisten yhtiöiden rajat ylittävistä liiketoimista. </w:t>
      </w:r>
    </w:p>
    <w:p w:rsidR="005C26C8" w:rsidRDefault="00115404">
      <w:pPr>
        <w:numPr>
          <w:ilvl w:val="0"/>
          <w:numId w:val="8"/>
        </w:numPr>
        <w:spacing w:after="120"/>
        <w:ind w:left="426" w:hanging="284"/>
        <w:jc w:val="both"/>
        <w:rPr>
          <w:rFonts w:eastAsia="Times New Roman" w:cstheme="minorHAnsi"/>
          <w:noProof/>
        </w:rPr>
      </w:pPr>
      <w:r>
        <w:rPr>
          <w:b/>
          <w:noProof/>
        </w:rPr>
        <w:t>Neljässä EU-maassa vaihtotaseen ylijäämä ylittää edelleen makrotalouden epätasapainoa koskevan menettelyn tulostaulun ylemmän kynnysarvon</w:t>
      </w:r>
      <w:r>
        <w:rPr>
          <w:noProof/>
        </w:rPr>
        <w:t>. Nämä maat ovat Tanska, Saksa, Alankomaat tämän vuosikymmenen alu</w:t>
      </w:r>
      <w:r>
        <w:rPr>
          <w:noProof/>
        </w:rPr>
        <w:t xml:space="preserve">sta lähtien ja Malta viime aikoina. Vuonna 2018 ylijäämät supistuivat Saksassa 0,7 prosenttiyksikköä suhteessa BKT:hen ja Tanskassa hieman vähemmän. Sen sijaan Alankomaissa ja Maltassa ne pysyivät pitkälti muuttumattomina. </w:t>
      </w:r>
      <w:r>
        <w:rPr>
          <w:rFonts w:ascii="Times New Roman" w:hAnsi="Times New Roman"/>
          <w:noProof/>
        </w:rPr>
        <w:t>Alankomaiden ja Maltan ylijäämäke</w:t>
      </w:r>
      <w:r>
        <w:rPr>
          <w:rFonts w:ascii="Times New Roman" w:hAnsi="Times New Roman"/>
          <w:noProof/>
        </w:rPr>
        <w:t>hitykseen vaikuttivat myös monikansallisten yhtiöiden ja kansainvälisesti suuntautuneiden palvelusektorien toimintaan liittyvät valtioiden rajat ylittävät liiketoimet, jotka vaikuttavat sekä kauppa- että tulotaseisiin.</w:t>
      </w:r>
    </w:p>
    <w:p w:rsidR="005C26C8" w:rsidRDefault="00115404">
      <w:pPr>
        <w:numPr>
          <w:ilvl w:val="0"/>
          <w:numId w:val="8"/>
        </w:numPr>
        <w:ind w:left="426" w:hanging="284"/>
        <w:jc w:val="both"/>
        <w:rPr>
          <w:rFonts w:eastAsia="Times New Roman" w:cstheme="minorHAnsi"/>
          <w:noProof/>
        </w:rPr>
      </w:pPr>
      <w:r>
        <w:rPr>
          <w:b/>
          <w:noProof/>
        </w:rPr>
        <w:t>Suuret ylijäämät kasvattavat suuria p</w:t>
      </w:r>
      <w:r>
        <w:rPr>
          <w:b/>
          <w:noProof/>
        </w:rPr>
        <w:t>ositiivisia ulkomaisia nettovarallisuusasemia entisestään.</w:t>
      </w:r>
      <w:r>
        <w:rPr>
          <w:noProof/>
        </w:rPr>
        <w:t xml:space="preserve"> Maltaa lukuun ottamatta tulostaulun kynnysarvon ylittävät vaihtotaseen ylijäämät ylittävät myös talouden perustekijöiden mukaisen tason (kuvio 8). Kaikissa tapauksissa tulostaulun kynnysarvon ylitt</w:t>
      </w:r>
      <w:r>
        <w:rPr>
          <w:noProof/>
        </w:rPr>
        <w:t>ävät ylijäämät ylittävät myös tason, joka mahdollistaisi jo valmiiksi suuren ulkomaisen nettovarallisuusaseman vakauttamisen nykyiselle tasolle 10 vuoden aikajänteellä.</w:t>
      </w:r>
    </w:p>
    <w:p w:rsidR="005C26C8" w:rsidRDefault="005C26C8">
      <w:pPr>
        <w:rPr>
          <w:rFonts w:eastAsia="MS Mincho" w:cstheme="minorHAnsi"/>
          <w:b/>
          <w:bCs/>
          <w:noProof/>
        </w:rPr>
      </w:pPr>
    </w:p>
    <w:p w:rsidR="005C26C8" w:rsidRDefault="00115404">
      <w:pPr>
        <w:keepNext/>
        <w:ind w:left="0"/>
        <w:jc w:val="center"/>
        <w:rPr>
          <w:rFonts w:eastAsia="MS Mincho" w:cstheme="minorHAnsi"/>
          <w:b/>
          <w:bCs/>
          <w:noProof/>
        </w:rPr>
      </w:pPr>
      <w:r>
        <w:rPr>
          <w:noProof/>
          <w:lang w:val="en-GB" w:eastAsia="en-GB"/>
        </w:rPr>
        <w:drawing>
          <wp:anchor distT="0" distB="0" distL="114300" distR="114300" simplePos="0" relativeHeight="251679744" behindDoc="0" locked="0" layoutInCell="1" allowOverlap="1">
            <wp:simplePos x="0" y="0"/>
            <wp:positionH relativeFrom="column">
              <wp:posOffset>129540</wp:posOffset>
            </wp:positionH>
            <wp:positionV relativeFrom="paragraph">
              <wp:posOffset>307340</wp:posOffset>
            </wp:positionV>
            <wp:extent cx="5616575" cy="2923540"/>
            <wp:effectExtent l="0" t="0" r="317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657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t>Kuvio 8: Vaihtotaseet ja vertailuarvot vuonna 2018</w:t>
      </w:r>
    </w:p>
    <w:p w:rsidR="005C26C8" w:rsidRDefault="005C26C8">
      <w:pPr>
        <w:keepNext/>
        <w:ind w:left="0"/>
        <w:jc w:val="center"/>
        <w:rPr>
          <w:rFonts w:eastAsia="MS Mincho" w:cstheme="minorHAnsi"/>
          <w:b/>
          <w:bCs/>
          <w:noProof/>
        </w:rPr>
      </w:pPr>
    </w:p>
    <w:p w:rsidR="005C26C8" w:rsidRDefault="00115404">
      <w:pPr>
        <w:ind w:left="0"/>
        <w:rPr>
          <w:rFonts w:eastAsia="Times New Roman" w:cstheme="minorHAnsi"/>
          <w:noProof/>
          <w:sz w:val="20"/>
          <w:szCs w:val="20"/>
        </w:rPr>
      </w:pPr>
      <w:r>
        <w:rPr>
          <w:i/>
          <w:noProof/>
          <w:sz w:val="20"/>
          <w:szCs w:val="20"/>
        </w:rPr>
        <w:t>Lähde:</w:t>
      </w:r>
      <w:r>
        <w:rPr>
          <w:noProof/>
          <w:sz w:val="20"/>
          <w:szCs w:val="20"/>
        </w:rPr>
        <w:t xml:space="preserve"> Eurostat (BPM6-tiedot) ja komission yksiköiden laskelmat.</w:t>
      </w:r>
    </w:p>
    <w:p w:rsidR="00115404" w:rsidRDefault="00115404">
      <w:pPr>
        <w:spacing w:after="480"/>
        <w:ind w:left="0"/>
        <w:jc w:val="both"/>
        <w:rPr>
          <w:noProof/>
          <w:sz w:val="20"/>
        </w:rPr>
      </w:pPr>
      <w:r>
        <w:rPr>
          <w:i/>
          <w:noProof/>
          <w:sz w:val="20"/>
          <w:szCs w:val="20"/>
        </w:rPr>
        <w:t>Huom.</w:t>
      </w:r>
      <w:r>
        <w:rPr>
          <w:noProof/>
          <w:sz w:val="20"/>
          <w:szCs w:val="20"/>
        </w:rPr>
        <w:t xml:space="preserve"> Maat esitetään vuoden 2018 vaihtotaseen mukaisessa järjestyksessä. </w:t>
      </w:r>
      <w:r>
        <w:rPr>
          <w:i/>
          <w:noProof/>
          <w:sz w:val="20"/>
        </w:rPr>
        <w:t>Suhdannekorjatut vaihtotaseet</w:t>
      </w:r>
      <w:r>
        <w:rPr>
          <w:noProof/>
          <w:sz w:val="20"/>
        </w:rPr>
        <w:t xml:space="preserve">: ks. alaviite </w:t>
      </w:r>
      <w:r>
        <w:rPr>
          <w:rFonts w:cstheme="minorHAnsi"/>
          <w:noProof/>
          <w:sz w:val="20"/>
        </w:rPr>
        <w:fldChar w:fldCharType="begin" w:fldLock="1"/>
      </w:r>
      <w:r>
        <w:rPr>
          <w:rFonts w:cstheme="minorHAnsi"/>
          <w:noProof/>
          <w:sz w:val="20"/>
        </w:rPr>
        <w:instrText xml:space="preserve"> NOTEREF _Ref20488451 \h  \* MERGEFORMAT </w:instrText>
      </w:r>
      <w:r>
        <w:rPr>
          <w:rFonts w:cstheme="minorHAnsi"/>
          <w:noProof/>
          <w:sz w:val="20"/>
        </w:rPr>
      </w:r>
      <w:r>
        <w:rPr>
          <w:rFonts w:cstheme="minorHAnsi"/>
          <w:noProof/>
          <w:sz w:val="20"/>
        </w:rPr>
        <w:fldChar w:fldCharType="separate"/>
      </w:r>
      <w:r>
        <w:rPr>
          <w:rFonts w:cstheme="minorHAnsi"/>
          <w:noProof/>
          <w:sz w:val="20"/>
        </w:rPr>
        <w:t>22</w:t>
      </w:r>
      <w:r>
        <w:rPr>
          <w:rFonts w:cstheme="minorHAnsi"/>
          <w:noProof/>
          <w:sz w:val="20"/>
        </w:rPr>
        <w:fldChar w:fldCharType="end"/>
      </w:r>
      <w:r>
        <w:rPr>
          <w:noProof/>
          <w:sz w:val="20"/>
        </w:rPr>
        <w:t xml:space="preserve">. </w:t>
      </w:r>
      <w:r>
        <w:rPr>
          <w:i/>
          <w:noProof/>
          <w:sz w:val="20"/>
        </w:rPr>
        <w:t>Norminmukaiset vaihtotaseet</w:t>
      </w:r>
      <w:r>
        <w:rPr>
          <w:noProof/>
          <w:sz w:val="20"/>
        </w:rPr>
        <w:t xml:space="preserve">: ks. alaviite </w:t>
      </w:r>
      <w:r>
        <w:rPr>
          <w:rFonts w:cstheme="minorHAnsi"/>
          <w:noProof/>
          <w:sz w:val="20"/>
        </w:rPr>
        <w:fldChar w:fldCharType="begin" w:fldLock="1"/>
      </w:r>
      <w:r>
        <w:rPr>
          <w:rFonts w:cstheme="minorHAnsi"/>
          <w:noProof/>
          <w:sz w:val="20"/>
        </w:rPr>
        <w:instrText xml:space="preserve"> NOTEREF _Ref20488444 \h  \* MERGEFORMAT </w:instrText>
      </w:r>
      <w:r>
        <w:rPr>
          <w:rFonts w:cstheme="minorHAnsi"/>
          <w:noProof/>
          <w:sz w:val="20"/>
        </w:rPr>
      </w:r>
      <w:r>
        <w:rPr>
          <w:rFonts w:cstheme="minorHAnsi"/>
          <w:noProof/>
          <w:sz w:val="20"/>
        </w:rPr>
        <w:fldChar w:fldCharType="separate"/>
      </w:r>
      <w:r>
        <w:rPr>
          <w:rFonts w:cstheme="minorHAnsi"/>
          <w:noProof/>
          <w:sz w:val="20"/>
        </w:rPr>
        <w:t>21</w:t>
      </w:r>
      <w:r>
        <w:rPr>
          <w:rFonts w:cstheme="minorHAnsi"/>
          <w:noProof/>
          <w:sz w:val="20"/>
        </w:rPr>
        <w:fldChar w:fldCharType="end"/>
      </w:r>
      <w:r>
        <w:rPr>
          <w:noProof/>
          <w:sz w:val="20"/>
        </w:rPr>
        <w:t xml:space="preserve">. </w:t>
      </w:r>
      <w:r>
        <w:rPr>
          <w:i/>
          <w:noProof/>
        </w:rPr>
        <w:t>Ulkomaisen nettovarallisuusaseman vakauttavan vaihtotaseen</w:t>
      </w:r>
      <w:r>
        <w:rPr>
          <w:noProof/>
        </w:rPr>
        <w:t xml:space="preserve"> vertailuarvo</w:t>
      </w:r>
      <w:r>
        <w:rPr>
          <w:noProof/>
        </w:rPr>
        <w:t xml:space="preserve"> määritellään vaihtotaseeksi, joka tarvitaan vakauttamaan ulkomainen nettovarallisuusasema nykytasolle seuraavien 10 vuoden aikana tai, jos ulkomainen nettovarallisuusasema on tällä hetkellä maakohtaisen varovaisuuskynnysarvon alapuolella, vaihtotaseeksi, </w:t>
      </w:r>
      <w:r>
        <w:rPr>
          <w:noProof/>
        </w:rPr>
        <w:t>joka tarvitaan ulkomaisen nettovarallisuusaseman varovaisuuskynnysarvon saavuttamiseksi seuraavien 10 vuoden aikana (ks. alaviite</w:t>
      </w:r>
      <w:r>
        <w:rPr>
          <w:rFonts w:cstheme="minorHAnsi"/>
          <w:noProof/>
          <w:sz w:val="20"/>
        </w:rPr>
        <w:fldChar w:fldCharType="begin" w:fldLock="1"/>
      </w:r>
      <w:r>
        <w:rPr>
          <w:rFonts w:cstheme="minorHAnsi"/>
          <w:noProof/>
          <w:sz w:val="20"/>
        </w:rPr>
        <w:instrText xml:space="preserve"> NOTEREF _Ref21014141 \h </w:instrText>
      </w:r>
      <w:r>
        <w:rPr>
          <w:rFonts w:cstheme="minorHAnsi"/>
          <w:noProof/>
          <w:sz w:val="20"/>
        </w:rPr>
      </w:r>
      <w:r>
        <w:rPr>
          <w:rFonts w:cstheme="minorHAnsi"/>
          <w:noProof/>
          <w:sz w:val="20"/>
        </w:rPr>
        <w:fldChar w:fldCharType="separate"/>
      </w:r>
      <w:r>
        <w:rPr>
          <w:rFonts w:cstheme="minorHAnsi"/>
          <w:noProof/>
          <w:sz w:val="20"/>
        </w:rPr>
        <w:t>26</w:t>
      </w:r>
      <w:r>
        <w:rPr>
          <w:rFonts w:cstheme="minorHAnsi"/>
          <w:noProof/>
          <w:sz w:val="20"/>
        </w:rPr>
        <w:fldChar w:fldCharType="end"/>
      </w:r>
      <w:r>
        <w:rPr>
          <w:noProof/>
        </w:rPr>
        <w:t>).</w:t>
      </w:r>
      <w:r>
        <w:rPr>
          <w:noProof/>
          <w:sz w:val="20"/>
        </w:rPr>
        <w:t xml:space="preserve"> </w:t>
      </w:r>
    </w:p>
    <w:p w:rsidR="00115404" w:rsidRDefault="00115404" w:rsidP="00115404">
      <w:pPr>
        <w:rPr>
          <w:noProof/>
        </w:rPr>
      </w:pPr>
      <w:r>
        <w:rPr>
          <w:noProof/>
        </w:rPr>
        <w:br w:type="page"/>
      </w:r>
    </w:p>
    <w:p w:rsidR="005C26C8" w:rsidRDefault="005C26C8">
      <w:pPr>
        <w:spacing w:after="480"/>
        <w:ind w:left="0"/>
        <w:jc w:val="both"/>
        <w:rPr>
          <w:rFonts w:cstheme="minorHAnsi"/>
          <w:noProof/>
          <w:sz w:val="20"/>
        </w:rPr>
      </w:pPr>
    </w:p>
    <w:p w:rsidR="005C26C8" w:rsidRDefault="00115404">
      <w:pPr>
        <w:keepNext/>
        <w:spacing w:before="360"/>
        <w:ind w:left="0"/>
        <w:jc w:val="center"/>
        <w:rPr>
          <w:rFonts w:eastAsia="MS Mincho" w:cstheme="minorHAnsi"/>
          <w:b/>
          <w:bCs/>
          <w:noProof/>
        </w:rPr>
      </w:pPr>
      <w:r>
        <w:rPr>
          <w:b/>
          <w:bCs/>
          <w:noProof/>
        </w:rPr>
        <w:t xml:space="preserve">Kuvio 9: Vaihtotaseiden kehitys </w:t>
      </w:r>
    </w:p>
    <w:p w:rsidR="005C26C8" w:rsidRDefault="00115404">
      <w:pPr>
        <w:keepNext/>
        <w:ind w:left="0"/>
        <w:jc w:val="center"/>
        <w:rPr>
          <w:rFonts w:eastAsia="MS Mincho" w:cstheme="minorHAnsi"/>
          <w:b/>
          <w:bCs/>
          <w:noProof/>
        </w:rPr>
      </w:pPr>
      <w:r>
        <w:rPr>
          <w:noProof/>
          <w:lang w:val="en-GB" w:eastAsia="en-GB"/>
        </w:rPr>
        <w:drawing>
          <wp:anchor distT="0" distB="0" distL="114300" distR="114300" simplePos="0" relativeHeight="251680768" behindDoc="0" locked="0" layoutInCell="1" allowOverlap="1">
            <wp:simplePos x="0" y="0"/>
            <wp:positionH relativeFrom="column">
              <wp:posOffset>6921</wp:posOffset>
            </wp:positionH>
            <wp:positionV relativeFrom="paragraph">
              <wp:posOffset>185057</wp:posOffset>
            </wp:positionV>
            <wp:extent cx="5832475" cy="3303905"/>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475" cy="3303905"/>
                    </a:xfrm>
                    <a:prstGeom prst="rect">
                      <a:avLst/>
                    </a:prstGeom>
                    <a:noFill/>
                    <a:ln>
                      <a:noFill/>
                    </a:ln>
                  </pic:spPr>
                </pic:pic>
              </a:graphicData>
            </a:graphic>
          </wp:anchor>
        </w:drawing>
      </w:r>
      <w:r>
        <w:rPr>
          <w:b/>
          <w:bCs/>
          <w:noProof/>
        </w:rPr>
        <w:t xml:space="preserve"> </w:t>
      </w: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Eurostat ja komission yksiköiden laskelmat.</w:t>
      </w:r>
    </w:p>
    <w:p w:rsidR="005C26C8" w:rsidRDefault="00115404">
      <w:pPr>
        <w:ind w:left="0"/>
        <w:jc w:val="both"/>
        <w:rPr>
          <w:rFonts w:eastAsia="Times New Roman" w:cstheme="minorHAnsi"/>
          <w:noProof/>
          <w:sz w:val="20"/>
          <w:szCs w:val="20"/>
        </w:rPr>
      </w:pPr>
      <w:r>
        <w:rPr>
          <w:i/>
          <w:noProof/>
          <w:sz w:val="20"/>
          <w:szCs w:val="20"/>
        </w:rPr>
        <w:t>Huom.</w:t>
      </w:r>
      <w:r>
        <w:rPr>
          <w:noProof/>
          <w:sz w:val="20"/>
          <w:szCs w:val="20"/>
        </w:rPr>
        <w:t xml:space="preserve"> Maat esitetään nousevassa järjestyksessä, joka perustuu vaihtotaseen ja BKT:n suhteen vaihteluun vuosien 2007 ja 2018 välisenä aikana. </w:t>
      </w:r>
      <w:r>
        <w:rPr>
          <w:i/>
          <w:noProof/>
          <w:sz w:val="20"/>
          <w:szCs w:val="20"/>
        </w:rPr>
        <w:t>Suhdanteen aikaansaama muuto</w:t>
      </w:r>
      <w:r>
        <w:rPr>
          <w:i/>
          <w:noProof/>
          <w:sz w:val="20"/>
          <w:szCs w:val="20"/>
        </w:rPr>
        <w:t>s</w:t>
      </w:r>
      <w:r>
        <w:rPr>
          <w:noProof/>
          <w:sz w:val="20"/>
          <w:szCs w:val="20"/>
        </w:rPr>
        <w:t xml:space="preserve"> lasketaan vaihtotaseen vaihteluna, joka ei sisälly suhdannekorjatun vaihtotaseen vaihteluun.</w:t>
      </w:r>
    </w:p>
    <w:p w:rsidR="005C26C8" w:rsidRDefault="005C26C8">
      <w:pPr>
        <w:spacing w:after="120"/>
        <w:jc w:val="both"/>
        <w:rPr>
          <w:rFonts w:eastAsia="Times New Roman" w:cstheme="minorHAnsi"/>
          <w:b/>
          <w:noProof/>
        </w:rPr>
      </w:pPr>
    </w:p>
    <w:p w:rsidR="005C26C8" w:rsidRDefault="00115404">
      <w:pPr>
        <w:spacing w:after="120"/>
        <w:ind w:left="0"/>
        <w:jc w:val="both"/>
        <w:rPr>
          <w:rFonts w:eastAsia="Times New Roman" w:cstheme="minorHAnsi"/>
          <w:noProof/>
        </w:rPr>
      </w:pPr>
      <w:r>
        <w:rPr>
          <w:b/>
          <w:noProof/>
        </w:rPr>
        <w:t>Vuonna 2018 ulkomaiset nettovarallisuusasemat paranivat nopeammin useimmissa jäsenvaltioissa, mutta monissa niistä on edelleen paljon ulkomaanvelkaa.</w:t>
      </w:r>
      <w:r>
        <w:rPr>
          <w:noProof/>
        </w:rPr>
        <w:t xml:space="preserve"> Ulkomaiste</w:t>
      </w:r>
      <w:r>
        <w:rPr>
          <w:noProof/>
        </w:rPr>
        <w:t>n nettovarallisuusasemien paraneminen jatkui vuonna 2018 useiden maiden maltillisten vaihtotaseiden, BKT:n kasvun ja suurten positiivisten arvostusvaikutusten ansiosta (kuviot 10 ja 11). Monissa EU-maissa ulkomainen nettovarallisuusasema on kuitenkin pitkä</w:t>
      </w:r>
      <w:r>
        <w:rPr>
          <w:noProof/>
        </w:rPr>
        <w:t>lti negatiivinen. Vuonna 2018 ulkomainen nettovarallisuusasema jäi 12 jäsenvaltiossa alle tulostaulun kynnysarvon, joka on –35 prosenttia suhteessa BKT:hen. Tämä on vain yksi jäsenvaltio vähemmän kuin vuonna 2017. Niissä maissa, joissa ulkomainen nettovara</w:t>
      </w:r>
      <w:r>
        <w:rPr>
          <w:noProof/>
        </w:rPr>
        <w:t>llisuusasema on pitkälti negatiivinen, arvot alittavat sen, mitä voitaisiin pitää talouden perustekijöiden mukaisena tasona (ns. norminmukainen ulkomainen nettovarallisuusasema), ja joissain tapauksissa alle varovaisuuskynnysarvojen.</w:t>
      </w:r>
      <w:r>
        <w:rPr>
          <w:rStyle w:val="FootnoteReference"/>
          <w:noProof/>
        </w:rPr>
        <w:footnoteReference w:id="26"/>
      </w:r>
      <w:r>
        <w:rPr>
          <w:noProof/>
        </w:rPr>
        <w:t xml:space="preserve"> Joissakin maissa ulko</w:t>
      </w:r>
      <w:r>
        <w:rPr>
          <w:noProof/>
        </w:rPr>
        <w:t>maisen velan määrä on suuri myös silloin, kun se lasketaan ilman ulkomaisia suoria sijoituksia (FDI) ja muita maksukyvyttömyysriskittömiä instrumentteja (NENDI).</w:t>
      </w:r>
      <w:r>
        <w:rPr>
          <w:rStyle w:val="FootnoteReference"/>
          <w:noProof/>
        </w:rPr>
        <w:footnoteReference w:id="27"/>
      </w:r>
      <w:r>
        <w:rPr>
          <w:noProof/>
        </w:rPr>
        <w:t xml:space="preserve"> </w:t>
      </w:r>
    </w:p>
    <w:p w:rsidR="005C26C8" w:rsidRDefault="00115404">
      <w:pPr>
        <w:pStyle w:val="ListParagraph"/>
        <w:numPr>
          <w:ilvl w:val="1"/>
          <w:numId w:val="26"/>
        </w:numPr>
        <w:spacing w:after="120"/>
        <w:ind w:left="426" w:hanging="284"/>
        <w:jc w:val="both"/>
        <w:rPr>
          <w:rFonts w:eastAsia="Times New Roman" w:cstheme="minorHAnsi"/>
          <w:noProof/>
        </w:rPr>
      </w:pPr>
      <w:r>
        <w:rPr>
          <w:noProof/>
        </w:rPr>
        <w:t>Joissakin euroalueen jäsenvaltioissa, kuten Irlannissa, Kreikassa, Kyproksessa ja Portugalis</w:t>
      </w:r>
      <w:r>
        <w:rPr>
          <w:noProof/>
        </w:rPr>
        <w:t xml:space="preserve">sa, on edelleen </w:t>
      </w:r>
      <w:r>
        <w:rPr>
          <w:b/>
          <w:noProof/>
        </w:rPr>
        <w:t>pitkälti negatiivinen ulkomainen nettovarallisuusasema</w:t>
      </w:r>
      <w:r>
        <w:rPr>
          <w:noProof/>
        </w:rPr>
        <w:t>, alle –100 prosenttia suhteessa BKT:hen. Näissä maissa ulkomaiset nettovarallisuusasemat ovat selvästi sekä norminmukaisten että varovaisuuskynnysarvojen alapuolella. Irlannissa ja Kypr</w:t>
      </w:r>
      <w:r>
        <w:rPr>
          <w:noProof/>
        </w:rPr>
        <w:t>oksessa ulkomaiset nettovarallisuusasemat kertovat myös monikansallisten yritysten taseiden ja valtioiden rajat ylittävien rahoitussuhteiden merkityksestä. Näissä neljässä maassa sekä Espanjassa näkyy vahvasti velkaantumisen vaikutus ulkomaiseen nettovaral</w:t>
      </w:r>
      <w:r>
        <w:rPr>
          <w:noProof/>
        </w:rPr>
        <w:t>lisuusasemaan, mistä on osoituksena erittäin negatiivinen ulkomainen nettovarallisuusasema ilman maksukyvyttömyysriskittömiä instrumentteja (NENDI). Kreikassa taas valtaosan ulkomaisesta nettovarallisuusasemasta muodostaa suuri ulkomainen julkinen velka, j</w:t>
      </w:r>
      <w:r>
        <w:rPr>
          <w:noProof/>
        </w:rPr>
        <w:t>oka usein on myönnetty erittäin edullisin ehdoin.</w:t>
      </w:r>
      <w:r>
        <w:rPr>
          <w:rStyle w:val="FootnoteReference"/>
          <w:rFonts w:cstheme="minorHAnsi"/>
          <w:noProof/>
        </w:rPr>
        <w:footnoteReference w:id="28"/>
      </w:r>
      <w:r>
        <w:rPr>
          <w:noProof/>
        </w:rPr>
        <w:t xml:space="preserve"> Kyproksessa suuri osa ulkomaisesta nettovarallisuusasemasta liittyy rahoitusalan ulkopuolisten, varustamoalalla toimivien erityisrahoitusyhtiöiden tase-eriin.</w:t>
      </w:r>
    </w:p>
    <w:p w:rsidR="005C26C8" w:rsidRDefault="00115404">
      <w:pPr>
        <w:numPr>
          <w:ilvl w:val="0"/>
          <w:numId w:val="4"/>
        </w:numPr>
        <w:spacing w:after="120"/>
        <w:ind w:left="426" w:hanging="284"/>
        <w:jc w:val="both"/>
        <w:rPr>
          <w:rFonts w:eastAsia="Times New Roman" w:cstheme="minorHAnsi"/>
          <w:noProof/>
        </w:rPr>
      </w:pPr>
      <w:r>
        <w:rPr>
          <w:noProof/>
        </w:rPr>
        <w:t xml:space="preserve">Niissä maissa, joissa </w:t>
      </w:r>
      <w:r>
        <w:rPr>
          <w:b/>
          <w:noProof/>
        </w:rPr>
        <w:t>ulkomainen nettovarallis</w:t>
      </w:r>
      <w:r>
        <w:rPr>
          <w:b/>
          <w:noProof/>
        </w:rPr>
        <w:t>uusasema ei ole yhtä negatiivinen</w:t>
      </w:r>
      <w:r>
        <w:rPr>
          <w:noProof/>
        </w:rPr>
        <w:t>, mutta kuitenkin alle –35 prosenttia suhteessa BKT:hen, se on yleensä myös alle tason, jota voitaisiin odottaa maakohtaisten perustekijöiden perusteella. Tämä on tilanne Bulgariassa, Kroatiassa, Latviassa, Puolassa, Romani</w:t>
      </w:r>
      <w:r>
        <w:rPr>
          <w:noProof/>
        </w:rPr>
        <w:t>assa, Slovakiassa ja Unkarissa. Muutamissa tapauksissa jäädään myös varovaisuuskynnyksen alapuolelle. Koska monissa näistä Keski- ja Itä-Euroopan ja Baltian maista on kuitenkin paljon suoria ulkomaisia sijoituksia, niiden ulkomainen nettovarallisuusasema p</w:t>
      </w:r>
      <w:r>
        <w:rPr>
          <w:noProof/>
        </w:rPr>
        <w:t>aranee huomattavasti, jos se lasketaan ilman maksukyvyttömyysriskittömiä instrumentteja (NENDI).</w:t>
      </w:r>
      <w:r>
        <w:rPr>
          <w:rStyle w:val="FootnoteReference"/>
          <w:noProof/>
        </w:rPr>
        <w:footnoteReference w:id="29"/>
      </w:r>
      <w:r>
        <w:rPr>
          <w:noProof/>
        </w:rPr>
        <w:t xml:space="preserve"> Eräissä muissakin EU-maissa ulkomainen nettovarallisuusasema on yli –35 prosenttia suhteessa BKT:hen, mutta alle asianomaisten kynnysarvojen (Liettua, Sloveni</w:t>
      </w:r>
      <w:r>
        <w:rPr>
          <w:noProof/>
        </w:rPr>
        <w:t>a, Tšekki ja Viro). Myös näissä tapauksissa on pitkälti kyse näihin maihin tehdyistä suorista ulkomaisista sijoituksista. Tässä ryhmässä Ranska erottuu siksi, että sen negatiivinen ulkomainen nettovarallisuusasema johtuu suurelta osin sellaisista instrumen</w:t>
      </w:r>
      <w:r>
        <w:rPr>
          <w:noProof/>
        </w:rPr>
        <w:t>teista, joihin liittyy maksukyvyttömyysriski.</w:t>
      </w:r>
    </w:p>
    <w:p w:rsidR="005C26C8" w:rsidRDefault="00115404">
      <w:pPr>
        <w:numPr>
          <w:ilvl w:val="0"/>
          <w:numId w:val="4"/>
        </w:numPr>
        <w:tabs>
          <w:tab w:val="left" w:pos="720"/>
        </w:tabs>
        <w:spacing w:after="120"/>
        <w:ind w:left="426" w:hanging="284"/>
        <w:jc w:val="both"/>
        <w:rPr>
          <w:rFonts w:eastAsia="Times New Roman" w:cstheme="minorHAnsi"/>
          <w:noProof/>
        </w:rPr>
      </w:pPr>
      <w:r>
        <w:rPr>
          <w:noProof/>
        </w:rPr>
        <w:t xml:space="preserve">Useimmat </w:t>
      </w:r>
      <w:r>
        <w:rPr>
          <w:b/>
          <w:noProof/>
        </w:rPr>
        <w:t>suuret positiiviset ulkomaiset nettovarallisuusasemat</w:t>
      </w:r>
      <w:r>
        <w:rPr>
          <w:noProof/>
        </w:rPr>
        <w:t xml:space="preserve"> kasvoivat edelleen vuonna 2018. Alankomaissa, Luxemburgissa, Maltassa ja Saksassa positiivinen ulkomainen nettovarallisuusasema oli vähintään 60 pr</w:t>
      </w:r>
      <w:r>
        <w:rPr>
          <w:noProof/>
        </w:rPr>
        <w:t>osenttia ja Tanskassa lähes 50 prosenttia suhteessa BKT:hen.</w:t>
      </w:r>
      <w:r>
        <w:rPr>
          <w:rStyle w:val="FootnoteReference"/>
          <w:noProof/>
        </w:rPr>
        <w:footnoteReference w:id="30"/>
      </w:r>
      <w:r>
        <w:rPr>
          <w:noProof/>
        </w:rPr>
        <w:t xml:space="preserve"> Tässä näkyy se, että vaihtotase on ollut vuosien ajan hyvin ylijäämäinen, minkä seurauksena on kertynyt suuri nettovarallisuusasema suhteessa muuhun maailmaan. Belgiassa sen sijaan erittäin posi</w:t>
      </w:r>
      <w:r>
        <w:rPr>
          <w:noProof/>
        </w:rPr>
        <w:t>tiivinen ulkomainen nettovarallisuusasema heikkeni negatiivisten arvostusvaikutusten vuoksi. Kaikissa näissä tapauksissa ulkomaisten nettovarallisuusasemien lukemat ylittävät selvästi asiaa koskevat normit eli ne ovat selvästi yli sen, mikä olisi perustelt</w:t>
      </w:r>
      <w:r>
        <w:rPr>
          <w:noProof/>
        </w:rPr>
        <w:t>avissa tai odotettavissa maakohtaisten perustekijöiden perusteella.</w:t>
      </w:r>
    </w:p>
    <w:p w:rsidR="005C26C8" w:rsidRDefault="005C26C8">
      <w:pPr>
        <w:ind w:left="426"/>
        <w:jc w:val="both"/>
        <w:rPr>
          <w:rFonts w:eastAsia="Times New Roman" w:cstheme="minorHAnsi"/>
          <w:noProof/>
        </w:rPr>
      </w:pPr>
    </w:p>
    <w:p w:rsidR="005C26C8" w:rsidRDefault="00115404">
      <w:pPr>
        <w:keepNext/>
        <w:ind w:left="0"/>
        <w:jc w:val="center"/>
        <w:rPr>
          <w:rFonts w:eastAsia="MS Mincho" w:cstheme="minorHAnsi"/>
          <w:b/>
          <w:bCs/>
          <w:noProof/>
        </w:rPr>
      </w:pPr>
      <w:r>
        <w:rPr>
          <w:b/>
          <w:bCs/>
          <w:noProof/>
        </w:rPr>
        <w:t>Kuvio 10: Ulkomaiset nettovarallisuusasemat (NIIP) ja vertailuarvot vuonna 2018</w:t>
      </w:r>
    </w:p>
    <w:p w:rsidR="005C26C8" w:rsidRDefault="00115404">
      <w:pPr>
        <w:keepNext/>
        <w:ind w:left="0"/>
        <w:jc w:val="center"/>
        <w:rPr>
          <w:rFonts w:eastAsia="MS Mincho" w:cstheme="minorHAnsi"/>
          <w:b/>
          <w:bCs/>
          <w:noProof/>
        </w:rPr>
      </w:pPr>
      <w:r>
        <w:rPr>
          <w:noProof/>
          <w:lang w:val="en-GB" w:eastAsia="en-GB"/>
        </w:rPr>
        <w:drawing>
          <wp:anchor distT="0" distB="0" distL="114300" distR="114300" simplePos="0" relativeHeight="251681792" behindDoc="0" locked="0" layoutInCell="1" allowOverlap="1">
            <wp:simplePos x="0" y="0"/>
            <wp:positionH relativeFrom="column">
              <wp:posOffset>-763</wp:posOffset>
            </wp:positionH>
            <wp:positionV relativeFrom="paragraph">
              <wp:posOffset>-96</wp:posOffset>
            </wp:positionV>
            <wp:extent cx="5847550" cy="2981325"/>
            <wp:effectExtent l="0" t="0" r="127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550" cy="2981325"/>
                    </a:xfrm>
                    <a:prstGeom prst="rect">
                      <a:avLst/>
                    </a:prstGeom>
                    <a:noFill/>
                    <a:ln>
                      <a:noFill/>
                    </a:ln>
                  </pic:spPr>
                </pic:pic>
              </a:graphicData>
            </a:graphic>
          </wp:anchor>
        </w:drawing>
      </w: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Eurostat (BPM6, EKT-10), komission yksiköiden laskelmat.</w:t>
      </w:r>
    </w:p>
    <w:p w:rsidR="005C26C8" w:rsidRDefault="00115404">
      <w:pPr>
        <w:ind w:left="0"/>
        <w:jc w:val="both"/>
        <w:rPr>
          <w:rFonts w:eastAsia="Times New Roman" w:cstheme="minorHAnsi"/>
          <w:noProof/>
          <w:sz w:val="20"/>
          <w:szCs w:val="20"/>
        </w:rPr>
      </w:pPr>
      <w:r>
        <w:rPr>
          <w:i/>
          <w:noProof/>
          <w:sz w:val="20"/>
          <w:szCs w:val="20"/>
        </w:rPr>
        <w:t>Huom.</w:t>
      </w:r>
      <w:r>
        <w:rPr>
          <w:noProof/>
          <w:sz w:val="20"/>
          <w:szCs w:val="20"/>
        </w:rPr>
        <w:t xml:space="preserve"> Irlannin, Luxemburgin ja Maltan NENDI-arvot jäävät kuvion ulkopuolelle. Maat esitetään laskevassa järjestyksessä sen perusteella, mikä ulkomaisen nettovarallisuusaseman suhde BKT:hen oli vuonna 2018. NENDI on ulkomainen nettovarallisuusasema ilman maksuky</w:t>
      </w:r>
      <w:r>
        <w:rPr>
          <w:noProof/>
          <w:sz w:val="20"/>
          <w:szCs w:val="20"/>
        </w:rPr>
        <w:t xml:space="preserve">vyttömyysriskittömiä instrumentteja. </w:t>
      </w:r>
      <w:r>
        <w:rPr>
          <w:noProof/>
        </w:rPr>
        <w:t xml:space="preserve">Norminmukaisen ulkomaisen nettovarallisuusaseman ja ulkomaisen nettovarallisuusaseman varovaisuuskynnysarvon osalta ks. alaviite </w:t>
      </w:r>
      <w:r>
        <w:rPr>
          <w:noProof/>
          <w:sz w:val="20"/>
          <w:szCs w:val="20"/>
        </w:rPr>
        <w:fldChar w:fldCharType="begin" w:fldLock="1"/>
      </w:r>
      <w:r>
        <w:rPr>
          <w:noProof/>
          <w:sz w:val="20"/>
          <w:szCs w:val="20"/>
        </w:rPr>
        <w:instrText xml:space="preserve"> NOTEREF _Ref21014141 \h  \* MERGEFORMAT </w:instrText>
      </w:r>
      <w:r>
        <w:rPr>
          <w:noProof/>
          <w:sz w:val="20"/>
          <w:szCs w:val="20"/>
        </w:rPr>
      </w:r>
      <w:r>
        <w:rPr>
          <w:noProof/>
          <w:sz w:val="20"/>
          <w:szCs w:val="20"/>
        </w:rPr>
        <w:fldChar w:fldCharType="separate"/>
      </w:r>
      <w:r>
        <w:rPr>
          <w:noProof/>
          <w:sz w:val="20"/>
          <w:szCs w:val="20"/>
        </w:rPr>
        <w:t>26</w:t>
      </w:r>
      <w:r>
        <w:rPr>
          <w:noProof/>
          <w:sz w:val="20"/>
          <w:szCs w:val="20"/>
        </w:rPr>
        <w:fldChar w:fldCharType="end"/>
      </w:r>
      <w:r>
        <w:rPr>
          <w:noProof/>
        </w:rPr>
        <w:t>.</w:t>
      </w:r>
      <w:r>
        <w:rPr>
          <w:noProof/>
          <w:sz w:val="20"/>
          <w:szCs w:val="20"/>
        </w:rPr>
        <w:t xml:space="preserve"> </w:t>
      </w:r>
    </w:p>
    <w:p w:rsidR="005C26C8" w:rsidRDefault="005C26C8">
      <w:pPr>
        <w:keepNext/>
        <w:ind w:left="0"/>
        <w:jc w:val="center"/>
        <w:rPr>
          <w:rFonts w:eastAsia="MS Mincho" w:cstheme="minorHAnsi"/>
          <w:b/>
          <w:bCs/>
          <w:noProof/>
        </w:rPr>
      </w:pPr>
    </w:p>
    <w:p w:rsidR="005C26C8" w:rsidRDefault="00115404">
      <w:pPr>
        <w:keepNext/>
        <w:ind w:left="0"/>
        <w:jc w:val="center"/>
        <w:rPr>
          <w:rFonts w:eastAsia="MS Mincho" w:cstheme="minorHAnsi"/>
          <w:b/>
          <w:bCs/>
          <w:noProof/>
        </w:rPr>
      </w:pPr>
      <w:r>
        <w:rPr>
          <w:noProof/>
          <w:lang w:val="en-GB" w:eastAsia="en-GB"/>
        </w:rPr>
        <w:drawing>
          <wp:anchor distT="0" distB="0" distL="114300" distR="114300" simplePos="0" relativeHeight="251682816" behindDoc="0" locked="0" layoutInCell="1" allowOverlap="1">
            <wp:simplePos x="0" y="0"/>
            <wp:positionH relativeFrom="column">
              <wp:posOffset>45085</wp:posOffset>
            </wp:positionH>
            <wp:positionV relativeFrom="paragraph">
              <wp:posOffset>186055</wp:posOffset>
            </wp:positionV>
            <wp:extent cx="5862320" cy="3020060"/>
            <wp:effectExtent l="0" t="0" r="5080" b="889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2320" cy="3020060"/>
                    </a:xfrm>
                    <a:prstGeom prst="rect">
                      <a:avLst/>
                    </a:prstGeom>
                    <a:noFill/>
                    <a:ln>
                      <a:noFill/>
                    </a:ln>
                  </pic:spPr>
                </pic:pic>
              </a:graphicData>
            </a:graphic>
            <wp14:sizeRelH relativeFrom="margin">
              <wp14:pctWidth>0</wp14:pctWidth>
            </wp14:sizeRelH>
          </wp:anchor>
        </w:drawing>
      </w:r>
      <w:r>
        <w:rPr>
          <w:b/>
          <w:bCs/>
          <w:noProof/>
        </w:rPr>
        <w:t>Kuvio 11: Ulkomaisten nettovarallisuusasemien (NIIP) kehitys vuonna 2018</w:t>
      </w:r>
    </w:p>
    <w:p w:rsidR="005C26C8" w:rsidRDefault="005C26C8">
      <w:pPr>
        <w:keepNext/>
        <w:ind w:left="0"/>
        <w:jc w:val="center"/>
        <w:rPr>
          <w:rFonts w:eastAsia="MS Mincho" w:cstheme="minorHAnsi"/>
          <w:b/>
          <w:bCs/>
          <w:noProof/>
        </w:rPr>
      </w:pP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Eurostat, komission yksiköiden laskelmat.</w:t>
      </w:r>
    </w:p>
    <w:p w:rsidR="005C26C8" w:rsidRDefault="00115404">
      <w:pPr>
        <w:keepNext/>
        <w:ind w:left="0"/>
        <w:jc w:val="both"/>
        <w:rPr>
          <w:rFonts w:eastAsia="Times New Roman" w:cstheme="minorHAnsi"/>
          <w:noProof/>
          <w:sz w:val="20"/>
          <w:szCs w:val="20"/>
        </w:rPr>
      </w:pPr>
      <w:r>
        <w:rPr>
          <w:i/>
          <w:noProof/>
          <w:sz w:val="20"/>
          <w:szCs w:val="20"/>
        </w:rPr>
        <w:t>Huom.</w:t>
      </w:r>
      <w:r>
        <w:rPr>
          <w:noProof/>
          <w:sz w:val="20"/>
          <w:szCs w:val="20"/>
        </w:rPr>
        <w:t xml:space="preserve"> Maat esitetään nousevassa järjestyksessä, joka perustuu ulkomaisen nettovarallisuusaseman ja BKT:n suht</w:t>
      </w:r>
      <w:r>
        <w:rPr>
          <w:noProof/>
          <w:sz w:val="20"/>
          <w:szCs w:val="20"/>
        </w:rPr>
        <w:t>een vaihteluun vuonna 2018. Kuviossa on esitetty ulkomaisen nettovarallisuusaseman ja BKT:n suhteen vuotuinen kehitys jaoteltuna seuraaviin viiteen osatekijään: rahoitustase, jonka olisi oltava yhtä kuin vaihto- ja pääomataseiden summa; reaalisen BKT:n pot</w:t>
      </w:r>
      <w:r>
        <w:rPr>
          <w:noProof/>
          <w:sz w:val="20"/>
          <w:szCs w:val="20"/>
        </w:rPr>
        <w:t xml:space="preserve">entiaalinen ja syklinen kasvu; inflaatio; ja arvostusmuutokset. BKT:n kasvun syklinen komponentti lasketaan todellisen ja potentiaalisen kasvun välisenä erotuksena. </w:t>
      </w:r>
    </w:p>
    <w:p w:rsidR="005C26C8" w:rsidRDefault="005C26C8">
      <w:pPr>
        <w:rPr>
          <w:rFonts w:cstheme="minorHAnsi"/>
          <w:noProof/>
        </w:rPr>
      </w:pPr>
    </w:p>
    <w:p w:rsidR="005C26C8" w:rsidRDefault="005C26C8">
      <w:pPr>
        <w:rPr>
          <w:rFonts w:eastAsia="Times New Roman" w:cstheme="minorHAnsi"/>
          <w:noProof/>
        </w:rPr>
      </w:pPr>
    </w:p>
    <w:p w:rsidR="005C26C8" w:rsidRDefault="00115404">
      <w:pPr>
        <w:spacing w:after="120"/>
        <w:ind w:left="0"/>
        <w:jc w:val="both"/>
        <w:rPr>
          <w:rFonts w:eastAsia="Times New Roman" w:cstheme="minorHAnsi"/>
          <w:noProof/>
        </w:rPr>
      </w:pPr>
      <w:r>
        <w:rPr>
          <w:b/>
          <w:noProof/>
        </w:rPr>
        <w:t xml:space="preserve">Yksikkötyökustannukset kasvavat kiihtyvää vauhtia useissa EU:n jäsenvaltioissa. </w:t>
      </w:r>
      <w:r>
        <w:rPr>
          <w:noProof/>
        </w:rPr>
        <w:t>Tulostau</w:t>
      </w:r>
      <w:r>
        <w:rPr>
          <w:noProof/>
        </w:rPr>
        <w:t>lun mukaan yksikkötyökustannusten kasvu ylitti vuonna 2018 kynnysarvon 8 maassa, mikä on kaksi kertaa enemmän kuin aiempina vuosina. Yksikkötyökustannusten kiihtyminen alkoi vuoden 2013 tienoilla ensin Baltian maissa ja hiukan myöhemmin useissa Keski- ja I</w:t>
      </w:r>
      <w:r>
        <w:rPr>
          <w:noProof/>
        </w:rPr>
        <w:t xml:space="preserve">tä-Euroopan maissa. Joitain merkkejä siitä oli nähtävissä myös euroalueella. Vuotta 2019 koskevien ennusteiden mukaan yksikkötyökustannusten kasvu näyttää jossain määrin hidastuvan maissa, joissa kustannuskilpailukyvyn heikkeneminen on ollut viime vuosina </w:t>
      </w:r>
      <w:r>
        <w:rPr>
          <w:noProof/>
        </w:rPr>
        <w:t xml:space="preserve">merkittävämpää, mutta joissain tapauksissa yksikkötyökustannusten kasvu näyttää edelleen kiihtyvän (kuvio 12). </w:t>
      </w:r>
    </w:p>
    <w:p w:rsidR="005C26C8" w:rsidRDefault="00115404">
      <w:pPr>
        <w:pStyle w:val="ListParagraph"/>
        <w:numPr>
          <w:ilvl w:val="0"/>
          <w:numId w:val="31"/>
        </w:numPr>
        <w:spacing w:after="120"/>
        <w:ind w:left="426" w:hanging="284"/>
        <w:contextualSpacing w:val="0"/>
        <w:jc w:val="both"/>
        <w:rPr>
          <w:rFonts w:cstheme="minorHAnsi"/>
          <w:noProof/>
        </w:rPr>
      </w:pPr>
      <w:r>
        <w:rPr>
          <w:b/>
          <w:noProof/>
        </w:rPr>
        <w:t xml:space="preserve">Yksikkötyökustannusten kasvun kiihtymistä on havaittu yhä useammassa jäsenvaltiossa. </w:t>
      </w:r>
      <w:r>
        <w:rPr>
          <w:noProof/>
        </w:rPr>
        <w:t>Yksikkötyökustannusten kasvu on ollut erityisen vahvaa eräi</w:t>
      </w:r>
      <w:r>
        <w:rPr>
          <w:noProof/>
        </w:rPr>
        <w:t>ssä Keski- ja Itä-Euroopan ja Baltian maissa, etenkin Romaniassa sekä Bulgariassa, Latviassa, Liettuassa, Slovakiassa, Tšekissä, Unkarissa ja Virossa. Tulostaulun mukaan yksikkötyökustannusten kasvu ylittää kynnysarvon kaikissa näissä maissa. Vuonna 2019 y</w:t>
      </w:r>
      <w:r>
        <w:rPr>
          <w:noProof/>
        </w:rPr>
        <w:t>ksikkötyökustannusten kasvun odotetaan hidastuvan jonkin verran useimmissa näistä maista, mutta kiihtyvän edelleen Slovakiassa ja Unkarissa. Yksikkötyökustannusten kasvu pysyi suhteellisen maltillisena, joskin aiempia vuosia suurempana, euroalueen nettovel</w:t>
      </w:r>
      <w:r>
        <w:rPr>
          <w:noProof/>
        </w:rPr>
        <w:t>allismaissa, etenkin Espanjassa, Kreikassa ja Kyproksessa. Portugalissa yksikkötyökustannusten kasvu ylitti euroalueen keskiarvon. Yksikkötyökustannukset kasvoivat jonkin verran myös suurissa nettovelkojamaissa. Saksassa yksikkötyökustannusten kasvu kiihty</w:t>
      </w:r>
      <w:r>
        <w:rPr>
          <w:noProof/>
        </w:rPr>
        <w:t xml:space="preserve">i euroalueen suurista talouksista eniten. </w:t>
      </w:r>
    </w:p>
    <w:p w:rsidR="005C26C8" w:rsidRDefault="00115404">
      <w:pPr>
        <w:pStyle w:val="ListParagraph"/>
        <w:numPr>
          <w:ilvl w:val="0"/>
          <w:numId w:val="31"/>
        </w:numPr>
        <w:spacing w:after="120"/>
        <w:ind w:left="426" w:hanging="284"/>
        <w:contextualSpacing w:val="0"/>
        <w:jc w:val="both"/>
        <w:rPr>
          <w:rFonts w:cstheme="minorHAnsi"/>
          <w:noProof/>
        </w:rPr>
      </w:pPr>
      <w:r>
        <w:rPr>
          <w:b/>
          <w:noProof/>
        </w:rPr>
        <w:t>Yksikkötyökustannusten voimakas kasvu johtuu pitkälti palkkojen nousun elpymisestä työmarkkinoiden kiristyessä</w:t>
      </w:r>
      <w:r>
        <w:rPr>
          <w:noProof/>
        </w:rPr>
        <w:t>. Vuonna 2018 nimellispalkkojen kasvu oli merkittävin yksikkötyökustannusten kasvua selittävä tekijä (k</w:t>
      </w:r>
      <w:r>
        <w:rPr>
          <w:noProof/>
        </w:rPr>
        <w:t>uvio 13). Siitä lähtien kun talouden elpyminen alkoi, työllisyyden kasvua ja työttömyyslukujen laskua on seurannut palkkojen nousun kiihtyminen Phillipsin käyrän dynamiikan pohjalta. Siitä lähtien kun elpyminen alkoi, reaalipalkat nousivat kuitenkin vähemm</w:t>
      </w:r>
      <w:r>
        <w:rPr>
          <w:noProof/>
        </w:rPr>
        <w:t>än kuin työn tuottavuus vuoteen 2017 asti. Muutos tapahtui vasta vuodesta 2018 alkaen. Yksikkötyökustannusten kasvu on eri maissa yleensä voimakkaampaa siellä, missä työttömyys on alhaisinta ja missä esiintyy osaamisvajetta ja työvoiman tarjonnan pullonkau</w:t>
      </w:r>
      <w:r>
        <w:rPr>
          <w:noProof/>
        </w:rPr>
        <w:t>loja. Myös kiinnikuromiskehityksellä on merkitystä erityisesti Keski- ja Itä-Euroopassa.</w:t>
      </w:r>
      <w:r>
        <w:rPr>
          <w:rStyle w:val="FootnoteReference"/>
          <w:rFonts w:cstheme="minorHAnsi"/>
          <w:noProof/>
        </w:rPr>
        <w:footnoteReference w:id="31"/>
      </w:r>
      <w:r>
        <w:rPr>
          <w:noProof/>
        </w:rPr>
        <w:t xml:space="preserve"> Myös yksikkötyökustannusten kasvuvauhdin ajoitus heijastaa työmarkkinoiden paranemista: yksikkötyökustannusten kasvuvauhti alkoi kiihtyä aiemmin niissä maissa, joissa</w:t>
      </w:r>
      <w:r>
        <w:rPr>
          <w:noProof/>
        </w:rPr>
        <w:t xml:space="preserve"> vuoden 2011 euroalueen velkakriisiin liittyvä taantuma vaikutti vähemmän ja joissa työttömyys alkoi vähentyä aikaisemmin. </w:t>
      </w:r>
    </w:p>
    <w:p w:rsidR="005C26C8" w:rsidRDefault="00115404">
      <w:pPr>
        <w:pStyle w:val="ListParagraph"/>
        <w:numPr>
          <w:ilvl w:val="0"/>
          <w:numId w:val="31"/>
        </w:numPr>
        <w:spacing w:after="120"/>
        <w:ind w:left="426" w:hanging="284"/>
        <w:contextualSpacing w:val="0"/>
        <w:jc w:val="both"/>
        <w:rPr>
          <w:rFonts w:cstheme="minorHAnsi"/>
          <w:noProof/>
        </w:rPr>
      </w:pPr>
      <w:r>
        <w:rPr>
          <w:b/>
          <w:noProof/>
        </w:rPr>
        <w:t>Heikko työn tuottavuus vaikuttaa yksikkötyökustannusten kasvun kiihtymiseen yhä enemmän</w:t>
      </w:r>
      <w:r>
        <w:rPr>
          <w:noProof/>
        </w:rPr>
        <w:t>. Työn tuottavuuden kasvun hidastuminen vaiku</w:t>
      </w:r>
      <w:r>
        <w:rPr>
          <w:noProof/>
        </w:rPr>
        <w:t>tti merkittävästi yksikkötyökustannusten kasvun kiihtymiseen vuosien 2017 ja 2018 välisenä aikana. Työn tuottavuus alkoi jälleen kasvaa useimmissa EU-maissa talouden elpymisen myötä sen jälkeen kun se oli finanssikriisin pahimpina vuosina merkittävästi hid</w:t>
      </w:r>
      <w:r>
        <w:rPr>
          <w:noProof/>
        </w:rPr>
        <w:t>astunut (kuvio 14). Työn tuottavuuden elpyminen liittyi pääasiassa kokonaistuottavuuden kasvuun, kun taas pääomaintensiteetin kasvu on edistänyt työn tuottavuuden kasvua vähemmän kuin kriisiä edeltävänä aikana. Viimeksi mainitulla tarkoitetaan sitä, että k</w:t>
      </w:r>
      <w:r>
        <w:rPr>
          <w:noProof/>
        </w:rPr>
        <w:t>eskimääräinen pääoma työntekijää kohti kasvaa hitaasti tai supistuu työllisyyden voimakkaan kasvun ja investointien vähäisyyden vuoksi. Viime vuosina työn tuottavuus on kasvanut hitaammin kuin kriisiä edeltävänä aikana, mikä johtuu sekä maltillisemmasta ko</w:t>
      </w:r>
      <w:r>
        <w:rPr>
          <w:noProof/>
        </w:rPr>
        <w:t xml:space="preserve">konaistuottavuuden kasvusta että heikommasta pääomaintensiteetin kasvusta. </w:t>
      </w:r>
    </w:p>
    <w:p w:rsidR="005C26C8" w:rsidRDefault="00115404">
      <w:pPr>
        <w:pStyle w:val="ListParagraph"/>
        <w:numPr>
          <w:ilvl w:val="0"/>
          <w:numId w:val="31"/>
        </w:numPr>
        <w:spacing w:after="120"/>
        <w:ind w:left="426" w:hanging="284"/>
        <w:contextualSpacing w:val="0"/>
        <w:jc w:val="both"/>
        <w:rPr>
          <w:rFonts w:cstheme="minorHAnsi"/>
          <w:noProof/>
        </w:rPr>
      </w:pPr>
      <w:r>
        <w:rPr>
          <w:b/>
          <w:noProof/>
        </w:rPr>
        <w:t>Yksikkötyökustannusten kasvusuuntausten yhteys tasapainottamisen tarpeisiin on käymässä yhä heikommaksi.</w:t>
      </w:r>
      <w:r>
        <w:rPr>
          <w:noProof/>
        </w:rPr>
        <w:t xml:space="preserve"> Vuonna 2018 yksikkötyökustannukset kasvoivat kaikissa euroalueen maissa. Er</w:t>
      </w:r>
      <w:r>
        <w:rPr>
          <w:noProof/>
        </w:rPr>
        <w:t>ot nettovelkoja- ja nettovelallismaiden välillä olivat hyvin pieniä. Tämä poikkesi kriisin jälkeisistä vuosista, jolloin yksikkötyökustannukset kasvoivat selvemmin nettovelkojamaissa. Kun työmarkkinat alkoivat vähitellen kiristyä myös niissä maissa, joissa</w:t>
      </w:r>
      <w:r>
        <w:rPr>
          <w:noProof/>
        </w:rPr>
        <w:t xml:space="preserve"> vaihtotase kääntyi vastakkaiseen suuntaan, työvoimakustannukset alkoivat nousta myös näissä maissa, ja kuilu suhteessa nettovelkojamaihin alkoi kaventua (ks. myös kertomuksen 2. kohta). Samoin kuin nettovelallismaissa, joissa on enemmän varaa työmarkkinoi</w:t>
      </w:r>
      <w:r>
        <w:rPr>
          <w:noProof/>
        </w:rPr>
        <w:t xml:space="preserve">den kiristymiseen, kilpailukyvyn kehitys saattaa tulevaisuudessa tukea tasapainottamista yhä vähemmän siksi, että palkkojen nousu olisi suhteellisen voimakasta ja tuottavuuden kasvu hillitympää, kun pääomaintensiteetin kasvun vaikutus heikkenisi. </w:t>
      </w:r>
    </w:p>
    <w:p w:rsidR="005C26C8" w:rsidRDefault="005C26C8">
      <w:pPr>
        <w:spacing w:after="120"/>
        <w:jc w:val="both"/>
        <w:rPr>
          <w:rFonts w:eastAsia="Times New Roman" w:cstheme="minorHAnsi"/>
          <w:noProof/>
          <w:sz w:val="20"/>
          <w:szCs w:val="20"/>
        </w:rPr>
      </w:pPr>
    </w:p>
    <w:p w:rsidR="005C26C8" w:rsidRDefault="00115404">
      <w:pPr>
        <w:keepNext/>
        <w:ind w:left="0"/>
        <w:jc w:val="center"/>
        <w:rPr>
          <w:rFonts w:eastAsia="MS Mincho" w:cstheme="minorHAnsi"/>
          <w:b/>
          <w:bCs/>
          <w:noProof/>
        </w:rPr>
      </w:pPr>
      <w:r>
        <w:rPr>
          <w:b/>
          <w:noProof/>
          <w:lang w:val="en-GB" w:eastAsia="en-GB"/>
        </w:rPr>
        <w:drawing>
          <wp:anchor distT="0" distB="0" distL="114300" distR="114300" simplePos="0" relativeHeight="251683840" behindDoc="0" locked="0" layoutInCell="1" allowOverlap="1">
            <wp:simplePos x="0" y="0"/>
            <wp:positionH relativeFrom="column">
              <wp:posOffset>-1270</wp:posOffset>
            </wp:positionH>
            <wp:positionV relativeFrom="paragraph">
              <wp:posOffset>187960</wp:posOffset>
            </wp:positionV>
            <wp:extent cx="5804535" cy="2912110"/>
            <wp:effectExtent l="0" t="0" r="5715" b="2540"/>
            <wp:wrapSquare wrapText="bothSides"/>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45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t xml:space="preserve">Kuvio </w:t>
      </w:r>
      <w:r>
        <w:rPr>
          <w:b/>
          <w:bCs/>
          <w:noProof/>
        </w:rPr>
        <w:t>12: Yksikkötyökustannusten kasvu viime vuosina</w:t>
      </w:r>
    </w:p>
    <w:p w:rsidR="005C26C8" w:rsidRDefault="00115404">
      <w:pPr>
        <w:ind w:left="0"/>
        <w:jc w:val="center"/>
        <w:rPr>
          <w:rFonts w:eastAsia="Times New Roman" w:cstheme="minorHAnsi"/>
          <w:b/>
          <w:noProof/>
          <w:sz w:val="24"/>
          <w:szCs w:val="24"/>
        </w:rPr>
      </w:pPr>
      <w:r>
        <w:rPr>
          <w:b/>
          <w:noProof/>
        </w:rPr>
        <w:t xml:space="preserve"> </w:t>
      </w: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AMECO-tietokanta; vuoden 2019 tiedot ovat peräisin Euroopan komission syksyn 2019 talousennusteesta. </w:t>
      </w:r>
    </w:p>
    <w:p w:rsidR="005C26C8" w:rsidRDefault="00115404">
      <w:pPr>
        <w:spacing w:after="840"/>
        <w:ind w:left="0"/>
        <w:jc w:val="both"/>
        <w:rPr>
          <w:rFonts w:eastAsia="Times New Roman" w:cstheme="minorHAnsi"/>
          <w:noProof/>
          <w:sz w:val="20"/>
          <w:szCs w:val="20"/>
        </w:rPr>
      </w:pPr>
      <w:r>
        <w:rPr>
          <w:i/>
          <w:noProof/>
          <w:sz w:val="20"/>
          <w:szCs w:val="20"/>
        </w:rPr>
        <w:t>Huom.</w:t>
      </w:r>
      <w:r>
        <w:rPr>
          <w:noProof/>
          <w:sz w:val="20"/>
          <w:szCs w:val="20"/>
        </w:rPr>
        <w:t xml:space="preserve"> Maat esitetään nousevassa järjestyksessä yksikkötyökustannusten kasvun perusteella (vuosi 2018).</w:t>
      </w:r>
    </w:p>
    <w:p w:rsidR="005C26C8" w:rsidRDefault="005C26C8">
      <w:pPr>
        <w:jc w:val="both"/>
        <w:rPr>
          <w:rFonts w:eastAsia="Times New Roman" w:cstheme="minorHAnsi"/>
          <w:noProof/>
          <w:sz w:val="20"/>
          <w:szCs w:val="20"/>
        </w:rPr>
      </w:pPr>
    </w:p>
    <w:p w:rsidR="005C26C8" w:rsidRDefault="00115404">
      <w:pPr>
        <w:keepNext/>
        <w:spacing w:before="600"/>
        <w:ind w:left="0"/>
        <w:jc w:val="center"/>
        <w:rPr>
          <w:rFonts w:eastAsia="MS Mincho" w:cstheme="minorHAnsi"/>
          <w:b/>
          <w:bCs/>
          <w:noProof/>
        </w:rPr>
      </w:pPr>
      <w:r>
        <w:rPr>
          <w:b/>
          <w:bCs/>
          <w:noProof/>
        </w:rPr>
        <w:t>Kuvio 13: Yksikkötyökustannusten kasvun erittely, 2018</w:t>
      </w:r>
    </w:p>
    <w:p w:rsidR="005C26C8" w:rsidRDefault="00115404">
      <w:pPr>
        <w:keepNext/>
        <w:ind w:left="0"/>
        <w:jc w:val="center"/>
        <w:rPr>
          <w:rFonts w:eastAsia="Times New Roman" w:cstheme="minorHAnsi"/>
          <w:b/>
          <w:noProof/>
          <w:sz w:val="24"/>
          <w:szCs w:val="24"/>
        </w:rPr>
      </w:pPr>
      <w:r>
        <w:rPr>
          <w:noProof/>
          <w:lang w:val="en-GB" w:eastAsia="en-GB"/>
        </w:rPr>
        <w:drawing>
          <wp:anchor distT="0" distB="0" distL="114300" distR="114300" simplePos="0" relativeHeight="251684864" behindDoc="0" locked="0" layoutInCell="1" allowOverlap="1">
            <wp:simplePos x="0" y="0"/>
            <wp:positionH relativeFrom="column">
              <wp:posOffset>68393</wp:posOffset>
            </wp:positionH>
            <wp:positionV relativeFrom="paragraph">
              <wp:posOffset>185057</wp:posOffset>
            </wp:positionV>
            <wp:extent cx="5716312" cy="2969439"/>
            <wp:effectExtent l="0" t="0" r="0" b="254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312" cy="2969439"/>
                    </a:xfrm>
                    <a:prstGeom prst="rect">
                      <a:avLst/>
                    </a:prstGeom>
                    <a:noFill/>
                    <a:ln>
                      <a:noFill/>
                    </a:ln>
                  </pic:spPr>
                </pic:pic>
              </a:graphicData>
            </a:graphic>
          </wp:anchor>
        </w:drawing>
      </w:r>
    </w:p>
    <w:p w:rsidR="005C26C8" w:rsidRDefault="00115404">
      <w:pPr>
        <w:autoSpaceDE w:val="0"/>
        <w:autoSpaceDN w:val="0"/>
        <w:adjustRightInd w:val="0"/>
        <w:ind w:left="0"/>
        <w:rPr>
          <w:rFonts w:cstheme="minorHAnsi"/>
          <w:noProof/>
          <w:color w:val="000000"/>
          <w:sz w:val="20"/>
          <w:szCs w:val="20"/>
        </w:rPr>
      </w:pPr>
      <w:r>
        <w:rPr>
          <w:i/>
          <w:iCs/>
          <w:noProof/>
          <w:sz w:val="20"/>
          <w:szCs w:val="20"/>
        </w:rPr>
        <w:t xml:space="preserve">Lähde: </w:t>
      </w:r>
      <w:r>
        <w:rPr>
          <w:noProof/>
          <w:sz w:val="20"/>
          <w:szCs w:val="20"/>
        </w:rPr>
        <w:t xml:space="preserve">AMECO-tietokanta ja komission yksiköiden laskelmat. </w:t>
      </w:r>
    </w:p>
    <w:p w:rsidR="005C26C8" w:rsidRDefault="00115404">
      <w:pPr>
        <w:ind w:left="0"/>
        <w:jc w:val="both"/>
        <w:rPr>
          <w:noProof/>
          <w:sz w:val="20"/>
          <w:szCs w:val="20"/>
        </w:rPr>
      </w:pPr>
      <w:r>
        <w:rPr>
          <w:i/>
          <w:iCs/>
          <w:noProof/>
          <w:sz w:val="20"/>
          <w:szCs w:val="20"/>
        </w:rPr>
        <w:t xml:space="preserve">Huom. </w:t>
      </w:r>
      <w:r>
        <w:rPr>
          <w:noProof/>
          <w:sz w:val="20"/>
          <w:szCs w:val="20"/>
        </w:rPr>
        <w:t>Maat esitetään nousevassa järjesty</w:t>
      </w:r>
      <w:r>
        <w:rPr>
          <w:noProof/>
          <w:sz w:val="20"/>
          <w:szCs w:val="20"/>
        </w:rPr>
        <w:t>ksessä yksikkötyökustannusten kasvun perusteella (vuosi 2018). Erittely perustuu vakiomalliin, jossa yksikkötyökustannusten kasvu jaetaan nimellisen tuntipalkan ja työn tuottavuuden välillä. Työn tuottavuus jaetaan edelleen tehtyihin työtunteihin, kokonais</w:t>
      </w:r>
      <w:r>
        <w:rPr>
          <w:noProof/>
          <w:sz w:val="20"/>
          <w:szCs w:val="20"/>
        </w:rPr>
        <w:t>tuottavuuteen ja pääoman muodostukseen käyttämällä yleistä kasvutilinpitomallia.</w:t>
      </w:r>
    </w:p>
    <w:p w:rsidR="005C26C8" w:rsidRDefault="005C26C8">
      <w:pPr>
        <w:ind w:left="0"/>
        <w:jc w:val="both"/>
        <w:rPr>
          <w:noProof/>
          <w:sz w:val="20"/>
          <w:szCs w:val="20"/>
        </w:rPr>
      </w:pPr>
    </w:p>
    <w:p w:rsidR="005C26C8" w:rsidRDefault="005C26C8">
      <w:pPr>
        <w:ind w:left="0"/>
        <w:jc w:val="both"/>
        <w:rPr>
          <w:noProof/>
          <w:sz w:val="20"/>
          <w:szCs w:val="20"/>
        </w:rPr>
      </w:pPr>
    </w:p>
    <w:p w:rsidR="005C26C8" w:rsidRDefault="005C26C8">
      <w:pPr>
        <w:rPr>
          <w:rFonts w:eastAsia="MS Gothic" w:cstheme="minorHAnsi"/>
          <w:b/>
          <w:bCs/>
          <w:smallCaps/>
          <w:noProof/>
        </w:rPr>
      </w:pPr>
    </w:p>
    <w:p w:rsidR="005C26C8" w:rsidRDefault="00115404">
      <w:pPr>
        <w:keepNext/>
        <w:ind w:left="0"/>
        <w:jc w:val="center"/>
        <w:rPr>
          <w:rFonts w:eastAsia="MS Mincho" w:cstheme="minorHAnsi"/>
          <w:b/>
          <w:bCs/>
          <w:noProof/>
        </w:rPr>
      </w:pPr>
      <w:r>
        <w:rPr>
          <w:b/>
          <w:bCs/>
          <w:noProof/>
        </w:rPr>
        <w:t>Kuvio 14: Tuottavuuden kasvun jakautuminen, 2002–2018</w:t>
      </w:r>
    </w:p>
    <w:p w:rsidR="005C26C8" w:rsidRDefault="00115404">
      <w:pPr>
        <w:ind w:left="0"/>
        <w:rPr>
          <w:rFonts w:eastAsia="Times New Roman" w:cstheme="minorHAnsi"/>
          <w:noProof/>
          <w:sz w:val="20"/>
          <w:szCs w:val="20"/>
        </w:rPr>
      </w:pPr>
      <w:r>
        <w:rPr>
          <w:noProof/>
          <w:lang w:val="en-GB" w:eastAsia="en-GB"/>
        </w:rPr>
        <w:drawing>
          <wp:inline distT="0" distB="0" distL="0" distR="0">
            <wp:extent cx="5732145" cy="28968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2896870"/>
                    </a:xfrm>
                    <a:prstGeom prst="rect">
                      <a:avLst/>
                    </a:prstGeom>
                    <a:noFill/>
                    <a:ln>
                      <a:noFill/>
                    </a:ln>
                  </pic:spPr>
                </pic:pic>
              </a:graphicData>
            </a:graphic>
          </wp:inline>
        </w:drawing>
      </w:r>
      <w:r>
        <w:rPr>
          <w:b/>
          <w:bCs/>
          <w:noProof/>
        </w:rPr>
        <w:t xml:space="preserve"> </w:t>
      </w:r>
      <w:r>
        <w:rPr>
          <w:i/>
          <w:noProof/>
          <w:sz w:val="20"/>
          <w:szCs w:val="20"/>
        </w:rPr>
        <w:t>Lähde</w:t>
      </w:r>
      <w:r>
        <w:rPr>
          <w:noProof/>
          <w:sz w:val="20"/>
          <w:szCs w:val="20"/>
        </w:rPr>
        <w:t>: AMECO-tietokanta.</w:t>
      </w:r>
    </w:p>
    <w:p w:rsidR="005C26C8" w:rsidRDefault="00115404">
      <w:pPr>
        <w:ind w:left="0"/>
        <w:jc w:val="both"/>
        <w:rPr>
          <w:noProof/>
          <w:color w:val="000000"/>
        </w:rPr>
      </w:pPr>
      <w:r>
        <w:rPr>
          <w:i/>
          <w:noProof/>
          <w:sz w:val="20"/>
          <w:szCs w:val="20"/>
        </w:rPr>
        <w:t>Huom.</w:t>
      </w:r>
      <w:r>
        <w:rPr>
          <w:noProof/>
          <w:sz w:val="20"/>
          <w:szCs w:val="20"/>
        </w:rPr>
        <w:t xml:space="preserve"> Työn tuottavuus mitattuna työntekijäkohtaisen BKT:n perusteella. Tiedot tuottavuudesta ja sen alakomponenteista (kokonaistuottavuus ja pääomaintensiteetin kasvu) koskevat kolmea kautta vasemmalta oikealle seuraavasti: 2002–2007 (vaaleansiniset pylväät ja </w:t>
      </w:r>
      <w:r>
        <w:rPr>
          <w:noProof/>
          <w:sz w:val="20"/>
          <w:szCs w:val="20"/>
        </w:rPr>
        <w:t>merkkiviiva), 2007–2012 (keskisininen) ja 2012–2018 (tummansininen).</w:t>
      </w:r>
    </w:p>
    <w:p w:rsidR="005C26C8" w:rsidRDefault="005C26C8">
      <w:pPr>
        <w:jc w:val="both"/>
        <w:rPr>
          <w:rFonts w:eastAsia="Times New Roman" w:cstheme="minorHAnsi"/>
          <w:noProof/>
          <w:sz w:val="20"/>
          <w:szCs w:val="20"/>
        </w:rPr>
      </w:pPr>
    </w:p>
    <w:p w:rsidR="005C26C8" w:rsidRDefault="005C26C8">
      <w:pPr>
        <w:spacing w:after="120"/>
        <w:jc w:val="both"/>
        <w:rPr>
          <w:rFonts w:eastAsia="Times New Roman" w:cstheme="minorHAnsi"/>
          <w:noProof/>
          <w:sz w:val="20"/>
          <w:szCs w:val="20"/>
        </w:rPr>
      </w:pPr>
    </w:p>
    <w:p w:rsidR="005C26C8" w:rsidRDefault="00115404">
      <w:pPr>
        <w:pStyle w:val="ListParagraph"/>
        <w:spacing w:after="120"/>
        <w:ind w:left="0"/>
        <w:contextualSpacing w:val="0"/>
        <w:jc w:val="both"/>
        <w:rPr>
          <w:rFonts w:cstheme="minorHAnsi"/>
          <w:noProof/>
        </w:rPr>
      </w:pPr>
      <w:r>
        <w:rPr>
          <w:b/>
          <w:noProof/>
        </w:rPr>
        <w:t xml:space="preserve">Kustannuskilpailukyvyn heikkeneminen alkoi näkyä myös reaalista valuuttakurssia (reaalinen efektiivinen valuuttakurssi, REER) koskevissa toimenpiteissä, mikä osittain kuvasti nimellistä vahvistumista. </w:t>
      </w:r>
      <w:r>
        <w:rPr>
          <w:noProof/>
        </w:rPr>
        <w:t xml:space="preserve">Yksikkötyökustannusten kasvu näkyi viime aikoihin asti </w:t>
      </w:r>
      <w:r>
        <w:rPr>
          <w:noProof/>
        </w:rPr>
        <w:t>vain marginaalisesti yksikkötyökustannuksiin perustuvien reaalisten efektiivisten valuuttakurssien vahvistumisessa. Tärkein syy tähän oli kustannusten ja hintojen suhteellisen voimakas kasvu EU:n ulkopuolisissa kumppanimaissa sekä euron heikkeneminen vuosi</w:t>
      </w:r>
      <w:r>
        <w:rPr>
          <w:noProof/>
        </w:rPr>
        <w:t>kymmenen vaihteessa ja vuonna 2015. Viime vuosina yksikkötyökustannuksiin perustuvat reaaliset efektiiviset valuuttakurssit ovat alkaneet heikentyä, mikä on kuvastunut osittain myös erilaisista deflaattoreista (BKT tai kulutus) rakentuvista, reaalista efek</w:t>
      </w:r>
      <w:r>
        <w:rPr>
          <w:noProof/>
        </w:rPr>
        <w:t xml:space="preserve">tiivistä valuuttakurssia koskevista toimenpiteistä. Tähän on ollut syynä yksikkötyökustannusten jatkuva kasvu ja euron vahvistuminen vuosina 2016–2018. Tämän johdosta niiden jäsenvaltioiden määrä, joissa reaalisen efektiivisen valuuttakurssin kasvu ylitti </w:t>
      </w:r>
      <w:r>
        <w:rPr>
          <w:noProof/>
        </w:rPr>
        <w:t>tulostaulun mukaan kynnysarvon, kasvoi vuonna 2018. Tällä hetkellä vain yksi jäsenvaltio jää alemman kynnysarvon alapuolelle kurssin alenemisen vuoksi (Yhdistynyt kuningaskunta), kun taas viisi muuta jäsenvaltiota (Belgia, Liettua, Saksa, Tšekki ja Viro) o</w:t>
      </w:r>
      <w:r>
        <w:rPr>
          <w:noProof/>
        </w:rPr>
        <w:t>n ylittänyt kurssinousun kynnysarvon.</w:t>
      </w:r>
    </w:p>
    <w:p w:rsidR="005C26C8" w:rsidRDefault="00115404">
      <w:pPr>
        <w:pStyle w:val="ListParagraph"/>
        <w:numPr>
          <w:ilvl w:val="0"/>
          <w:numId w:val="50"/>
        </w:numPr>
        <w:spacing w:after="120"/>
        <w:ind w:left="426" w:hanging="284"/>
        <w:contextualSpacing w:val="0"/>
        <w:jc w:val="both"/>
        <w:rPr>
          <w:rFonts w:cstheme="minorHAnsi"/>
          <w:noProof/>
        </w:rPr>
      </w:pPr>
      <w:r>
        <w:rPr>
          <w:b/>
          <w:noProof/>
        </w:rPr>
        <w:t>Yksikkötyökustannuksiin perustuvat reaaliset efektiiviset valuuttakurssit vahvistuvat useimmissa jäsenvaltioissa ja nousevat nopeasti viime vuosiin verrattuna.</w:t>
      </w:r>
      <w:r>
        <w:rPr>
          <w:noProof/>
        </w:rPr>
        <w:t xml:space="preserve"> Kasvu on ollut useissa erityisesti euroalueen ulkopuolisis</w:t>
      </w:r>
      <w:r>
        <w:rPr>
          <w:noProof/>
        </w:rPr>
        <w:t>sa Keski- ja Itä-Euroopan maissa voimakkainta sitten vuoden 2016, mutta se on ollut huomattavaa myös monissa euroalueen maissa, erityisesti Baltiassa, mutta myös Luxemburgissa, Portugalissa, Saksassa ja Slovakiassa (kuvio 15).</w:t>
      </w:r>
    </w:p>
    <w:p w:rsidR="005C26C8" w:rsidRDefault="00115404">
      <w:pPr>
        <w:pStyle w:val="ListParagraph"/>
        <w:numPr>
          <w:ilvl w:val="0"/>
          <w:numId w:val="31"/>
        </w:numPr>
        <w:spacing w:after="120"/>
        <w:ind w:left="426" w:hanging="284"/>
        <w:contextualSpacing w:val="0"/>
        <w:jc w:val="both"/>
        <w:rPr>
          <w:rFonts w:cstheme="minorHAnsi"/>
          <w:noProof/>
        </w:rPr>
      </w:pPr>
      <w:r>
        <w:rPr>
          <w:b/>
          <w:noProof/>
        </w:rPr>
        <w:t xml:space="preserve">Erityisesti euron nimellinen </w:t>
      </w:r>
      <w:r>
        <w:rPr>
          <w:b/>
          <w:noProof/>
        </w:rPr>
        <w:t>vahvistuminen muodosti osan vuosina 2016–2018 kirjatusta reaalisesta vahvistumisesta.</w:t>
      </w:r>
      <w:r>
        <w:rPr>
          <w:noProof/>
        </w:rPr>
        <w:t xml:space="preserve"> Tämä suuntaus on kuitenkin pysähtynyt ja kääntynyt hieman päinvastaiseksi vuonna 2019. Euroalueen ulkopuolella nimellisten efektiivisten valuuttakurssien (NEER) vahvistum</w:t>
      </w:r>
      <w:r>
        <w:rPr>
          <w:noProof/>
        </w:rPr>
        <w:t xml:space="preserve">inen oli vuosina 2016–2018 voimakkainta Bulgariassa ja Tšekissä, kun taas kurssit laskivat Ruotsissa ja Yhdistyneessä kuningaskunnassa. </w:t>
      </w:r>
    </w:p>
    <w:p w:rsidR="005C26C8" w:rsidRDefault="00115404">
      <w:pPr>
        <w:pStyle w:val="ListParagraph"/>
        <w:numPr>
          <w:ilvl w:val="0"/>
          <w:numId w:val="31"/>
        </w:numPr>
        <w:spacing w:after="120"/>
        <w:ind w:left="426" w:hanging="284"/>
        <w:contextualSpacing w:val="0"/>
        <w:jc w:val="both"/>
        <w:rPr>
          <w:rFonts w:eastAsia="Times New Roman" w:cstheme="minorHAnsi"/>
          <w:noProof/>
        </w:rPr>
      </w:pPr>
      <w:r>
        <w:rPr>
          <w:b/>
          <w:noProof/>
        </w:rPr>
        <w:t>Hintamarginaali on saattanut supistua jonkin verran</w:t>
      </w:r>
      <w:r>
        <w:rPr>
          <w:noProof/>
        </w:rPr>
        <w:t>, sillä yksikkötyökustannuksiin perustuva reaalinen efektiivinen val</w:t>
      </w:r>
      <w:r>
        <w:rPr>
          <w:noProof/>
        </w:rPr>
        <w:t xml:space="preserve">uuttakurssi on yleisesti ottaen vahvistunut enemmän kuin YKHI- tai BKT-deflaattoriin perustuvat reaaliset efektiiviset valuuttakurssit. Yksikkötyökustannuksiin ja BKT-deflaattoreihin perustuvien reaalisten efektiivisten valuuttakurssien välillä havaittiin </w:t>
      </w:r>
      <w:r>
        <w:rPr>
          <w:noProof/>
        </w:rPr>
        <w:t>huomattavia eroja erityisesti Bulgariassa, Latviassa, Liettuassa, Romaniassa, Slovakiassa ja Tšekissä</w:t>
      </w:r>
      <w:r>
        <w:rPr>
          <w:rStyle w:val="FootnoteReference"/>
          <w:noProof/>
        </w:rPr>
        <w:footnoteReference w:id="32"/>
      </w:r>
      <w:r>
        <w:rPr>
          <w:noProof/>
        </w:rPr>
        <w:t xml:space="preserve">. Vaikka inflaatiokehitys on ollut valuuttakurssien nimellisen vahvistumisen vuoksi vaimeaa, </w:t>
      </w:r>
      <w:r>
        <w:rPr>
          <w:b/>
          <w:noProof/>
        </w:rPr>
        <w:t>useimmissa EU-maissa kilpailukyky on heikentynyt mitattuna yh</w:t>
      </w:r>
      <w:r>
        <w:rPr>
          <w:b/>
          <w:noProof/>
        </w:rPr>
        <w:t>denmukaistettuun kuluttajahintaindeksiin (YKHI) perustuvalla reaalisella efektiivisellä valuuttakurssilla</w:t>
      </w:r>
      <w:r>
        <w:rPr>
          <w:noProof/>
        </w:rPr>
        <w:t xml:space="preserve">. </w:t>
      </w:r>
    </w:p>
    <w:p w:rsidR="005C26C8" w:rsidRDefault="00115404">
      <w:pPr>
        <w:pStyle w:val="ListParagraph"/>
        <w:numPr>
          <w:ilvl w:val="0"/>
          <w:numId w:val="31"/>
        </w:numPr>
        <w:spacing w:after="120"/>
        <w:ind w:left="426" w:hanging="284"/>
        <w:contextualSpacing w:val="0"/>
        <w:jc w:val="both"/>
        <w:rPr>
          <w:rFonts w:eastAsia="Times New Roman" w:cstheme="minorHAnsi"/>
          <w:noProof/>
        </w:rPr>
      </w:pPr>
      <w:r>
        <w:rPr>
          <w:noProof/>
        </w:rPr>
        <w:t xml:space="preserve">Tästä viimeaikaisesta kilpailukyvyn heikkenemisestä huolimatta </w:t>
      </w:r>
      <w:r>
        <w:rPr>
          <w:b/>
          <w:noProof/>
        </w:rPr>
        <w:t>nykyinen kilpailukykytilanne on useimmissa EU-maissa suotuisampi kuin ennen kriisiä</w:t>
      </w:r>
      <w:r>
        <w:rPr>
          <w:noProof/>
        </w:rPr>
        <w:t xml:space="preserve">, </w:t>
      </w:r>
      <w:r>
        <w:rPr>
          <w:noProof/>
        </w:rPr>
        <w:t>sillä yhdenmukaistettuun kuluttajahintaindeksiin perustuvan reaalisen efektiivisen valuuttakurssin taso on usein alhaisempi kuin viimeaikaisten huippujen aikana. Muutamissa maissa, erityisesti Belgiassa, Itävallassa, Liettuassa ja Virossa, nykyiset yhdenmu</w:t>
      </w:r>
      <w:r>
        <w:rPr>
          <w:noProof/>
        </w:rPr>
        <w:t>kaistettuun kuluttajahintaindeksiin perustuvat reaaliset efektiiviset valuuttakurssit ylittävät viimeaikaiset huiput, mikä on seurausta kurssinousujen jatkumisesta.</w:t>
      </w:r>
    </w:p>
    <w:p w:rsidR="005C26C8" w:rsidRDefault="00115404">
      <w:pPr>
        <w:pStyle w:val="ListParagraph"/>
        <w:numPr>
          <w:ilvl w:val="0"/>
          <w:numId w:val="31"/>
        </w:numPr>
        <w:spacing w:after="120"/>
        <w:ind w:left="426" w:hanging="284"/>
        <w:contextualSpacing w:val="0"/>
        <w:jc w:val="both"/>
        <w:rPr>
          <w:rFonts w:eastAsia="Times New Roman" w:cstheme="minorHAnsi"/>
          <w:noProof/>
        </w:rPr>
      </w:pPr>
      <w:r>
        <w:rPr>
          <w:noProof/>
        </w:rPr>
        <w:t>Reaalinen heikkeneminen tapahtuu yleensä samanaikaisesti suljetun sektorin tuotteiden suhte</w:t>
      </w:r>
      <w:r>
        <w:rPr>
          <w:noProof/>
        </w:rPr>
        <w:t>ellisen hinnan laskun ja</w:t>
      </w:r>
      <w:r>
        <w:rPr>
          <w:b/>
          <w:noProof/>
        </w:rPr>
        <w:t xml:space="preserve"> avoimen sektorin osuuden kasvun kanssa</w:t>
      </w:r>
      <w:r>
        <w:rPr>
          <w:noProof/>
        </w:rPr>
        <w:t xml:space="preserve">, mikä parantaa mahdollisuuksia vientivetoiseen kasvudynamiikkaan. Tiedot vahvistavat usein tämän suuntauksen, joka kuitenkin näyttää </w:t>
      </w:r>
      <w:r>
        <w:rPr>
          <w:b/>
          <w:noProof/>
        </w:rPr>
        <w:t>hidastuvan</w:t>
      </w:r>
      <w:r>
        <w:rPr>
          <w:noProof/>
        </w:rPr>
        <w:t xml:space="preserve"> tai jopa kääntyvän laskuun useissa EU-maissa, er</w:t>
      </w:r>
      <w:r>
        <w:rPr>
          <w:noProof/>
        </w:rPr>
        <w:t>ityisesti Baltian maissa (kuvio 16).</w:t>
      </w:r>
    </w:p>
    <w:p w:rsidR="005C26C8" w:rsidRDefault="005C26C8">
      <w:pPr>
        <w:pStyle w:val="ListParagraph"/>
        <w:spacing w:after="120"/>
        <w:ind w:left="567"/>
        <w:contextualSpacing w:val="0"/>
        <w:jc w:val="both"/>
        <w:rPr>
          <w:rFonts w:eastAsia="Times New Roman" w:cstheme="minorHAnsi"/>
          <w:b/>
          <w:noProof/>
        </w:rPr>
      </w:pPr>
    </w:p>
    <w:p w:rsidR="005C26C8" w:rsidRDefault="00115404">
      <w:pPr>
        <w:keepNext/>
        <w:ind w:left="0"/>
        <w:jc w:val="center"/>
        <w:rPr>
          <w:rFonts w:eastAsia="MS Mincho" w:cstheme="minorHAnsi"/>
          <w:b/>
          <w:bCs/>
          <w:noProof/>
        </w:rPr>
      </w:pPr>
      <w:r>
        <w:rPr>
          <w:noProof/>
          <w:lang w:val="en-GB" w:eastAsia="en-GB"/>
        </w:rPr>
        <w:drawing>
          <wp:anchor distT="0" distB="0" distL="114300" distR="114300" simplePos="0" relativeHeight="251686912" behindDoc="0" locked="0" layoutInCell="1" allowOverlap="1">
            <wp:simplePos x="0" y="0"/>
            <wp:positionH relativeFrom="column">
              <wp:posOffset>60325</wp:posOffset>
            </wp:positionH>
            <wp:positionV relativeFrom="paragraph">
              <wp:posOffset>288925</wp:posOffset>
            </wp:positionV>
            <wp:extent cx="5878195" cy="280162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8195"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t>Kuvio 15: Nimellisten ja reaalisten efektiivisten valuuttakurssien (NEER ja REER) dynamiikka</w:t>
      </w:r>
    </w:p>
    <w:p w:rsidR="005C26C8" w:rsidRDefault="00115404">
      <w:pPr>
        <w:keepNext/>
        <w:ind w:left="0"/>
        <w:jc w:val="center"/>
        <w:rPr>
          <w:rFonts w:eastAsia="MS Mincho" w:cstheme="minorHAnsi"/>
          <w:b/>
          <w:bCs/>
          <w:noProof/>
        </w:rPr>
      </w:pPr>
      <w:r>
        <w:rPr>
          <w:b/>
          <w:bCs/>
          <w:noProof/>
        </w:rPr>
        <w:t xml:space="preserve"> </w:t>
      </w: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AMECO-tietokanta.</w:t>
      </w:r>
    </w:p>
    <w:p w:rsidR="005C26C8" w:rsidRDefault="00115404">
      <w:pPr>
        <w:ind w:left="0"/>
        <w:jc w:val="both"/>
        <w:rPr>
          <w:rFonts w:eastAsia="Times New Roman" w:cstheme="minorHAnsi"/>
          <w:noProof/>
          <w:sz w:val="20"/>
          <w:szCs w:val="20"/>
        </w:rPr>
      </w:pPr>
      <w:r>
        <w:rPr>
          <w:i/>
          <w:noProof/>
          <w:sz w:val="20"/>
          <w:szCs w:val="20"/>
        </w:rPr>
        <w:t>Huom.</w:t>
      </w:r>
      <w:r>
        <w:rPr>
          <w:noProof/>
          <w:sz w:val="20"/>
          <w:szCs w:val="20"/>
        </w:rPr>
        <w:t xml:space="preserve"> Maat esitetään yksikkötyökustannusten kasvuun perustuvan reaalisen efektiivisen valuuttakur</w:t>
      </w:r>
      <w:r>
        <w:rPr>
          <w:noProof/>
          <w:sz w:val="20"/>
          <w:szCs w:val="20"/>
        </w:rPr>
        <w:t>ssin keskimääräisen vuotuisen vaihtelun (2016–2018) mukaisessa nousevassa järjestyksessä. Yksikkötyökustannuksiin ja BKT-deflaattoriin perustuvat reaaliset valuuttakurssit ja nimellinen efektiivinen valuuttakurssi lasketaan 37 kauppakumppanin osalta, kun t</w:t>
      </w:r>
      <w:r>
        <w:rPr>
          <w:noProof/>
          <w:sz w:val="20"/>
          <w:szCs w:val="20"/>
        </w:rPr>
        <w:t>aas yhdenmukaistettuun kuluttajahintaindeksiin (YKHI) perustuva valuuttakurssi lasketaan 42 kauppakumppanin osalta.</w:t>
      </w:r>
    </w:p>
    <w:p w:rsidR="005C26C8" w:rsidRDefault="005C26C8">
      <w:pPr>
        <w:ind w:left="0"/>
        <w:jc w:val="both"/>
        <w:rPr>
          <w:rFonts w:eastAsia="Times New Roman" w:cstheme="minorHAnsi"/>
          <w:noProof/>
          <w:sz w:val="20"/>
          <w:szCs w:val="20"/>
        </w:rPr>
      </w:pPr>
    </w:p>
    <w:p w:rsidR="005C26C8" w:rsidRDefault="00115404">
      <w:pPr>
        <w:rPr>
          <w:rFonts w:eastAsia="MS Mincho" w:cstheme="minorHAnsi"/>
          <w:b/>
          <w:bCs/>
          <w:noProof/>
        </w:rPr>
      </w:pPr>
      <w:r>
        <w:rPr>
          <w:noProof/>
        </w:rPr>
        <w:br w:type="page"/>
      </w:r>
    </w:p>
    <w:p w:rsidR="005C26C8" w:rsidRDefault="00115404">
      <w:pPr>
        <w:ind w:left="0"/>
        <w:jc w:val="center"/>
        <w:rPr>
          <w:rFonts w:eastAsia="Times New Roman" w:cstheme="minorHAnsi"/>
          <w:b/>
          <w:noProof/>
        </w:rPr>
      </w:pPr>
      <w:r>
        <w:rPr>
          <w:b/>
          <w:bCs/>
          <w:noProof/>
        </w:rPr>
        <w:t xml:space="preserve">Kuvio 16: </w:t>
      </w:r>
      <w:r>
        <w:rPr>
          <w:b/>
          <w:noProof/>
        </w:rPr>
        <w:t>Avoimen sektorin osuus</w:t>
      </w:r>
    </w:p>
    <w:p w:rsidR="005C26C8" w:rsidRDefault="00115404">
      <w:pPr>
        <w:ind w:left="0"/>
        <w:jc w:val="center"/>
        <w:rPr>
          <w:rFonts w:eastAsia="Times New Roman" w:cstheme="minorHAnsi"/>
          <w:b/>
          <w:noProof/>
        </w:rPr>
      </w:pPr>
      <w:r>
        <w:rPr>
          <w:b/>
          <w:noProof/>
          <w:lang w:val="en-GB" w:eastAsia="en-GB"/>
        </w:rPr>
        <w:drawing>
          <wp:inline distT="0" distB="0" distL="0" distR="0">
            <wp:extent cx="5760000" cy="4356000"/>
            <wp:effectExtent l="0" t="0" r="0" b="6985"/>
            <wp:docPr id="7" name="Picture 7" descr="U:\MIP\AMR\AMR 2019-2020\Cross country sections\Graphs and data\C6_trade shares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MIP\AMR\AMR 2019-2020\Cross country sections\Graphs and data\C6_trade share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4356000"/>
                    </a:xfrm>
                    <a:prstGeom prst="rect">
                      <a:avLst/>
                    </a:prstGeom>
                    <a:noFill/>
                    <a:ln>
                      <a:noFill/>
                    </a:ln>
                  </pic:spPr>
                </pic:pic>
              </a:graphicData>
            </a:graphic>
          </wp:inline>
        </w:drawing>
      </w: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AMECO-tietokanta.</w:t>
      </w:r>
    </w:p>
    <w:p w:rsidR="005C26C8" w:rsidRDefault="00115404">
      <w:pPr>
        <w:ind w:left="0"/>
        <w:jc w:val="both"/>
        <w:rPr>
          <w:rFonts w:eastAsia="Times New Roman" w:cstheme="minorHAnsi"/>
          <w:noProof/>
          <w:sz w:val="20"/>
          <w:szCs w:val="20"/>
        </w:rPr>
      </w:pPr>
      <w:r>
        <w:rPr>
          <w:i/>
          <w:noProof/>
          <w:sz w:val="20"/>
          <w:szCs w:val="20"/>
        </w:rPr>
        <w:t>Huom.</w:t>
      </w:r>
      <w:r>
        <w:rPr>
          <w:noProof/>
          <w:sz w:val="20"/>
          <w:szCs w:val="20"/>
        </w:rPr>
        <w:t xml:space="preserve"> Avoimen sektorin (maatalous, valmistusteollisuus, kauppa, liikenne ja viestintäpalvelut) osuus lasketaan avoimen sektorin arvonlisäyksen osuutena talouden kokonaisarvonlisäyksestä (%). </w:t>
      </w:r>
    </w:p>
    <w:p w:rsidR="005C26C8" w:rsidRDefault="005C26C8">
      <w:pPr>
        <w:ind w:left="0"/>
        <w:jc w:val="both"/>
        <w:rPr>
          <w:rFonts w:eastAsia="Times New Roman" w:cstheme="minorHAnsi"/>
          <w:noProof/>
          <w:sz w:val="20"/>
          <w:szCs w:val="20"/>
        </w:rPr>
      </w:pPr>
    </w:p>
    <w:p w:rsidR="005C26C8" w:rsidRDefault="00115404">
      <w:pPr>
        <w:spacing w:after="120"/>
        <w:ind w:left="0"/>
        <w:jc w:val="both"/>
        <w:rPr>
          <w:rFonts w:ascii="Times New Roman" w:eastAsia="Times New Roman" w:hAnsi="Times New Roman" w:cs="Times New Roman"/>
          <w:noProof/>
        </w:rPr>
      </w:pPr>
      <w:r>
        <w:rPr>
          <w:rFonts w:ascii="Times New Roman" w:hAnsi="Times New Roman"/>
          <w:b/>
          <w:noProof/>
        </w:rPr>
        <w:t>Vientimarkkinaosuus kasvoi useimmissa jäsenvaltioissa vuonna 2018</w:t>
      </w:r>
      <w:r>
        <w:rPr>
          <w:rFonts w:ascii="Times New Roman" w:hAnsi="Times New Roman"/>
          <w:noProof/>
        </w:rPr>
        <w:t>. T</w:t>
      </w:r>
      <w:r>
        <w:rPr>
          <w:rFonts w:ascii="Times New Roman" w:hAnsi="Times New Roman"/>
          <w:noProof/>
        </w:rPr>
        <w:t>ulostaulussa raportoidut kumulatiiviset vientimarkkinaosuuksien muutokset viiden vuoden aikana ovat positiivisia useimmissa EU-maissa. Vain yhdessä jäsenvaltiossa (Ruotsissa) kirjattiin tulostaulun kynnysarvon ylittäviä markkinaosuuksien menetyksiä. Viimea</w:t>
      </w:r>
      <w:r>
        <w:rPr>
          <w:rFonts w:ascii="Times New Roman" w:hAnsi="Times New Roman"/>
          <w:noProof/>
        </w:rPr>
        <w:t>ikaiset vuotuiset tiedot viittaavat siihen, että vientimarkkinaosuuksien kasvu on yleisesti ottaen ollut positiivista (kuvio 17).</w:t>
      </w:r>
    </w:p>
    <w:p w:rsidR="005C26C8" w:rsidRDefault="00115404">
      <w:pPr>
        <w:numPr>
          <w:ilvl w:val="0"/>
          <w:numId w:val="16"/>
        </w:numPr>
        <w:spacing w:after="120"/>
        <w:ind w:left="426" w:hanging="284"/>
        <w:jc w:val="both"/>
        <w:rPr>
          <w:rFonts w:ascii="Times New Roman" w:eastAsia="Times New Roman" w:hAnsi="Times New Roman" w:cs="Times New Roman"/>
          <w:b/>
          <w:noProof/>
        </w:rPr>
      </w:pPr>
      <w:r>
        <w:rPr>
          <w:rFonts w:ascii="Times New Roman" w:hAnsi="Times New Roman"/>
          <w:noProof/>
        </w:rPr>
        <w:t>EU:n jäsenvaltioiden markkinaosuuksien viimeaikainen kasvu liittyy edelleen osittain suhteellisen vahvaan vientikysyntään alue</w:t>
      </w:r>
      <w:r>
        <w:rPr>
          <w:rFonts w:ascii="Times New Roman" w:hAnsi="Times New Roman"/>
          <w:noProof/>
        </w:rPr>
        <w:t>illa, joilla on tiiviit kauppasuhteet EU-maihin. Myös viimeaikainen reaalisten efektiivisten valuuttakurssien heikkeneminen on saattanut vaikuttaa asiaan. EU-maiden markkinaosuudet supistuivat kriisin jälkeisinä vuosina ja alkoivat kohentua EU:n sisäisen v</w:t>
      </w:r>
      <w:r>
        <w:rPr>
          <w:rFonts w:ascii="Times New Roman" w:hAnsi="Times New Roman"/>
          <w:noProof/>
        </w:rPr>
        <w:t xml:space="preserve">ientikysynnän elpyessä. Viime vuosina tapahtunut </w:t>
      </w:r>
      <w:r>
        <w:rPr>
          <w:rFonts w:ascii="Times New Roman" w:hAnsi="Times New Roman"/>
          <w:b/>
          <w:noProof/>
        </w:rPr>
        <w:t>kaupan hidastuminen useissa kehittyvissä talouksissa</w:t>
      </w:r>
      <w:r>
        <w:rPr>
          <w:rFonts w:ascii="Times New Roman" w:hAnsi="Times New Roman"/>
          <w:noProof/>
        </w:rPr>
        <w:t xml:space="preserve"> verrattuna EU:n sisäiseen kauppaan on todennäköisesti vaikuttanut vientimarkkinaosuuden kasvuun EU-maissa aivan viime vuosina. Tämän vahvistaa se, että vi</w:t>
      </w:r>
      <w:r>
        <w:rPr>
          <w:rFonts w:ascii="Times New Roman" w:hAnsi="Times New Roman"/>
          <w:noProof/>
        </w:rPr>
        <w:t xml:space="preserve">entimarkkinaosuudet ovat kasvaneet rajoitetummin OECD-maihin verrattuna (liitteen taulukko 2.1). Reaalisten efektiivisten valuuttakurssien vahvistumisen vuoksi vientimarkkinaosuuksien kasvu vaikuttaa reaalisesti tarkasteltuna maltillisemmalta. </w:t>
      </w:r>
    </w:p>
    <w:p w:rsidR="005C26C8" w:rsidRDefault="00115404">
      <w:pPr>
        <w:numPr>
          <w:ilvl w:val="0"/>
          <w:numId w:val="16"/>
        </w:numPr>
        <w:spacing w:after="120"/>
        <w:ind w:left="426" w:hanging="284"/>
        <w:jc w:val="both"/>
        <w:rPr>
          <w:rFonts w:ascii="Times New Roman" w:eastAsia="Times New Roman" w:hAnsi="Times New Roman" w:cs="Times New Roman"/>
          <w:b/>
          <w:noProof/>
        </w:rPr>
      </w:pPr>
      <w:r>
        <w:rPr>
          <w:rFonts w:ascii="Times New Roman" w:hAnsi="Times New Roman"/>
          <w:b/>
          <w:noProof/>
        </w:rPr>
        <w:t>Vuonna 2018</w:t>
      </w:r>
      <w:r>
        <w:rPr>
          <w:rFonts w:ascii="Times New Roman" w:hAnsi="Times New Roman"/>
          <w:b/>
          <w:noProof/>
        </w:rPr>
        <w:t xml:space="preserve"> vientimarkkinaosuudet kasvoivat eniten Keski- ja Itä-Euroopan jäsenvaltioissa, mutta kasvu hidastui usein huomattavasti aiempiin vuosiin verrattuna</w:t>
      </w:r>
      <w:r>
        <w:rPr>
          <w:rFonts w:ascii="Times New Roman" w:hAnsi="Times New Roman"/>
          <w:noProof/>
        </w:rPr>
        <w:t>. Eräät nettovelkojamaat, kuten Saksa, menettivät markkinaosuuksia. Nettovelallismaita tarkasteltaessa voida</w:t>
      </w:r>
      <w:r>
        <w:rPr>
          <w:rFonts w:ascii="Times New Roman" w:hAnsi="Times New Roman"/>
          <w:noProof/>
        </w:rPr>
        <w:t xml:space="preserve">an todeta, että vientimarkkinaosuudet ovat pienentyneet Espanjassa ja Bulgariassa ja niiden kasvu on hidastunut Portugalissa, kun taas tilanne on parantunut Kreikassa (eniten vuonna 2018), Romaniassa ja Kyproksessa. </w:t>
      </w:r>
    </w:p>
    <w:p w:rsidR="005C26C8" w:rsidRDefault="00115404">
      <w:pPr>
        <w:keepNext/>
        <w:jc w:val="center"/>
        <w:rPr>
          <w:rFonts w:eastAsia="MS Mincho" w:cstheme="minorHAnsi"/>
          <w:b/>
          <w:bCs/>
          <w:noProof/>
        </w:rPr>
      </w:pPr>
      <w:r>
        <w:rPr>
          <w:b/>
          <w:bCs/>
          <w:noProof/>
        </w:rPr>
        <w:t>Kuvio 17: Vientimarkkinaosuuksien muuto</w:t>
      </w:r>
      <w:r>
        <w:rPr>
          <w:b/>
          <w:bCs/>
          <w:noProof/>
        </w:rPr>
        <w:t>kset</w:t>
      </w:r>
    </w:p>
    <w:p w:rsidR="005C26C8" w:rsidRDefault="00115404">
      <w:pPr>
        <w:keepNext/>
        <w:ind w:left="0"/>
        <w:jc w:val="center"/>
        <w:rPr>
          <w:rFonts w:eastAsia="MS Mincho" w:cstheme="minorHAnsi"/>
          <w:b/>
          <w:bCs/>
          <w:noProof/>
        </w:rPr>
      </w:pPr>
      <w:r>
        <w:rPr>
          <w:noProof/>
          <w:lang w:val="en-GB" w:eastAsia="en-GB"/>
        </w:rPr>
        <w:drawing>
          <wp:anchor distT="0" distB="0" distL="114300" distR="114300" simplePos="0" relativeHeight="251688960" behindDoc="0" locked="0" layoutInCell="1" allowOverlap="1">
            <wp:simplePos x="0" y="0"/>
            <wp:positionH relativeFrom="column">
              <wp:posOffset>-763</wp:posOffset>
            </wp:positionH>
            <wp:positionV relativeFrom="paragraph">
              <wp:posOffset>176</wp:posOffset>
            </wp:positionV>
            <wp:extent cx="5851525" cy="2816599"/>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1525" cy="2816599"/>
                    </a:xfrm>
                    <a:prstGeom prst="rect">
                      <a:avLst/>
                    </a:prstGeom>
                    <a:noFill/>
                    <a:ln>
                      <a:noFill/>
                    </a:ln>
                  </pic:spPr>
                </pic:pic>
              </a:graphicData>
            </a:graphic>
          </wp:anchor>
        </w:drawing>
      </w:r>
    </w:p>
    <w:p w:rsidR="005C26C8" w:rsidRDefault="00115404">
      <w:pPr>
        <w:ind w:left="0"/>
        <w:jc w:val="both"/>
        <w:rPr>
          <w:rFonts w:eastAsia="Times New Roman" w:cstheme="minorHAnsi"/>
          <w:noProof/>
          <w:sz w:val="20"/>
          <w:szCs w:val="20"/>
        </w:rPr>
      </w:pPr>
      <w:r>
        <w:rPr>
          <w:i/>
          <w:noProof/>
          <w:sz w:val="20"/>
          <w:szCs w:val="20"/>
        </w:rPr>
        <w:t>Lähde:</w:t>
      </w:r>
      <w:r>
        <w:rPr>
          <w:noProof/>
          <w:sz w:val="20"/>
          <w:szCs w:val="20"/>
        </w:rPr>
        <w:t xml:space="preserve"> Eurostat, komission yksiköiden laskelmat.</w:t>
      </w:r>
    </w:p>
    <w:p w:rsidR="005C26C8" w:rsidRDefault="00115404">
      <w:pPr>
        <w:ind w:left="0"/>
        <w:jc w:val="both"/>
        <w:rPr>
          <w:noProof/>
          <w:color w:val="1F497D"/>
        </w:rPr>
      </w:pPr>
      <w:r>
        <w:rPr>
          <w:i/>
          <w:noProof/>
          <w:sz w:val="20"/>
          <w:szCs w:val="20"/>
        </w:rPr>
        <w:t xml:space="preserve">Huom. </w:t>
      </w:r>
      <w:r>
        <w:rPr>
          <w:noProof/>
          <w:sz w:val="20"/>
          <w:szCs w:val="20"/>
        </w:rPr>
        <w:t xml:space="preserve">Huom. Maat esitetään nimellisten vientimarkkinaosuuksien vuotuisen vaihtelun (vuosi 2018) mukaisessa nousevassa järjestyksessä. Nimelliset vientimarkkinaosuudet lasketaan jakamalla maan käypinä </w:t>
      </w:r>
      <w:r>
        <w:rPr>
          <w:noProof/>
          <w:sz w:val="20"/>
          <w:szCs w:val="20"/>
        </w:rPr>
        <w:t>hintoina ilmoitettu vienti myös käypinä hintoina ilmoitetulla koko maailman viennillä. Reaalisten vientimarkkinaosuuksien kasvu lasketaan vähentämällä koko maailman viennin määrän kasvuvauhti maan vientimäärän kasvuvauhdista.</w:t>
      </w:r>
    </w:p>
    <w:p w:rsidR="005C26C8" w:rsidRDefault="005C26C8">
      <w:pPr>
        <w:rPr>
          <w:rFonts w:eastAsia="Times New Roman" w:cstheme="minorHAnsi"/>
          <w:b/>
          <w:noProof/>
        </w:rPr>
      </w:pPr>
    </w:p>
    <w:p w:rsidR="005C26C8" w:rsidRDefault="005C26C8">
      <w:pPr>
        <w:rPr>
          <w:rFonts w:eastAsia="Times New Roman" w:cstheme="minorHAnsi"/>
          <w:b/>
          <w:noProof/>
        </w:rPr>
      </w:pPr>
    </w:p>
    <w:p w:rsidR="005C26C8" w:rsidRDefault="00115404">
      <w:pPr>
        <w:ind w:left="0"/>
        <w:jc w:val="both"/>
        <w:rPr>
          <w:rFonts w:ascii="Times New Roman" w:eastAsia="Times New Roman" w:hAnsi="Times New Roman" w:cs="Times New Roman"/>
          <w:noProof/>
        </w:rPr>
      </w:pPr>
      <w:r>
        <w:rPr>
          <w:rFonts w:ascii="Times New Roman" w:hAnsi="Times New Roman"/>
          <w:noProof/>
        </w:rPr>
        <w:t>Käytettävissä olevien vertai</w:t>
      </w:r>
      <w:r>
        <w:rPr>
          <w:rFonts w:ascii="Times New Roman" w:hAnsi="Times New Roman"/>
          <w:noProof/>
        </w:rPr>
        <w:t xml:space="preserve">luarvojen mukaan </w:t>
      </w:r>
      <w:r>
        <w:rPr>
          <w:rFonts w:ascii="Times New Roman" w:hAnsi="Times New Roman"/>
          <w:b/>
          <w:noProof/>
        </w:rPr>
        <w:t>yksityisen sektorin velkasuhde on edelleen korkea useissa jäsenvaltioissa</w:t>
      </w:r>
      <w:r>
        <w:rPr>
          <w:rFonts w:ascii="Times New Roman" w:hAnsi="Times New Roman"/>
          <w:noProof/>
        </w:rPr>
        <w:t xml:space="preserve">. </w:t>
      </w:r>
    </w:p>
    <w:p w:rsidR="005C26C8" w:rsidRDefault="00115404">
      <w:pPr>
        <w:pStyle w:val="ListParagraph"/>
        <w:numPr>
          <w:ilvl w:val="0"/>
          <w:numId w:val="51"/>
        </w:numPr>
        <w:spacing w:after="120"/>
        <w:ind w:left="426" w:hanging="284"/>
        <w:contextualSpacing w:val="0"/>
        <w:jc w:val="both"/>
        <w:rPr>
          <w:rFonts w:ascii="Times New Roman" w:eastAsia="Times New Roman" w:hAnsi="Times New Roman" w:cs="Times New Roman"/>
          <w:noProof/>
        </w:rPr>
      </w:pPr>
      <w:r>
        <w:rPr>
          <w:rFonts w:ascii="Times New Roman" w:hAnsi="Times New Roman"/>
          <w:b/>
          <w:noProof/>
        </w:rPr>
        <w:t>Kaksitoista jäsenvaltiota ylitti vuonna 2018 tulostaulussa yksityiselle velalle asetetun kynnysarvon. Määrä on sama kuin vuosina 2016 ja 2017.</w:t>
      </w:r>
      <w:r>
        <w:rPr>
          <w:rFonts w:ascii="Times New Roman" w:hAnsi="Times New Roman"/>
          <w:noProof/>
        </w:rPr>
        <w:t xml:space="preserve"> Yksityisen sektorin </w:t>
      </w:r>
      <w:r>
        <w:rPr>
          <w:rFonts w:ascii="Times New Roman" w:hAnsi="Times New Roman"/>
          <w:noProof/>
        </w:rPr>
        <w:t xml:space="preserve">velkasuhde oli yli 200 prosenttia suhteessa BKT:hen Alankomaissa, Irlannissa, Kyproksessa ja Luxemburgissa. Kyseisten maiden velkalukuihin vaikuttavat erityisesti monikansallisten yhtiöiden ja erillisyhtiöiden toimintaan liittyvät rajatylittävät yritysten </w:t>
      </w:r>
      <w:r>
        <w:rPr>
          <w:rFonts w:ascii="Times New Roman" w:hAnsi="Times New Roman"/>
          <w:noProof/>
        </w:rPr>
        <w:t>sisäiset liiketoimet. Tanskassa ja Ruotsissa yksityisen sektorin velan suhde BKT:hen on noin 200 prosenttia ja Belgiassa, Portugalissa, Ranskassa ja Yhdistyneessä kuningaskunnassa suhde on lähellä 150:tä prosenttia tai sen yläpuolella suhteessa BKT:hen.</w:t>
      </w:r>
    </w:p>
    <w:p w:rsidR="005C26C8" w:rsidRDefault="00115404">
      <w:pPr>
        <w:pStyle w:val="ListParagraph"/>
        <w:numPr>
          <w:ilvl w:val="0"/>
          <w:numId w:val="51"/>
        </w:numPr>
        <w:spacing w:after="120"/>
        <w:ind w:left="426" w:hanging="284"/>
        <w:contextualSpacing w:val="0"/>
        <w:jc w:val="both"/>
        <w:rPr>
          <w:rFonts w:eastAsia="Times New Roman" w:cstheme="minorHAnsi"/>
          <w:noProof/>
        </w:rPr>
      </w:pPr>
      <w:r>
        <w:rPr>
          <w:noProof/>
        </w:rPr>
        <w:t>Al</w:t>
      </w:r>
      <w:r>
        <w:rPr>
          <w:noProof/>
        </w:rPr>
        <w:t xml:space="preserve">ankomaissa, Espanjassa, Kyproksessa, Portugalissa, Ranskassa ja Ruotsissa </w:t>
      </w:r>
      <w:r>
        <w:rPr>
          <w:b/>
          <w:noProof/>
        </w:rPr>
        <w:t>sekä kotitaloudet että rahoitusalan ulkopuoliset yritykset</w:t>
      </w:r>
      <w:r>
        <w:rPr>
          <w:noProof/>
        </w:rPr>
        <w:t xml:space="preserve"> vaikuttavat yksityisen sektorin suureen velkasuhteeseen (kuviot 18 ja 19). Irlannissa ja Luxemburgissa </w:t>
      </w:r>
      <w:r>
        <w:rPr>
          <w:b/>
          <w:noProof/>
        </w:rPr>
        <w:t>yritysten</w:t>
      </w:r>
      <w:r>
        <w:rPr>
          <w:noProof/>
        </w:rPr>
        <w:t xml:space="preserve"> suuri velkaantuneisuus vaikuttaa yksityisen velan suureen määrään. Suomessa, Tanskassa ja Yhdistyneessä kuningaskunnassa kyse on pikemminkin </w:t>
      </w:r>
      <w:r>
        <w:rPr>
          <w:b/>
          <w:noProof/>
        </w:rPr>
        <w:t>kotitalouksien</w:t>
      </w:r>
      <w:r>
        <w:rPr>
          <w:noProof/>
        </w:rPr>
        <w:t xml:space="preserve"> velasta.</w:t>
      </w:r>
    </w:p>
    <w:p w:rsidR="005C26C8" w:rsidRDefault="00115404">
      <w:pPr>
        <w:pStyle w:val="ListParagraph"/>
        <w:numPr>
          <w:ilvl w:val="0"/>
          <w:numId w:val="51"/>
        </w:numPr>
        <w:spacing w:after="120"/>
        <w:ind w:left="426" w:hanging="284"/>
        <w:contextualSpacing w:val="0"/>
        <w:jc w:val="both"/>
        <w:rPr>
          <w:rFonts w:eastAsia="Times New Roman" w:cstheme="minorHAnsi"/>
          <w:noProof/>
        </w:rPr>
      </w:pPr>
      <w:r>
        <w:rPr>
          <w:b/>
          <w:noProof/>
        </w:rPr>
        <w:t>Erot yksityisen velan määrissä maiden välillä</w:t>
      </w:r>
      <w:r>
        <w:rPr>
          <w:noProof/>
        </w:rPr>
        <w:t xml:space="preserve"> selittyvät pitkälti eroilla talouden peruste</w:t>
      </w:r>
      <w:r>
        <w:rPr>
          <w:noProof/>
        </w:rPr>
        <w:t>kijöissä, joiden vuoksi velkaantuminen on perusteltavissa. Tällaisiin kuuluvat muun muassa kasvu- ja investointinäkymät sekä rahoitusalan kehitys. Velkatason arvioinnissa olisi sen vuoksi otettava huomioon nämä tekijät sekä muut seikat, jotka vaikuttavat s</w:t>
      </w:r>
      <w:r>
        <w:rPr>
          <w:noProof/>
        </w:rPr>
        <w:t>uuren velan aiheuttamiin riskeihin ennakoivasta näkökulmasta.</w:t>
      </w:r>
      <w:r>
        <w:rPr>
          <w:noProof/>
          <w:vertAlign w:val="superscript"/>
        </w:rPr>
        <w:footnoteReference w:id="33"/>
      </w:r>
      <w:r>
        <w:rPr>
          <w:noProof/>
        </w:rPr>
        <w:t xml:space="preserve"> Vuoden 2018 tietojen perusteella kaikki maat, joissa yksityinen velka ylittää tulostaulun kynnysarvon, ylittävät myös maakohtaiset varovaisuuskynnysarvot ja perustekijöihin perustuvat vertailua</w:t>
      </w:r>
      <w:r>
        <w:rPr>
          <w:noProof/>
        </w:rPr>
        <w:t xml:space="preserve">rvot. </w:t>
      </w:r>
    </w:p>
    <w:p w:rsidR="005C26C8" w:rsidRDefault="005C26C8">
      <w:pPr>
        <w:spacing w:after="120"/>
        <w:ind w:left="0"/>
        <w:jc w:val="both"/>
        <w:rPr>
          <w:rFonts w:cstheme="minorHAnsi"/>
          <w:b/>
          <w:noProof/>
        </w:rPr>
      </w:pPr>
    </w:p>
    <w:p w:rsidR="005C26C8" w:rsidRDefault="00115404">
      <w:pPr>
        <w:pStyle w:val="Caption"/>
        <w:keepNext/>
        <w:spacing w:line="276" w:lineRule="auto"/>
        <w:jc w:val="center"/>
        <w:rPr>
          <w:rFonts w:cstheme="minorHAnsi"/>
          <w:noProof/>
          <w:color w:val="auto"/>
          <w:sz w:val="22"/>
        </w:rPr>
      </w:pPr>
      <w:r>
        <w:rPr>
          <w:noProof/>
          <w:color w:val="auto"/>
          <w:sz w:val="22"/>
        </w:rPr>
        <w:t>Kuvio 18: Rahoitusalan ulkopuolisten yritysten velka</w:t>
      </w:r>
    </w:p>
    <w:p w:rsidR="005C26C8" w:rsidRDefault="00115404">
      <w:pPr>
        <w:ind w:left="0"/>
        <w:rPr>
          <w:noProof/>
        </w:rPr>
      </w:pPr>
      <w:r>
        <w:rPr>
          <w:noProof/>
          <w:lang w:val="en-GB" w:eastAsia="en-GB"/>
        </w:rPr>
        <w:drawing>
          <wp:inline distT="0" distB="0" distL="0" distR="0">
            <wp:extent cx="5851525" cy="281655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1525" cy="2816556"/>
                    </a:xfrm>
                    <a:prstGeom prst="rect">
                      <a:avLst/>
                    </a:prstGeom>
                    <a:noFill/>
                    <a:ln>
                      <a:noFill/>
                    </a:ln>
                  </pic:spPr>
                </pic:pic>
              </a:graphicData>
            </a:graphic>
          </wp:inline>
        </w:drawing>
      </w:r>
      <w:r>
        <w:rPr>
          <w:noProof/>
        </w:rPr>
        <w:t xml:space="preserve"> </w:t>
      </w:r>
    </w:p>
    <w:p w:rsidR="005C26C8" w:rsidRDefault="00115404">
      <w:pPr>
        <w:ind w:left="0"/>
        <w:jc w:val="both"/>
        <w:rPr>
          <w:rFonts w:eastAsia="Times New Roman" w:cstheme="minorHAnsi"/>
          <w:noProof/>
          <w:sz w:val="20"/>
          <w:szCs w:val="20"/>
        </w:rPr>
      </w:pPr>
      <w:r>
        <w:rPr>
          <w:i/>
          <w:noProof/>
          <w:sz w:val="20"/>
          <w:szCs w:val="20"/>
        </w:rPr>
        <w:t>Lähteet:</w:t>
      </w:r>
      <w:r>
        <w:rPr>
          <w:noProof/>
          <w:sz w:val="20"/>
          <w:szCs w:val="20"/>
        </w:rPr>
        <w:t xml:space="preserve"> Eurostatin konsolidoimattomat neljännesvuosittaiset sektoritilit, komission yksiköiden laskelmat.</w:t>
      </w:r>
    </w:p>
    <w:p w:rsidR="005C26C8" w:rsidRDefault="00115404">
      <w:pPr>
        <w:ind w:left="0"/>
        <w:jc w:val="both"/>
        <w:rPr>
          <w:rFonts w:eastAsia="Times New Roman" w:cstheme="minorHAnsi"/>
          <w:noProof/>
          <w:sz w:val="20"/>
          <w:szCs w:val="20"/>
        </w:rPr>
      </w:pPr>
      <w:r>
        <w:rPr>
          <w:i/>
          <w:noProof/>
          <w:sz w:val="20"/>
          <w:szCs w:val="20"/>
        </w:rPr>
        <w:t xml:space="preserve">Huom. </w:t>
      </w:r>
      <w:r>
        <w:rPr>
          <w:noProof/>
          <w:sz w:val="20"/>
          <w:szCs w:val="20"/>
        </w:rPr>
        <w:t xml:space="preserve">Maat esitetään rahoitusalan ulkopuolisten yritysten vuoden 2018 velkasuhteen mukaisessa laskevassa järjestyksessä. Maakoodien alapuolella olevat luvut ilmaisevat vuoden, jolloin velkasuhde oli huipussaan. </w:t>
      </w:r>
    </w:p>
    <w:p w:rsidR="005C26C8" w:rsidRDefault="005C26C8">
      <w:pPr>
        <w:ind w:left="0"/>
        <w:jc w:val="both"/>
        <w:rPr>
          <w:rFonts w:eastAsia="Times New Roman" w:cstheme="minorHAnsi"/>
          <w:noProof/>
          <w:sz w:val="20"/>
          <w:szCs w:val="20"/>
        </w:rPr>
      </w:pPr>
    </w:p>
    <w:p w:rsidR="005C26C8" w:rsidRDefault="00115404">
      <w:pPr>
        <w:pStyle w:val="Caption"/>
        <w:keepNext/>
        <w:spacing w:line="276" w:lineRule="auto"/>
        <w:ind w:left="0"/>
        <w:jc w:val="center"/>
        <w:rPr>
          <w:rFonts w:cstheme="minorHAnsi"/>
          <w:noProof/>
          <w:color w:val="auto"/>
          <w:sz w:val="22"/>
        </w:rPr>
      </w:pPr>
      <w:r>
        <w:rPr>
          <w:noProof/>
          <w:color w:val="auto"/>
          <w:sz w:val="22"/>
        </w:rPr>
        <w:t>Kuvio 19: Kotitalouksien velka</w:t>
      </w:r>
    </w:p>
    <w:p w:rsidR="005C26C8" w:rsidRDefault="005C26C8">
      <w:pPr>
        <w:pStyle w:val="Caption"/>
        <w:keepNext/>
        <w:spacing w:line="276" w:lineRule="auto"/>
        <w:ind w:left="0"/>
        <w:jc w:val="center"/>
        <w:rPr>
          <w:rFonts w:cstheme="minorHAnsi"/>
          <w:noProof/>
          <w:color w:val="auto"/>
          <w:sz w:val="22"/>
        </w:rPr>
      </w:pPr>
    </w:p>
    <w:p w:rsidR="005C26C8" w:rsidRDefault="00115404">
      <w:pPr>
        <w:ind w:left="0"/>
        <w:rPr>
          <w:noProof/>
        </w:rPr>
      </w:pPr>
      <w:r>
        <w:rPr>
          <w:noProof/>
          <w:lang w:val="en-GB" w:eastAsia="en-GB"/>
        </w:rPr>
        <w:drawing>
          <wp:inline distT="0" distB="0" distL="0" distR="0">
            <wp:extent cx="5893654" cy="3019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940" cy="3035966"/>
                    </a:xfrm>
                    <a:prstGeom prst="rect">
                      <a:avLst/>
                    </a:prstGeom>
                    <a:noFill/>
                    <a:ln>
                      <a:noFill/>
                    </a:ln>
                  </pic:spPr>
                </pic:pic>
              </a:graphicData>
            </a:graphic>
          </wp:inline>
        </w:drawing>
      </w:r>
    </w:p>
    <w:p w:rsidR="005C26C8" w:rsidRDefault="00115404">
      <w:pPr>
        <w:keepNext/>
        <w:ind w:left="0"/>
        <w:jc w:val="both"/>
        <w:rPr>
          <w:rFonts w:eastAsia="Times New Roman" w:cstheme="minorHAnsi"/>
          <w:noProof/>
          <w:sz w:val="20"/>
          <w:szCs w:val="20"/>
        </w:rPr>
      </w:pPr>
      <w:r>
        <w:rPr>
          <w:i/>
          <w:noProof/>
          <w:sz w:val="20"/>
          <w:szCs w:val="20"/>
        </w:rPr>
        <w:t>Lähteet:</w:t>
      </w:r>
      <w:r>
        <w:rPr>
          <w:noProof/>
          <w:sz w:val="20"/>
          <w:szCs w:val="20"/>
        </w:rPr>
        <w:t xml:space="preserve"> Eurost</w:t>
      </w:r>
      <w:r>
        <w:rPr>
          <w:noProof/>
          <w:sz w:val="20"/>
          <w:szCs w:val="20"/>
        </w:rPr>
        <w:t>atin konsolidoimattomat neljännesvuosittaiset sektoritilit, komission yksiköiden laskelmat.</w:t>
      </w:r>
    </w:p>
    <w:p w:rsidR="005C26C8" w:rsidRDefault="00115404">
      <w:pPr>
        <w:ind w:left="0"/>
        <w:jc w:val="both"/>
        <w:rPr>
          <w:rFonts w:cstheme="minorHAnsi"/>
          <w:b/>
          <w:noProof/>
        </w:rPr>
      </w:pPr>
      <w:r>
        <w:rPr>
          <w:i/>
          <w:noProof/>
          <w:sz w:val="20"/>
          <w:szCs w:val="20"/>
        </w:rPr>
        <w:t xml:space="preserve">Huom. </w:t>
      </w:r>
      <w:r>
        <w:rPr>
          <w:noProof/>
          <w:sz w:val="20"/>
          <w:szCs w:val="20"/>
        </w:rPr>
        <w:t>Maat esitetään kotitalouksien vuoden 2018 velkasuhteen mukaisessa laskevassa järjestyksessä. Maakoodien alapuolella olevat luvut ilmaisevat vuoden, jolloin ve</w:t>
      </w:r>
      <w:r>
        <w:rPr>
          <w:noProof/>
          <w:sz w:val="20"/>
          <w:szCs w:val="20"/>
        </w:rPr>
        <w:t>lkasuhde oli huipussaan.</w:t>
      </w:r>
    </w:p>
    <w:p w:rsidR="005C26C8" w:rsidRDefault="005C26C8">
      <w:pPr>
        <w:ind w:left="0"/>
        <w:jc w:val="both"/>
        <w:rPr>
          <w:rFonts w:cstheme="minorHAnsi"/>
          <w:b/>
          <w:noProof/>
        </w:rPr>
      </w:pPr>
    </w:p>
    <w:p w:rsidR="005C26C8" w:rsidRDefault="00115404">
      <w:pPr>
        <w:rPr>
          <w:rFonts w:eastAsia="Times New Roman" w:cstheme="minorHAnsi"/>
          <w:b/>
          <w:noProof/>
        </w:rPr>
      </w:pPr>
      <w:r>
        <w:rPr>
          <w:noProof/>
        </w:rPr>
        <w:br w:type="page"/>
      </w:r>
    </w:p>
    <w:p w:rsidR="005C26C8" w:rsidRDefault="00115404">
      <w:pPr>
        <w:spacing w:after="120"/>
        <w:ind w:left="0"/>
        <w:jc w:val="both"/>
        <w:rPr>
          <w:rFonts w:cstheme="minorHAnsi"/>
          <w:noProof/>
        </w:rPr>
      </w:pPr>
      <w:r>
        <w:rPr>
          <w:b/>
          <w:noProof/>
        </w:rPr>
        <w:t>Yksityisen sektorin velkaantuminen vähenee pääasiassa nimellisen BKT:n kasvun myötä, tosin hitaammin, ja joissakin tapauksissa suuri velka on alkanut kasvaa uudelleen.</w:t>
      </w:r>
      <w:r>
        <w:rPr>
          <w:noProof/>
        </w:rPr>
        <w:t xml:space="preserve"> Viime vuosina rahoitusalan ulkopuolisten yritysten ja kotita</w:t>
      </w:r>
      <w:r>
        <w:rPr>
          <w:noProof/>
        </w:rPr>
        <w:t>louksien velka erittäin velkaantuneissa maissa, kuten Espanjassa, Irlannissa, Kyproksessa ja Portugalissa, on supistunut vähintään 25 prosenttiyksikköä suhteessa BKT:hen verrattuna huippulukemiin (kuviot 18 ja 19). Myös Latviassa, Sloveniassa, Unkarissa ja</w:t>
      </w:r>
      <w:r>
        <w:rPr>
          <w:noProof/>
        </w:rPr>
        <w:t xml:space="preserve"> Virossa kirjattiin huomattavaa supistumista, erityisesti yritysten velkasuhteissa. Aivan viime vuosina velkasuhteiden supistuminen on hidastunut. Tämä on entistä ilmeisempää kotitalouksien velan osalta. Useimmissa EU:n talouksissa velkasuhteen supistumine</w:t>
      </w:r>
      <w:r>
        <w:rPr>
          <w:noProof/>
        </w:rPr>
        <w:t xml:space="preserve">n on jatkunut, mutta joissain tapauksissa erityisesti kotitalouksien velkaantuminen on alkanut uudelleen. </w:t>
      </w:r>
    </w:p>
    <w:p w:rsidR="005C26C8" w:rsidRDefault="00115404">
      <w:pPr>
        <w:pStyle w:val="ListParagraph"/>
        <w:numPr>
          <w:ilvl w:val="0"/>
          <w:numId w:val="41"/>
        </w:numPr>
        <w:spacing w:after="120"/>
        <w:ind w:left="426" w:hanging="284"/>
        <w:contextualSpacing w:val="0"/>
        <w:jc w:val="both"/>
        <w:rPr>
          <w:rFonts w:ascii="Times New Roman" w:eastAsia="Times New Roman" w:hAnsi="Times New Roman" w:cs="Times New Roman"/>
          <w:noProof/>
        </w:rPr>
      </w:pPr>
      <w:r>
        <w:rPr>
          <w:rFonts w:ascii="Times New Roman" w:hAnsi="Times New Roman"/>
          <w:b/>
          <w:noProof/>
        </w:rPr>
        <w:t xml:space="preserve">Velkaantumisen purkaminen perustuu yhä enemmän nimellisen BKT:n kasvuun. </w:t>
      </w:r>
      <w:r>
        <w:rPr>
          <w:rFonts w:ascii="Times New Roman" w:hAnsi="Times New Roman"/>
          <w:noProof/>
        </w:rPr>
        <w:t>Yksityisen sektorin luottovirrat ovat edelleen maltillisia eivätkä yhdessäkään jäsenvaltiossa ylittäneet tulostaulun kynnysarvoa vuonna 2018. Viime vuosien nimellisen BKT:n kasvu on mahdollistanut sen, että useat maat ovat alkaneet siirtyä ”passiiviseen ve</w:t>
      </w:r>
      <w:r>
        <w:rPr>
          <w:rFonts w:ascii="Times New Roman" w:hAnsi="Times New Roman"/>
          <w:noProof/>
        </w:rPr>
        <w:t>lkaantumisen purkamiseen” eli velkasuhteet ovat supistuneet positiivisista luottovirroista huolimatta. BKT:n jatkuva kasvu on nimellisvelan supistumisen johdosta keventänyt painetta vähentää velkaantumista ”aktiivisesti”. Itse asiassa harvemmat maat ovat k</w:t>
      </w:r>
      <w:r>
        <w:rPr>
          <w:rFonts w:ascii="Times New Roman" w:hAnsi="Times New Roman"/>
          <w:noProof/>
        </w:rPr>
        <w:t>irjanneet negatiivisia luottovirtoja joko yrityksille tai kotitalouksille vuoteen 2017 verrattuna (kuviot 20 ja 21). Suhdannekierron ollessa huipussaan BKT:n noususuhdanteen vaikutus on kuitenkin muuttumassa vähäisemmäksi tai jopa kääntymässä päinvastaisek</w:t>
      </w:r>
      <w:r>
        <w:rPr>
          <w:rFonts w:ascii="Times New Roman" w:hAnsi="Times New Roman"/>
          <w:noProof/>
        </w:rPr>
        <w:t xml:space="preserve">si, mikä merkitsee sitä, että mahdollisuudet jatkaa passiivisen velkaantumisen purkamista riippuvat ratkaisevasti potentiaalisen BKT:n kasvusta. </w:t>
      </w:r>
    </w:p>
    <w:p w:rsidR="005C26C8" w:rsidRDefault="00115404">
      <w:pPr>
        <w:pStyle w:val="ListParagraph"/>
        <w:numPr>
          <w:ilvl w:val="0"/>
          <w:numId w:val="41"/>
        </w:numPr>
        <w:spacing w:after="120"/>
        <w:ind w:left="426" w:hanging="284"/>
        <w:contextualSpacing w:val="0"/>
        <w:jc w:val="both"/>
        <w:rPr>
          <w:rFonts w:eastAsia="Times New Roman" w:cstheme="minorHAnsi"/>
          <w:noProof/>
        </w:rPr>
      </w:pPr>
      <w:r>
        <w:rPr>
          <w:b/>
          <w:noProof/>
        </w:rPr>
        <w:t>Yritysten velan</w:t>
      </w:r>
      <w:r>
        <w:rPr>
          <w:noProof/>
        </w:rPr>
        <w:t xml:space="preserve"> väheneminen on jatkunut useimmissa EU-maissa, ja se perustuu yhä enemmän BKT:n kasvuun. Vuoden</w:t>
      </w:r>
      <w:r>
        <w:rPr>
          <w:noProof/>
        </w:rPr>
        <w:t xml:space="preserve"> 2018 ensimmäisen neljänneksen ja vuoden 2019 ensimmäisen neljänneksen välisenä aikana rahoitusalan ulkopuolisten yritysten velkaantumisen aktiivista purkamista tapahtui ainoastaan Belgiassa, Italiassa, Luxemburgissa, Portugalissa, Sloveniassa ja Tanskassa</w:t>
      </w:r>
      <w:r>
        <w:rPr>
          <w:noProof/>
        </w:rPr>
        <w:t xml:space="preserve"> (kuvio 20, joka perustuu konsolidoimattomiin tietoihin). Kyproksessa, Maltassa ja Bulgariassa yrityssektorin nettoluottovirrat olivat yli 5 prosenttia suhteessa BKT:hen huolimatta rahoitusalan ulkopuolisten yritysten jo ennestään suuresta velasta. Rahoitu</w:t>
      </w:r>
      <w:r>
        <w:rPr>
          <w:noProof/>
        </w:rPr>
        <w:t>salan ulkopuolisten yritysten velan kasvu Ranskassa, Saksassa ja Ruotsissa perustui jossain määrin dynaamisiin luottovirtoihin. Itse asiassa velkaantuminen on lisääntynyt Ranskassa ja Ruotsissa huolimatta siitä, että rahoitusalan ulkopuolisten yritysten ve</w:t>
      </w:r>
      <w:r>
        <w:rPr>
          <w:noProof/>
        </w:rPr>
        <w:t>lka ylittää vertailuarvot.</w:t>
      </w:r>
      <w:r>
        <w:rPr>
          <w:rStyle w:val="FootnoteReference"/>
          <w:noProof/>
        </w:rPr>
        <w:footnoteReference w:id="34"/>
      </w:r>
    </w:p>
    <w:p w:rsidR="005C26C8" w:rsidRDefault="00115404">
      <w:pPr>
        <w:pStyle w:val="ListParagraph"/>
        <w:numPr>
          <w:ilvl w:val="0"/>
          <w:numId w:val="41"/>
        </w:numPr>
        <w:spacing w:after="120"/>
        <w:ind w:left="426" w:hanging="284"/>
        <w:contextualSpacing w:val="0"/>
        <w:jc w:val="both"/>
        <w:rPr>
          <w:rFonts w:ascii="Times New Roman" w:eastAsia="Times New Roman" w:hAnsi="Times New Roman" w:cs="Times New Roman"/>
          <w:noProof/>
        </w:rPr>
      </w:pPr>
      <w:r>
        <w:rPr>
          <w:b/>
          <w:noProof/>
        </w:rPr>
        <w:t>Kotitalouksien velan</w:t>
      </w:r>
      <w:r>
        <w:rPr>
          <w:noProof/>
        </w:rPr>
        <w:t xml:space="preserve"> väheneminen on hidastunut huomattavasti. Yhdistyneessä kuningaskunnassa, Ruotsissa, Belgiassa ja Ranskassa kotitalouksien velka suhteessa BKT:hen kasvoi vuonna 2018, vaikka se oli jo suhteellisen korkealla t</w:t>
      </w:r>
      <w:r>
        <w:rPr>
          <w:noProof/>
        </w:rPr>
        <w:t>asolla (lähellä vertailuarvoja tai niiden yläpuolella). Vain muutamissa jäsenvaltioissa (Kreikka ja Irlanti) velkaantumisen purkaminen on aktiivista (kuvio 21). Maissa, joissa velkaantumista purettiin, se oli hidasta, ja näin oli erityisesti Espanjassa, Ky</w:t>
      </w:r>
      <w:r>
        <w:rPr>
          <w:noProof/>
        </w:rPr>
        <w:t>proksessa ja Portugalissa.</w:t>
      </w:r>
    </w:p>
    <w:p w:rsidR="005C26C8" w:rsidRDefault="005C26C8">
      <w:pPr>
        <w:spacing w:after="120"/>
        <w:rPr>
          <w:rFonts w:eastAsia="Times New Roman" w:cstheme="minorHAnsi"/>
          <w:b/>
          <w:noProof/>
        </w:rPr>
      </w:pPr>
    </w:p>
    <w:p w:rsidR="005C26C8" w:rsidRDefault="00115404">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4652"/>
      </w:tblGrid>
      <w:tr w:rsidR="005C26C8">
        <w:tc>
          <w:tcPr>
            <w:tcW w:w="4604" w:type="dxa"/>
          </w:tcPr>
          <w:p w:rsidR="005C26C8" w:rsidRDefault="00115404">
            <w:pPr>
              <w:ind w:left="0"/>
              <w:jc w:val="both"/>
              <w:rPr>
                <w:rFonts w:eastAsia="Times New Roman" w:cstheme="minorHAnsi"/>
                <w:b/>
                <w:noProof/>
              </w:rPr>
            </w:pPr>
            <w:r>
              <w:rPr>
                <w:b/>
                <w:noProof/>
              </w:rPr>
              <w:t>Kuvio 20: Rahoitusalan ulkopuolisten yritysten velkasuhteen muutos, eri osatekijöiden vaikutus (vuoden 2018 ensimmäinen neljännes – vuoden 2019 ensimmäinen neljännes)</w:t>
            </w:r>
          </w:p>
        </w:tc>
        <w:tc>
          <w:tcPr>
            <w:tcW w:w="4690" w:type="dxa"/>
          </w:tcPr>
          <w:p w:rsidR="005C26C8" w:rsidRDefault="00115404">
            <w:pPr>
              <w:ind w:left="0"/>
              <w:jc w:val="both"/>
              <w:rPr>
                <w:rFonts w:eastAsia="Times New Roman" w:cstheme="minorHAnsi"/>
                <w:b/>
                <w:noProof/>
              </w:rPr>
            </w:pPr>
            <w:r>
              <w:rPr>
                <w:b/>
                <w:noProof/>
              </w:rPr>
              <w:t xml:space="preserve">Kuvio 21: Kotitalouksien velkasuhteen muutos, eri </w:t>
            </w:r>
            <w:r>
              <w:rPr>
                <w:b/>
                <w:noProof/>
              </w:rPr>
              <w:t>osatekijöiden vaikutus (vuoden 2018 ensimmäinen neljännes – vuoden 2019 ensimmäinen neljännes)</w:t>
            </w:r>
          </w:p>
        </w:tc>
      </w:tr>
      <w:tr w:rsidR="005C26C8">
        <w:tc>
          <w:tcPr>
            <w:tcW w:w="4604" w:type="dxa"/>
          </w:tcPr>
          <w:p w:rsidR="005C26C8" w:rsidRDefault="00115404">
            <w:pPr>
              <w:ind w:left="-86"/>
              <w:rPr>
                <w:rFonts w:eastAsia="Times New Roman" w:cstheme="minorHAnsi"/>
                <w:b/>
                <w:noProof/>
              </w:rPr>
            </w:pPr>
            <w:r>
              <w:rPr>
                <w:rFonts w:eastAsia="Times New Roman" w:cstheme="minorHAnsi"/>
                <w:b/>
                <w:noProof/>
                <w:lang w:val="en-GB" w:eastAsia="en-GB"/>
              </w:rPr>
              <w:drawing>
                <wp:anchor distT="0" distB="0" distL="114300" distR="114300" simplePos="0" relativeHeight="251687936" behindDoc="0" locked="0" layoutInCell="1" allowOverlap="1">
                  <wp:simplePos x="0" y="0"/>
                  <wp:positionH relativeFrom="column">
                    <wp:posOffset>-61659</wp:posOffset>
                  </wp:positionH>
                  <wp:positionV relativeFrom="paragraph">
                    <wp:posOffset>-3495</wp:posOffset>
                  </wp:positionV>
                  <wp:extent cx="2966037" cy="3004185"/>
                  <wp:effectExtent l="0" t="0" r="635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6037"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90" w:type="dxa"/>
          </w:tcPr>
          <w:p w:rsidR="005C26C8" w:rsidRDefault="00115404">
            <w:pPr>
              <w:ind w:left="0"/>
              <w:rPr>
                <w:rFonts w:eastAsia="Times New Roman" w:cstheme="minorHAnsi"/>
                <w:b/>
                <w:noProof/>
              </w:rPr>
            </w:pPr>
            <w:r>
              <w:rPr>
                <w:rFonts w:eastAsia="Times New Roman" w:cstheme="minorHAnsi"/>
                <w:b/>
                <w:noProof/>
                <w:lang w:val="en-GB" w:eastAsia="en-GB"/>
              </w:rPr>
              <w:drawing>
                <wp:anchor distT="0" distB="0" distL="114300" distR="114300" simplePos="0" relativeHeight="251689984" behindDoc="0" locked="0" layoutInCell="1" allowOverlap="1">
                  <wp:simplePos x="0" y="0"/>
                  <wp:positionH relativeFrom="column">
                    <wp:posOffset>-69850</wp:posOffset>
                  </wp:positionH>
                  <wp:positionV relativeFrom="paragraph">
                    <wp:posOffset>3175</wp:posOffset>
                  </wp:positionV>
                  <wp:extent cx="2959100" cy="30886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910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C26C8" w:rsidRDefault="00115404">
      <w:pPr>
        <w:keepNext/>
        <w:ind w:left="0"/>
        <w:jc w:val="both"/>
        <w:rPr>
          <w:rFonts w:eastAsia="Times New Roman" w:cstheme="minorHAnsi"/>
          <w:noProof/>
          <w:sz w:val="20"/>
          <w:szCs w:val="20"/>
        </w:rPr>
      </w:pPr>
      <w:r>
        <w:rPr>
          <w:i/>
          <w:noProof/>
          <w:sz w:val="20"/>
          <w:szCs w:val="20"/>
        </w:rPr>
        <w:t>Lähteet:</w:t>
      </w:r>
      <w:r>
        <w:rPr>
          <w:noProof/>
          <w:sz w:val="20"/>
          <w:szCs w:val="20"/>
        </w:rPr>
        <w:t xml:space="preserve"> Eurostatin konsolidoimattomat neljännesvuosittaiset sektoritilit, komission yksiköiden laskelmat.</w:t>
      </w:r>
    </w:p>
    <w:p w:rsidR="005C26C8" w:rsidRDefault="00115404">
      <w:pPr>
        <w:ind w:left="0"/>
        <w:jc w:val="both"/>
        <w:rPr>
          <w:rFonts w:eastAsia="Times New Roman" w:cstheme="minorHAnsi"/>
          <w:noProof/>
          <w:sz w:val="20"/>
          <w:szCs w:val="20"/>
        </w:rPr>
      </w:pPr>
      <w:r>
        <w:rPr>
          <w:i/>
          <w:noProof/>
          <w:sz w:val="20"/>
          <w:szCs w:val="20"/>
        </w:rPr>
        <w:t>Huom.</w:t>
      </w:r>
      <w:r>
        <w:rPr>
          <w:noProof/>
          <w:sz w:val="20"/>
          <w:szCs w:val="20"/>
        </w:rPr>
        <w:t xml:space="preserve"> Kuvioissa on esitetty konsolidoimattoman v</w:t>
      </w:r>
      <w:r>
        <w:rPr>
          <w:noProof/>
          <w:sz w:val="20"/>
          <w:szCs w:val="20"/>
        </w:rPr>
        <w:t>elkasuhteen (velka suhteessa BKT:hen) vuotuinen kehitys jaoteltuna seuraaviin viiteen osatekijään: luottovirrat, reaalisen BKT:n potentiaalinen ja syklinen kasvu, inflaatio ja muut muutokset. BKT:n kasvun syklinen komponentti lasketaan todellisen ja potent</w:t>
      </w:r>
      <w:r>
        <w:rPr>
          <w:noProof/>
          <w:sz w:val="20"/>
          <w:szCs w:val="20"/>
        </w:rPr>
        <w:t>iaalisen kasvun välisenä erotuksena. Aktiivinen velkaantumisen purkaminen merkitsee velan nettomääräistä takaisinmaksua (negatiiviset nettoluottovirrat), joka yleensä johtaa sektorin taseen nimelliseen supistumiseen. Passiivinen velkaantumisen purkaantumin</w:t>
      </w:r>
      <w:r>
        <w:rPr>
          <w:noProof/>
          <w:sz w:val="20"/>
          <w:szCs w:val="20"/>
        </w:rPr>
        <w:t>en on sen sijaan seurausta siitä, että nimellisen BKT:n nopeampi kasvu kumoaa positiivisten nettoluottovirtojen vaikutuksen. Tämä johtaa siihen, että velka suhteessa BKT:hen vähenee.</w:t>
      </w:r>
    </w:p>
    <w:p w:rsidR="005C26C8" w:rsidRDefault="005C26C8">
      <w:pPr>
        <w:rPr>
          <w:rFonts w:eastAsia="Times New Roman" w:cstheme="minorHAnsi"/>
          <w:b/>
          <w:noProof/>
        </w:rPr>
      </w:pPr>
    </w:p>
    <w:p w:rsidR="005C26C8" w:rsidRDefault="005C26C8">
      <w:pPr>
        <w:ind w:left="0"/>
        <w:rPr>
          <w:rFonts w:eastAsia="Times New Roman" w:cstheme="minorHAnsi"/>
          <w:b/>
          <w:noProof/>
        </w:rPr>
      </w:pPr>
    </w:p>
    <w:p w:rsidR="005C26C8" w:rsidRDefault="00115404">
      <w:pPr>
        <w:spacing w:after="120"/>
        <w:ind w:left="0"/>
        <w:jc w:val="both"/>
        <w:rPr>
          <w:rFonts w:eastAsia="Times New Roman" w:cstheme="minorHAnsi"/>
          <w:b/>
          <w:noProof/>
        </w:rPr>
      </w:pPr>
      <w:r>
        <w:rPr>
          <w:rFonts w:ascii="Times New Roman" w:hAnsi="Times New Roman"/>
          <w:b/>
          <w:noProof/>
        </w:rPr>
        <w:t>EU:n pankkialan olosuhteet ovat parantuneet huomattavasti viime vuosina</w:t>
      </w:r>
      <w:r>
        <w:rPr>
          <w:rFonts w:ascii="Times New Roman" w:hAnsi="Times New Roman"/>
          <w:b/>
          <w:noProof/>
        </w:rPr>
        <w:t xml:space="preserve">, ja ne ovat pitkälti vakiintuneet. </w:t>
      </w:r>
      <w:r>
        <w:rPr>
          <w:noProof/>
        </w:rPr>
        <w:t>Pankkisektorilla on edelleen haasteita, jotka johtuvat erityisesti alhaisesta kannattavuudesta ja järjestämättömien lainojen suuresta määrästä useissa jäsenvaltioissa. Ensisijaisen pääoman (T1) osuudet eivät ole kasvanee</w:t>
      </w:r>
      <w:r>
        <w:rPr>
          <w:noProof/>
        </w:rPr>
        <w:t>t sen jälkeen, kun ne ylittivät lakisääteiset vaatimukset kaikissa jäsenvaltioissa, ja maiden välillä on huomattavia eroja. Pankkialan oman pääoman tuotto on elpynyt merkittävästi viime vuosina, mutta viime aikoina tuoton kasvu on heikentynyt. Muutamien ma</w:t>
      </w:r>
      <w:r>
        <w:rPr>
          <w:noProof/>
        </w:rPr>
        <w:t>iden, erityisesti Italian, Kreikan ja Portugalin (kuviot 22 ja 23), haasteena ovat suhteellisen alhaiset kannattavuusasteet, keskimääräistä pienemmät vakavaraisuusasteet ja suhteellisen suuret järjestämättömien lainojen osuudet.</w:t>
      </w:r>
    </w:p>
    <w:p w:rsidR="005C26C8" w:rsidRDefault="00115404">
      <w:pPr>
        <w:numPr>
          <w:ilvl w:val="0"/>
          <w:numId w:val="18"/>
        </w:numPr>
        <w:spacing w:after="120"/>
        <w:ind w:left="426" w:hanging="284"/>
        <w:jc w:val="both"/>
        <w:rPr>
          <w:rFonts w:ascii="Times New Roman" w:eastAsia="Times New Roman" w:hAnsi="Times New Roman" w:cs="Times New Roman"/>
          <w:noProof/>
        </w:rPr>
      </w:pPr>
      <w:r>
        <w:rPr>
          <w:rFonts w:ascii="Times New Roman" w:hAnsi="Times New Roman"/>
          <w:b/>
          <w:noProof/>
        </w:rPr>
        <w:t>Rahoitusalan velkojen kasvu</w:t>
      </w:r>
      <w:r>
        <w:rPr>
          <w:rFonts w:ascii="Times New Roman" w:hAnsi="Times New Roman"/>
          <w:b/>
          <w:noProof/>
        </w:rPr>
        <w:t xml:space="preserve"> on edelleen vähäistä, selvästi alle tulostaulun kynnysarvon,</w:t>
      </w:r>
      <w:r>
        <w:rPr>
          <w:rFonts w:ascii="Times New Roman" w:hAnsi="Times New Roman"/>
          <w:noProof/>
        </w:rPr>
        <w:t xml:space="preserve"> Suomea lukuun ottamatta. Rahoitusalan velkojen kasvu hidastui vuonna 2018 useimmissa jäsenvaltioissa hieman verrattuna vuoteen 2017.</w:t>
      </w:r>
      <w:r>
        <w:rPr>
          <w:rFonts w:cstheme="minorHAnsi"/>
          <w:noProof/>
          <w:vertAlign w:val="superscript"/>
        </w:rPr>
        <w:footnoteReference w:id="35"/>
      </w:r>
      <w:r>
        <w:rPr>
          <w:noProof/>
          <w:vertAlign w:val="superscript"/>
        </w:rPr>
        <w:t xml:space="preserve">  </w:t>
      </w:r>
      <w:r>
        <w:rPr>
          <w:rFonts w:ascii="Times New Roman" w:hAnsi="Times New Roman"/>
          <w:noProof/>
        </w:rPr>
        <w:t>Pankkien luottovirrat kasvoivat kuitenkin vuonna 2018 hiema</w:t>
      </w:r>
      <w:r>
        <w:rPr>
          <w:rFonts w:ascii="Times New Roman" w:hAnsi="Times New Roman"/>
          <w:noProof/>
        </w:rPr>
        <w:t>n nopeammin kuin vuonna 2017 erityisesti kotitalouksille myönnettyjen luottojen osalta, ja ne vakiintuivat vuoden 2019 ensimmäisten kuukausien aikana, kun lainaehdot alkoivat kiristyä.</w:t>
      </w:r>
      <w:r>
        <w:rPr>
          <w:rStyle w:val="FootnoteReference"/>
          <w:rFonts w:ascii="Times New Roman" w:eastAsia="Times New Roman" w:hAnsi="Times New Roman" w:cs="Times New Roman"/>
          <w:noProof/>
        </w:rPr>
        <w:footnoteReference w:id="36"/>
      </w:r>
      <w:r>
        <w:rPr>
          <w:rFonts w:ascii="Times New Roman" w:hAnsi="Times New Roman"/>
          <w:noProof/>
        </w:rPr>
        <w:t xml:space="preserve"> </w:t>
      </w:r>
    </w:p>
    <w:p w:rsidR="005C26C8" w:rsidRDefault="00115404">
      <w:pPr>
        <w:numPr>
          <w:ilvl w:val="0"/>
          <w:numId w:val="18"/>
        </w:numPr>
        <w:spacing w:after="120"/>
        <w:ind w:left="426" w:hanging="284"/>
        <w:jc w:val="both"/>
        <w:rPr>
          <w:rFonts w:ascii="Times New Roman" w:eastAsia="Times New Roman" w:hAnsi="Times New Roman" w:cs="Times New Roman"/>
          <w:noProof/>
        </w:rPr>
      </w:pPr>
      <w:r>
        <w:rPr>
          <w:rFonts w:ascii="Times New Roman" w:hAnsi="Times New Roman"/>
          <w:b/>
          <w:noProof/>
        </w:rPr>
        <w:t xml:space="preserve">Vakavaraisuussuhteet vakiintuivat useimmissa jäsenvaltioissa, kun taas oman pääoman tuotto heikkeni jonkin verran monissa tapauksissa vuonna 2018. </w:t>
      </w:r>
      <w:r>
        <w:rPr>
          <w:noProof/>
        </w:rPr>
        <w:t>Oman pääoman tuotto pysyi vuonna 2018 negatiivisena Kreikassa ja Portugalissa ja kääntyi positiiviseksi Kypro</w:t>
      </w:r>
      <w:r>
        <w:rPr>
          <w:noProof/>
        </w:rPr>
        <w:t>ksessa. Pankkien oman pääoman arvostus kasvoi vuonna 2017, mutta se laski vuonna 2018 ja suurimman osan vuotta 2019, vaikka Euroopan osakemarkkinoiden kokonaisindeksien kehitys oli positiivinen, mikä heijasteli muun muassa alan kannattavuusnäkymiä koskevia</w:t>
      </w:r>
      <w:r>
        <w:rPr>
          <w:noProof/>
        </w:rPr>
        <w:t xml:space="preserve"> tarkistettuja markkinanäkymiä. </w:t>
      </w:r>
    </w:p>
    <w:p w:rsidR="005C26C8" w:rsidRDefault="00115404">
      <w:pPr>
        <w:numPr>
          <w:ilvl w:val="0"/>
          <w:numId w:val="11"/>
        </w:numPr>
        <w:spacing w:after="120"/>
        <w:ind w:left="426" w:hanging="284"/>
        <w:jc w:val="both"/>
        <w:rPr>
          <w:rFonts w:ascii="Times New Roman" w:eastAsia="Calibri" w:hAnsi="Times New Roman" w:cs="Times New Roman"/>
          <w:noProof/>
        </w:rPr>
      </w:pPr>
      <w:r>
        <w:rPr>
          <w:b/>
          <w:noProof/>
        </w:rPr>
        <w:t>Joissakin EU:n jäsenvaltioissa kannattavuus- ja vakavaraisuussuhteet ovat suhteellisen alhaisia ja järjestämättömien lainojen osuus on suuri.</w:t>
      </w:r>
      <w:r>
        <w:rPr>
          <w:rFonts w:ascii="Times New Roman" w:eastAsia="Calibri" w:hAnsi="Times New Roman" w:cs="Times New Roman"/>
          <w:noProof/>
          <w:vertAlign w:val="superscript"/>
        </w:rPr>
        <w:footnoteReference w:id="37"/>
      </w:r>
      <w:r>
        <w:rPr>
          <w:rFonts w:ascii="Times New Roman" w:hAnsi="Times New Roman"/>
          <w:noProof/>
        </w:rPr>
        <w:t xml:space="preserve"> Kreikassa järjestämättömien lainojen osuus on edelleen yli 40 prosenttia. Kyprok</w:t>
      </w:r>
      <w:r>
        <w:rPr>
          <w:rFonts w:ascii="Times New Roman" w:hAnsi="Times New Roman"/>
          <w:noProof/>
        </w:rPr>
        <w:t>sen järjestämättömien lainojen suhde parani vuonna 2018 huomattavasti pääasiassa lainojen myynnin ja suuren pankin alasajon vuoksi, ja kannattavuus on kääntynyt positiiviseksi. Portugalissa ja Italiassa järjestämättömien lainojen osuus on vähentynyt huomat</w:t>
      </w:r>
      <w:r>
        <w:rPr>
          <w:rFonts w:ascii="Times New Roman" w:hAnsi="Times New Roman"/>
          <w:noProof/>
        </w:rPr>
        <w:t xml:space="preserve">tavasti vuodesta 2016, ja viimeisimmät tiedot osoittavat, että tämä kehitys jatkui vuonna 2018, joskin maltillisempana. Järjestämättömien lainojen osuus on laskenut alle 10 prosentin molemmissa maissa. </w:t>
      </w:r>
      <w:r>
        <w:rPr>
          <w:noProof/>
        </w:rPr>
        <w:t>Järjestämättömien lainojen osuus pieneni vuonna 2018 B</w:t>
      </w:r>
      <w:r>
        <w:rPr>
          <w:noProof/>
        </w:rPr>
        <w:t>ulgariassa, Irlannissa, Kroatiassa, Romaniassa, Sloveniassa ja Unkarissa. Näissä maissa kyseinen osuus on EU:n keskiarvon yläpuolella.</w:t>
      </w:r>
    </w:p>
    <w:p w:rsidR="005C26C8" w:rsidRDefault="00115404">
      <w:pPr>
        <w:pStyle w:val="ListParagraph"/>
        <w:numPr>
          <w:ilvl w:val="0"/>
          <w:numId w:val="11"/>
        </w:numPr>
        <w:spacing w:after="1800"/>
        <w:ind w:left="426" w:hanging="284"/>
        <w:contextualSpacing w:val="0"/>
        <w:jc w:val="both"/>
        <w:rPr>
          <w:rFonts w:ascii="Times New Roman" w:eastAsia="Calibri" w:hAnsi="Times New Roman" w:cs="Times New Roman"/>
          <w:noProof/>
        </w:rPr>
      </w:pPr>
      <w:r>
        <w:rPr>
          <w:rFonts w:ascii="Times New Roman" w:hAnsi="Times New Roman"/>
          <w:b/>
          <w:noProof/>
        </w:rPr>
        <w:t>Nykyiset talousnäkymät, joille on ominaista pitkäkestoinen matala korkotaso, asettavat uusia haasteita.</w:t>
      </w:r>
      <w:r>
        <w:rPr>
          <w:rFonts w:ascii="Times New Roman" w:hAnsi="Times New Roman"/>
          <w:noProof/>
        </w:rPr>
        <w:t xml:space="preserve"> Korkojen lasku tu</w:t>
      </w:r>
      <w:r>
        <w:rPr>
          <w:rFonts w:ascii="Times New Roman" w:hAnsi="Times New Roman"/>
          <w:noProof/>
        </w:rPr>
        <w:t>ntuu enimmäkseen pidemmissä maturiteeteissa, mikä johtaa tuottokäyrien tasoittumiseen ja korkomarginaalien supistumiseen entisestään. Tällainen tasoittuminen haittaa pankkien maturiteettitransformaatiota ja saattaa heikentää niiden kannattavuutta. Koska al</w:t>
      </w:r>
      <w:r>
        <w:rPr>
          <w:rFonts w:ascii="Times New Roman" w:hAnsi="Times New Roman"/>
          <w:noProof/>
        </w:rPr>
        <w:t>hainen tuotto koskee erityisesti vähäriskistä rahoitusomaisuutta, se voi rasittaa erityisesti sellaisten pankkien ulkopuolisten rahoituslaitosten kannattavuutta ja tasetta, joiden salkku on sijoitettu suurelta osin vähäriskiseen varallisuuteen, kuten vakuu</w:t>
      </w:r>
      <w:r>
        <w:rPr>
          <w:rFonts w:ascii="Times New Roman" w:hAnsi="Times New Roman"/>
          <w:noProof/>
        </w:rPr>
        <w:t>tusyhtiöihin, erityisesti henkivakuutusten alasektoriin, ja eläkerahastoihin.</w:t>
      </w:r>
      <w:r>
        <w:rPr>
          <w:rStyle w:val="FootnoteReference"/>
          <w:rFonts w:cstheme="minorHAnsi"/>
          <w:noProof/>
        </w:rPr>
        <w:footnoteReference w:id="38"/>
      </w:r>
    </w:p>
    <w:p w:rsidR="005C26C8" w:rsidRDefault="005C26C8">
      <w:pPr>
        <w:spacing w:before="480"/>
        <w:ind w:left="0"/>
        <w:rPr>
          <w:rFonts w:cstheme="minorHAnsi"/>
          <w:i/>
          <w:noProof/>
        </w:rPr>
      </w:pP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846"/>
      </w:tblGrid>
      <w:tr w:rsidR="005C26C8">
        <w:tc>
          <w:tcPr>
            <w:tcW w:w="4375" w:type="dxa"/>
          </w:tcPr>
          <w:p w:rsidR="005C26C8" w:rsidRDefault="00115404">
            <w:pPr>
              <w:spacing w:line="276" w:lineRule="auto"/>
              <w:ind w:left="0"/>
              <w:jc w:val="center"/>
              <w:rPr>
                <w:rFonts w:eastAsia="MS Mincho" w:cstheme="minorHAnsi"/>
                <w:b/>
                <w:bCs/>
                <w:noProof/>
              </w:rPr>
            </w:pPr>
            <w:r>
              <w:rPr>
                <w:b/>
                <w:bCs/>
                <w:noProof/>
              </w:rPr>
              <w:t>Kuvio 22:</w:t>
            </w:r>
          </w:p>
          <w:p w:rsidR="005C26C8" w:rsidRDefault="00115404">
            <w:pPr>
              <w:spacing w:line="276" w:lineRule="auto"/>
              <w:ind w:left="0"/>
              <w:jc w:val="center"/>
              <w:rPr>
                <w:rFonts w:cstheme="minorHAnsi"/>
                <w:i/>
                <w:noProof/>
              </w:rPr>
            </w:pPr>
            <w:r>
              <w:rPr>
                <w:b/>
                <w:bCs/>
                <w:noProof/>
              </w:rPr>
              <w:t>Pankkisektorin kannattavuus ja pääoma</w:t>
            </w:r>
          </w:p>
        </w:tc>
        <w:tc>
          <w:tcPr>
            <w:tcW w:w="4686" w:type="dxa"/>
          </w:tcPr>
          <w:p w:rsidR="005C26C8" w:rsidRDefault="00115404">
            <w:pPr>
              <w:spacing w:line="276" w:lineRule="auto"/>
              <w:ind w:left="0"/>
              <w:jc w:val="center"/>
              <w:rPr>
                <w:rFonts w:cstheme="minorHAnsi"/>
                <w:i/>
                <w:noProof/>
              </w:rPr>
            </w:pPr>
            <w:r>
              <w:rPr>
                <w:b/>
                <w:bCs/>
                <w:noProof/>
              </w:rPr>
              <w:t>Kuvio 23: Järjestämättömät lainat</w:t>
            </w:r>
          </w:p>
        </w:tc>
      </w:tr>
      <w:tr w:rsidR="005C26C8">
        <w:tc>
          <w:tcPr>
            <w:tcW w:w="4375" w:type="dxa"/>
          </w:tcPr>
          <w:p w:rsidR="005C26C8" w:rsidRDefault="00115404">
            <w:pPr>
              <w:spacing w:line="276" w:lineRule="auto"/>
              <w:ind w:left="0"/>
              <w:jc w:val="both"/>
              <w:rPr>
                <w:rFonts w:cstheme="minorHAnsi"/>
                <w:i/>
                <w:noProof/>
              </w:rPr>
            </w:pPr>
            <w:r>
              <w:rPr>
                <w:rFonts w:cstheme="minorHAnsi"/>
                <w:i/>
                <w:noProof/>
                <w:lang w:val="en-GB" w:eastAsia="en-GB"/>
              </w:rPr>
              <w:drawing>
                <wp:anchor distT="0" distB="0" distL="114300" distR="114300" simplePos="0" relativeHeight="251693056" behindDoc="0" locked="0" layoutInCell="1" allowOverlap="1">
                  <wp:simplePos x="0" y="0"/>
                  <wp:positionH relativeFrom="column">
                    <wp:posOffset>-27516</wp:posOffset>
                  </wp:positionH>
                  <wp:positionV relativeFrom="paragraph">
                    <wp:posOffset>34501</wp:posOffset>
                  </wp:positionV>
                  <wp:extent cx="2743200" cy="29889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988945"/>
                          </a:xfrm>
                          <a:prstGeom prst="rect">
                            <a:avLst/>
                          </a:prstGeom>
                          <a:noFill/>
                          <a:ln>
                            <a:noFill/>
                          </a:ln>
                        </pic:spPr>
                      </pic:pic>
                    </a:graphicData>
                  </a:graphic>
                </wp:anchor>
              </w:drawing>
            </w:r>
          </w:p>
        </w:tc>
        <w:tc>
          <w:tcPr>
            <w:tcW w:w="4686" w:type="dxa"/>
          </w:tcPr>
          <w:p w:rsidR="005C26C8" w:rsidRDefault="00115404">
            <w:pPr>
              <w:spacing w:line="276" w:lineRule="auto"/>
              <w:ind w:left="0"/>
              <w:jc w:val="both"/>
              <w:rPr>
                <w:rFonts w:cstheme="minorHAnsi"/>
                <w:i/>
                <w:noProof/>
              </w:rPr>
            </w:pPr>
            <w:r>
              <w:rPr>
                <w:rFonts w:cstheme="minorHAnsi"/>
                <w:i/>
                <w:noProof/>
                <w:lang w:val="en-GB" w:eastAsia="en-GB"/>
              </w:rPr>
              <w:drawing>
                <wp:anchor distT="0" distB="0" distL="114300" distR="114300" simplePos="0" relativeHeight="251698176" behindDoc="0" locked="0" layoutInCell="1" allowOverlap="1">
                  <wp:simplePos x="0" y="0"/>
                  <wp:positionH relativeFrom="column">
                    <wp:posOffset>11</wp:posOffset>
                  </wp:positionH>
                  <wp:positionV relativeFrom="paragraph">
                    <wp:posOffset>640</wp:posOffset>
                  </wp:positionV>
                  <wp:extent cx="3061911" cy="3230818"/>
                  <wp:effectExtent l="0" t="0" r="5715"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1911" cy="3230818"/>
                          </a:xfrm>
                          <a:prstGeom prst="rect">
                            <a:avLst/>
                          </a:prstGeom>
                          <a:noFill/>
                          <a:ln>
                            <a:noFill/>
                          </a:ln>
                        </pic:spPr>
                      </pic:pic>
                    </a:graphicData>
                  </a:graphic>
                </wp:anchor>
              </w:drawing>
            </w:r>
          </w:p>
        </w:tc>
      </w:tr>
    </w:tbl>
    <w:p w:rsidR="005C26C8" w:rsidRDefault="00115404">
      <w:pPr>
        <w:ind w:left="0"/>
        <w:jc w:val="both"/>
        <w:rPr>
          <w:rFonts w:eastAsia="Times New Roman" w:cstheme="minorHAnsi"/>
          <w:noProof/>
          <w:sz w:val="20"/>
          <w:szCs w:val="24"/>
        </w:rPr>
      </w:pPr>
      <w:r>
        <w:rPr>
          <w:i/>
          <w:noProof/>
          <w:sz w:val="20"/>
        </w:rPr>
        <w:t>Lähde:</w:t>
      </w:r>
      <w:r>
        <w:rPr>
          <w:noProof/>
          <w:sz w:val="20"/>
        </w:rPr>
        <w:t xml:space="preserve"> Vuoden 2008 tietoja järjestämättömien velkainstrumenttien bruttomääristä ei ole saatavilla seuraavien maiden osalta: Irlanti, Kroatia, Ruotsi, Slovenia ja Tšekki. </w:t>
      </w:r>
    </w:p>
    <w:p w:rsidR="005C26C8" w:rsidRDefault="00115404">
      <w:pPr>
        <w:ind w:left="0"/>
        <w:jc w:val="both"/>
        <w:rPr>
          <w:rFonts w:cstheme="minorHAnsi"/>
          <w:i/>
          <w:noProof/>
          <w:sz w:val="20"/>
          <w:szCs w:val="20"/>
        </w:rPr>
      </w:pPr>
      <w:r>
        <w:rPr>
          <w:i/>
          <w:noProof/>
          <w:sz w:val="20"/>
          <w:szCs w:val="20"/>
        </w:rPr>
        <w:t xml:space="preserve">Huom. </w:t>
      </w:r>
      <w:r>
        <w:rPr>
          <w:noProof/>
          <w:sz w:val="20"/>
          <w:szCs w:val="20"/>
        </w:rPr>
        <w:t>Kuviossa 23 esitetään vuotta 2008 ja ”kasvua huippuvuoteen” koskevien tietojen osalta</w:t>
      </w:r>
      <w:r>
        <w:rPr>
          <w:noProof/>
          <w:sz w:val="20"/>
          <w:szCs w:val="20"/>
        </w:rPr>
        <w:t xml:space="preserve"> bruttomääräisten järjestämättömien velkainstrumenttien osuus kaikista bruttomääräisistä velkainstrumenteista. Järjestämättömien lainojen osuudet ilmoitetaan vuosien 2018 ja 2019 ensimmäiseltä neljännekseltä. Maakoodien alapuolella olevat luvut ilmaisevat </w:t>
      </w:r>
      <w:r>
        <w:rPr>
          <w:noProof/>
          <w:sz w:val="20"/>
          <w:szCs w:val="20"/>
        </w:rPr>
        <w:t>vuoden, jolloin järjestämättömien velkainstrumenttien määrä oli huipussaan.</w:t>
      </w:r>
    </w:p>
    <w:p w:rsidR="005C26C8" w:rsidRDefault="005C26C8">
      <w:pPr>
        <w:jc w:val="center"/>
        <w:rPr>
          <w:rFonts w:eastAsia="Times New Roman" w:cstheme="minorHAnsi"/>
          <w:b/>
          <w:noProof/>
          <w:sz w:val="24"/>
          <w:szCs w:val="24"/>
        </w:rPr>
      </w:pPr>
    </w:p>
    <w:p w:rsidR="005C26C8" w:rsidRDefault="00115404">
      <w:pPr>
        <w:spacing w:after="120"/>
        <w:ind w:left="0"/>
        <w:jc w:val="both"/>
        <w:rPr>
          <w:rFonts w:ascii="Times New Roman" w:hAnsi="Times New Roman" w:cs="Times New Roman"/>
          <w:noProof/>
        </w:rPr>
      </w:pPr>
      <w:r>
        <w:rPr>
          <w:rFonts w:ascii="Times New Roman" w:hAnsi="Times New Roman"/>
          <w:b/>
          <w:noProof/>
        </w:rPr>
        <w:t xml:space="preserve">Asuntojen hintojen nousu jatkui nopeana vuonna 2018, mutta hintadynamiikka hidastui siellä, missä on vahvempaa näyttöä yliarvostuksesta. </w:t>
      </w:r>
      <w:r>
        <w:rPr>
          <w:rFonts w:ascii="Times New Roman" w:hAnsi="Times New Roman"/>
          <w:noProof/>
        </w:rPr>
        <w:t>Asuntojen hintojen nousun nopeutuminen joh</w:t>
      </w:r>
      <w:r>
        <w:rPr>
          <w:rFonts w:ascii="Times New Roman" w:hAnsi="Times New Roman"/>
          <w:noProof/>
        </w:rPr>
        <w:t>taa siihen, että yhä useammat asuntomarkkinat ovat lähellä kriisiä edeltäneitä huippulukemia tai ovat ylittäneet ne (kuvio 26). Vuonna 2018 asuntojen reaalihintojen kasvu ylitti tulostaulun kynnysarvon seitsemässä jäsenvaltiossa (Alankomaat, Irlanti, Latvi</w:t>
      </w:r>
      <w:r>
        <w:rPr>
          <w:rFonts w:ascii="Times New Roman" w:hAnsi="Times New Roman"/>
          <w:noProof/>
        </w:rPr>
        <w:t>a, Portugali, Slovenia, Tšekki ja Unkari), mikä on yksi enemmän kuin vuonna 2017. Asuntojen hinnat nousivat erityisen voimakkaasti niissä EU-maissa, joissa on ollut toistaiseksi vain vähän tai ei ollenkaan näyttöä asuntojen hintojen yliarvostuksesta, kun t</w:t>
      </w:r>
      <w:r>
        <w:rPr>
          <w:rFonts w:ascii="Times New Roman" w:hAnsi="Times New Roman"/>
          <w:noProof/>
        </w:rPr>
        <w:t>aas hintojen nousu on hidastunut maissa, joille on ominaista vahvempi näyttö yliarvostuksesta. Vuoden 2019 toiseen neljännekseen ulottuvien tietojen mukaan tulostaulun kynnysarvo saattaa ylittyä tänä vuonna Kroatiassa, Portugalissa, Puolassa, Tšekissä ja U</w:t>
      </w:r>
      <w:r>
        <w:rPr>
          <w:rFonts w:ascii="Times New Roman" w:hAnsi="Times New Roman"/>
          <w:noProof/>
        </w:rPr>
        <w:t>nkarissa, jos nämä suuntaukset jatkuvat vuoden jälkipuoliskolla. Tämän vuoden alkupuoliskolla asuntojen hintojen nousu kiihtyi vuoteen 2018 verrattuna Kroatiassa, Kyproksessa ja Ruotsissa ja hidastui Irlannissa, Latviassa, Romaniassa, Sloveniassa ja Tanska</w:t>
      </w:r>
      <w:r>
        <w:rPr>
          <w:rFonts w:ascii="Times New Roman" w:hAnsi="Times New Roman"/>
          <w:noProof/>
        </w:rPr>
        <w:t>ssa.</w:t>
      </w:r>
    </w:p>
    <w:p w:rsidR="005C26C8" w:rsidRDefault="00115404">
      <w:pPr>
        <w:pStyle w:val="ListParagraph"/>
        <w:numPr>
          <w:ilvl w:val="0"/>
          <w:numId w:val="49"/>
        </w:numPr>
        <w:spacing w:after="120"/>
        <w:ind w:left="426" w:hanging="284"/>
        <w:contextualSpacing w:val="0"/>
        <w:jc w:val="both"/>
        <w:rPr>
          <w:rFonts w:ascii="Times New Roman" w:hAnsi="Times New Roman" w:cs="Times New Roman"/>
          <w:noProof/>
        </w:rPr>
      </w:pPr>
      <w:r>
        <w:rPr>
          <w:rFonts w:ascii="Times New Roman" w:hAnsi="Times New Roman"/>
          <w:b/>
          <w:noProof/>
        </w:rPr>
        <w:t>Osa asuntojen hintojen nousun nopeutumisesta liittyy talouden perustekijöihin</w:t>
      </w:r>
      <w:r>
        <w:rPr>
          <w:rFonts w:ascii="Times New Roman" w:hAnsi="Times New Roman"/>
          <w:noProof/>
        </w:rPr>
        <w:t>. Asuntojen hinnat kääntyivät nousuun vuonna 2013 alkaneen talouden elpymisen ja korkojen laskun myötä. Tässä suhteessa se selittyy talouden perustekijöillä.</w:t>
      </w:r>
      <w:r>
        <w:rPr>
          <w:rFonts w:ascii="Times New Roman" w:eastAsia="Calibri" w:hAnsi="Times New Roman" w:cs="Times New Roman"/>
          <w:noProof/>
          <w:vertAlign w:val="superscript"/>
        </w:rPr>
        <w:footnoteReference w:id="39"/>
      </w:r>
      <w:r>
        <w:rPr>
          <w:rFonts w:ascii="Times New Roman" w:hAnsi="Times New Roman"/>
          <w:noProof/>
        </w:rPr>
        <w:t xml:space="preserve"> Vaikka asuntoje</w:t>
      </w:r>
      <w:r>
        <w:rPr>
          <w:rFonts w:ascii="Times New Roman" w:hAnsi="Times New Roman"/>
          <w:noProof/>
        </w:rPr>
        <w:t xml:space="preserve">n hintojen nousu kiihtyi, uusien asuntoluottojen kasvulla ei ole ollut tähän mennessä merkittävää itsenäistä roolia hintojen nousun liikkeellepanevana voimana, toisin kuin kriisiä edeltävänä aikana. Se voisi kuitenkin osaltaan vaikuttaa asuntojen hintojen </w:t>
      </w:r>
      <w:r>
        <w:rPr>
          <w:rFonts w:ascii="Times New Roman" w:hAnsi="Times New Roman"/>
          <w:noProof/>
        </w:rPr>
        <w:t>jatkuvaan nousuun.</w:t>
      </w:r>
    </w:p>
    <w:p w:rsidR="005C26C8" w:rsidRDefault="00115404">
      <w:pPr>
        <w:pStyle w:val="ListParagraph"/>
        <w:numPr>
          <w:ilvl w:val="0"/>
          <w:numId w:val="49"/>
        </w:numPr>
        <w:spacing w:after="120"/>
        <w:ind w:left="426" w:hanging="284"/>
        <w:contextualSpacing w:val="0"/>
        <w:jc w:val="both"/>
        <w:rPr>
          <w:rFonts w:ascii="Times New Roman" w:hAnsi="Times New Roman" w:cs="Times New Roman"/>
          <w:noProof/>
        </w:rPr>
      </w:pPr>
      <w:r>
        <w:rPr>
          <w:rFonts w:ascii="Times New Roman" w:hAnsi="Times New Roman"/>
          <w:b/>
          <w:noProof/>
        </w:rPr>
        <w:t>Asuntojen hintojen voimakas nousu vaikuttaa arvostustasoihin.</w:t>
      </w:r>
      <w:r>
        <w:rPr>
          <w:rFonts w:ascii="Times New Roman" w:hAnsi="Times New Roman"/>
          <w:noProof/>
        </w:rPr>
        <w:t xml:space="preserve"> Alankomaissa, Irlannissa, Latviassa, Portugalissa, Sloveniassa ja Unkarissa asuntojen reaalihintojen nousu oli nopeaa jo vuonna 2017 ja kiihtyi edelleen vuonna 2018 (kuvio 24 </w:t>
      </w:r>
      <w:r>
        <w:rPr>
          <w:rFonts w:ascii="Times New Roman" w:hAnsi="Times New Roman"/>
          <w:noProof/>
        </w:rPr>
        <w:t>ja kuvio 25, oikea yläkulma). Pitkittynyt nopea nousu useissa maissa lisää vähitellen yliarvostusriskejä: niiden EU-maiden määrä, joille on arvioitu olevan ominaista asuntojen yliarvostus, on kasvanut viime vuosina. Näyttö yliarvostuksesta (mitattuna kasva</w:t>
      </w:r>
      <w:r>
        <w:rPr>
          <w:rFonts w:ascii="Times New Roman" w:hAnsi="Times New Roman"/>
          <w:noProof/>
        </w:rPr>
        <w:t xml:space="preserve">valla arvostusten erolla) on viime aikoina vahvistunut esimerkiksi Saksassa ja Portugalissa. Asuntojen hinnat ovat olleet huipputasolla tai ylittäneet sen 2000-luvun puolivälistä lähtien useissa maissa (Belgia, Itävalta, Luxemburg, Malta, Portugali, Saksa </w:t>
      </w:r>
      <w:r>
        <w:rPr>
          <w:rFonts w:ascii="Times New Roman" w:hAnsi="Times New Roman"/>
          <w:noProof/>
        </w:rPr>
        <w:t>ja Tšekki; kuvio 26). Asuntojen hintataso on monissa maissa törmännyt maksukykyrajoituksiin, mikä käy ilmi asuntojen hintatason ja käytettävissä olevien asukaskohtaisten tulojen suhteesta. Arvioiden mukaan noin puolessa EU-maista tarvitaan yli 10 vuoden tu</w:t>
      </w:r>
      <w:r>
        <w:rPr>
          <w:rFonts w:ascii="Times New Roman" w:hAnsi="Times New Roman"/>
          <w:noProof/>
        </w:rPr>
        <w:t>lot, jotta voidaan ostaa 100 neliömetrin asunto.</w:t>
      </w:r>
      <w:r>
        <w:rPr>
          <w:rStyle w:val="FootnoteReference"/>
          <w:rFonts w:ascii="Times New Roman" w:hAnsi="Times New Roman" w:cs="Times New Roman"/>
          <w:noProof/>
        </w:rPr>
        <w:footnoteReference w:id="40"/>
      </w:r>
      <w:r>
        <w:rPr>
          <w:rFonts w:ascii="Times New Roman" w:hAnsi="Times New Roman"/>
          <w:noProof/>
        </w:rPr>
        <w:t xml:space="preserve"> Vastaavasti joka kymmenes eurooppalainen asuu kotitaloudessa, joka käytti vähintään 40 prosenttia tuloistaan asumiseen vuonna 2017.</w:t>
      </w:r>
      <w:r>
        <w:rPr>
          <w:rStyle w:val="FootnoteReference"/>
          <w:rFonts w:ascii="Times New Roman" w:eastAsia="Times New Roman" w:hAnsi="Times New Roman" w:cs="Times New Roman"/>
          <w:noProof/>
        </w:rPr>
        <w:footnoteReference w:id="41"/>
      </w:r>
    </w:p>
    <w:p w:rsidR="005C26C8" w:rsidRDefault="00115404">
      <w:pPr>
        <w:pStyle w:val="ListParagraph"/>
        <w:numPr>
          <w:ilvl w:val="0"/>
          <w:numId w:val="11"/>
        </w:numPr>
        <w:spacing w:after="120"/>
        <w:ind w:left="426" w:hanging="284"/>
        <w:contextualSpacing w:val="0"/>
        <w:jc w:val="both"/>
        <w:rPr>
          <w:rFonts w:ascii="Times New Roman" w:eastAsia="Times New Roman" w:hAnsi="Times New Roman" w:cs="Times New Roman"/>
          <w:i/>
          <w:noProof/>
        </w:rPr>
      </w:pPr>
      <w:r>
        <w:rPr>
          <w:rFonts w:ascii="Times New Roman" w:hAnsi="Times New Roman"/>
          <w:b/>
          <w:noProof/>
        </w:rPr>
        <w:t>Asuntojen hintojen nousu on hidastunut jonkin verran useissa maissa, jois</w:t>
      </w:r>
      <w:r>
        <w:rPr>
          <w:rFonts w:ascii="Times New Roman" w:hAnsi="Times New Roman"/>
          <w:b/>
          <w:noProof/>
        </w:rPr>
        <w:t>sa on näyttöä yliarvostuksesta ja kotitalouksien suuresta velasta, ja Ruotsin asuntomarkkinoilla hintojen korjaus alaspäin on alkanut.</w:t>
      </w:r>
      <w:r>
        <w:rPr>
          <w:rFonts w:ascii="Times New Roman" w:hAnsi="Times New Roman"/>
          <w:noProof/>
        </w:rPr>
        <w:t xml:space="preserve"> Asuntojen hintojen viimeaikainen nousu on yleensä ollut sitä vähäisempää, mitä suurempi yliarvostus on ollut. Tällainen s</w:t>
      </w:r>
      <w:r>
        <w:rPr>
          <w:rFonts w:ascii="Times New Roman" w:hAnsi="Times New Roman"/>
          <w:noProof/>
        </w:rPr>
        <w:t>uuntaus, joka ei ole ollut nähtävissä aiempina vuosina, oli selvästi havaittavissa vuonna 2018 maissa, joissa asuntojen hintojen arvioidaan olevan yliarvostettuja. Vuonna 2018 Belgia, Itävalta, Ranska ja Yhdistynyt kuningaskunta erottuivat muista jäsenvalt</w:t>
      </w:r>
      <w:r>
        <w:rPr>
          <w:rFonts w:ascii="Times New Roman" w:hAnsi="Times New Roman"/>
          <w:noProof/>
        </w:rPr>
        <w:t>ioista siinä, että niissä asuntojen hinnat olivat yliarvostettuja vaihtelevassa määrin, kotitalouksien velka oli suuri ja lisäksi asuntojen hinnat nousivat vuonna 2018 vähemmän kuin vuonna 2017 (kuvio 25). Tällaiset hintojen nousun hidastumiset voisivat he</w:t>
      </w:r>
      <w:r>
        <w:rPr>
          <w:rFonts w:ascii="Times New Roman" w:hAnsi="Times New Roman"/>
          <w:noProof/>
        </w:rPr>
        <w:t>ijastaa maksukykyrajoituksia, asuntojen tarjonnan elpymistä ja kansallisella tasolla, myös makrotason vakauden valvonnan alalla, käyttöön otettuja politiikkoja.</w:t>
      </w:r>
      <w:r>
        <w:rPr>
          <w:rStyle w:val="FootnoteReference"/>
          <w:rFonts w:ascii="Times New Roman" w:hAnsi="Times New Roman" w:cs="Times New Roman"/>
          <w:noProof/>
        </w:rPr>
        <w:footnoteReference w:id="42"/>
      </w:r>
      <w:r>
        <w:rPr>
          <w:rFonts w:ascii="Times New Roman" w:hAnsi="Times New Roman"/>
          <w:noProof/>
        </w:rPr>
        <w:t xml:space="preserve"> Lisäksi Ruotsissa asuntojen hinnat laskivat vuonna 2018 vuositasolla sekä nimellisesti että re</w:t>
      </w:r>
      <w:r>
        <w:rPr>
          <w:rFonts w:ascii="Times New Roman" w:hAnsi="Times New Roman"/>
          <w:noProof/>
        </w:rPr>
        <w:t>aalisesti, mutta vuoden 2019 kahta ensimmäistä vuosineljännestä koskevat tiedot viittaavat jonkinasteiseen vakiintumiseen. Luxemburgissa ei sitä vastoin ole toteutettu sopeutustoimia, vaan haavoittuvuudet ja yliarvostusriskit lisääntyivät edelleen.</w:t>
      </w:r>
    </w:p>
    <w:p w:rsidR="005C26C8" w:rsidRDefault="00115404">
      <w:pPr>
        <w:pStyle w:val="ListParagraph"/>
        <w:numPr>
          <w:ilvl w:val="0"/>
          <w:numId w:val="11"/>
        </w:numPr>
        <w:spacing w:after="120"/>
        <w:ind w:left="426" w:hanging="284"/>
        <w:contextualSpacing w:val="0"/>
        <w:jc w:val="both"/>
        <w:rPr>
          <w:rFonts w:ascii="Times New Roman" w:hAnsi="Times New Roman" w:cs="Times New Roman"/>
          <w:noProof/>
        </w:rPr>
      </w:pPr>
      <w:r>
        <w:rPr>
          <w:b/>
          <w:noProof/>
        </w:rPr>
        <w:t>Monissa</w:t>
      </w:r>
      <w:r>
        <w:rPr>
          <w:b/>
          <w:noProof/>
        </w:rPr>
        <w:t xml:space="preserve"> jäsenvaltioissa asuntojen hinnat ovat yliarvostettuja ja kotitaloudet raskaasti velkaantuneita</w:t>
      </w:r>
      <w:r>
        <w:rPr>
          <w:noProof/>
        </w:rPr>
        <w:t xml:space="preserve">. Tämä koskee erityisesti Luxemburgia, Ruotsia, Tanskaa ja Yhdistynyttä kuningaskuntaa. Alankomaille on ominaista kotitalouksien erittäin suuri velkaantuneisuus </w:t>
      </w:r>
      <w:r>
        <w:rPr>
          <w:noProof/>
        </w:rPr>
        <w:t>ja korkea hintataso verrattuna tuloihin. Asuntolainakannan kasvu oli vuonna 2018 erityisen nopeaa Bulgariassa, Romaniassa ja Slovakiassa (yli 10 % nopeampaa kuin edellisenä vuonna) sekä Belgiassa, Itävallassa, Liettuassa, Luxemburgissa, Maltassa, Ranskassa</w:t>
      </w:r>
      <w:r>
        <w:rPr>
          <w:noProof/>
        </w:rPr>
        <w:t>, Tšekissä, Unkarissa ja Virossa (yli 5 % edellisvuodesta). Joissakin tapauksissa voimakas kasvu alkoi jo suhteellisen korkealta tasolta, esimerkiksi Belgiassa tai Ranskassa. Kuva muuttuu jonkin verran, kun otetaan huomioon vain uusiin asuntolainoihin liit</w:t>
      </w:r>
      <w:r>
        <w:rPr>
          <w:noProof/>
        </w:rPr>
        <w:t>tyvä velan muutos, toisin sanoen kun takaisinmaksujen vaikutus jätetään huomiotta (kuvio 27).</w:t>
      </w:r>
      <w:r>
        <w:rPr>
          <w:rFonts w:ascii="Times New Roman" w:hAnsi="Times New Roman"/>
          <w:noProof/>
        </w:rPr>
        <w:t xml:space="preserve"> Asuntojen hintojen ja uusien asuntolainojen välinen maakohtainen suhde vaikuttaa heikolta, eikä ole selvää näyttöä siitä, että hinnat nousisivat nopeammin siellä,</w:t>
      </w:r>
      <w:r>
        <w:rPr>
          <w:rFonts w:ascii="Times New Roman" w:hAnsi="Times New Roman"/>
          <w:noProof/>
        </w:rPr>
        <w:t xml:space="preserve"> missä uusia asuntolainoja otetaan enemmän. Tämä viittaa siihen, että luotonannolla ei ole tähän mennessä ollut keskeistä roolia asuntojen hintojen nousun vauhdittamisessa.</w:t>
      </w:r>
      <w:r>
        <w:rPr>
          <w:rStyle w:val="FootnoteReference"/>
          <w:rFonts w:ascii="Times New Roman" w:hAnsi="Times New Roman" w:cs="Times New Roman"/>
          <w:noProof/>
        </w:rPr>
        <w:footnoteReference w:id="43"/>
      </w:r>
      <w:r>
        <w:rPr>
          <w:rFonts w:ascii="Times New Roman" w:hAnsi="Times New Roman"/>
          <w:noProof/>
        </w:rPr>
        <w:t xml:space="preserve"> Monissa maissa, erityisesti Slovakiassa, Luxemburgissa, Saksassa ja Alankomaissa, </w:t>
      </w:r>
      <w:r>
        <w:rPr>
          <w:rFonts w:ascii="Times New Roman" w:hAnsi="Times New Roman"/>
          <w:noProof/>
        </w:rPr>
        <w:t xml:space="preserve">asuntojen hintojen voimakas nousu on kuitenkin yhdistetty asuntolainojen voimakkaaseen kasvuun. </w:t>
      </w:r>
    </w:p>
    <w:p w:rsidR="005C26C8" w:rsidRDefault="005C26C8">
      <w:pPr>
        <w:spacing w:after="120"/>
        <w:jc w:val="center"/>
        <w:rPr>
          <w:rFonts w:ascii="Times New Roman" w:eastAsia="Times New Roman" w:hAnsi="Times New Roman" w:cs="Times New Roman"/>
          <w:b/>
          <w:noProof/>
          <w:sz w:val="24"/>
          <w:szCs w:val="24"/>
        </w:rPr>
      </w:pPr>
    </w:p>
    <w:p w:rsidR="005C26C8" w:rsidRDefault="00115404">
      <w:pPr>
        <w:rPr>
          <w:noProof/>
        </w:rPr>
      </w:pPr>
      <w:r>
        <w:rPr>
          <w:noProof/>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C26C8">
        <w:tc>
          <w:tcPr>
            <w:tcW w:w="4536" w:type="dxa"/>
            <w:tcMar>
              <w:left w:w="0" w:type="dxa"/>
              <w:right w:w="0" w:type="dxa"/>
            </w:tcMar>
          </w:tcPr>
          <w:p w:rsidR="005C26C8" w:rsidRDefault="00115404">
            <w:pPr>
              <w:ind w:left="0"/>
              <w:jc w:val="center"/>
              <w:rPr>
                <w:rFonts w:ascii="Times New Roman" w:eastAsia="Times New Roman" w:hAnsi="Times New Roman" w:cs="Times New Roman"/>
                <w:b/>
                <w:noProof/>
              </w:rPr>
            </w:pPr>
            <w:r>
              <w:rPr>
                <w:rFonts w:ascii="Times New Roman" w:hAnsi="Times New Roman"/>
                <w:b/>
                <w:noProof/>
              </w:rPr>
              <w:t>Kuvio 24: Asuntojen hintojen muutokset ja arvostuserot vuonna 2018</w:t>
            </w:r>
          </w:p>
        </w:tc>
        <w:tc>
          <w:tcPr>
            <w:tcW w:w="4536" w:type="dxa"/>
            <w:tcMar>
              <w:left w:w="0" w:type="dxa"/>
              <w:right w:w="0" w:type="dxa"/>
            </w:tcMar>
          </w:tcPr>
          <w:p w:rsidR="005C26C8" w:rsidRDefault="00115404">
            <w:pPr>
              <w:ind w:left="0"/>
              <w:jc w:val="center"/>
              <w:rPr>
                <w:rFonts w:ascii="Times New Roman" w:eastAsia="Times New Roman" w:hAnsi="Times New Roman" w:cs="Times New Roman"/>
                <w:b/>
                <w:noProof/>
              </w:rPr>
            </w:pPr>
            <w:r>
              <w:rPr>
                <w:rFonts w:ascii="Times New Roman" w:hAnsi="Times New Roman"/>
                <w:b/>
                <w:bCs/>
                <w:noProof/>
              </w:rPr>
              <w:t xml:space="preserve">Kuvio 25: Arvostuserot, muutokset hintojen nousussa vuosina 2017–2018 ja kotitalouksien </w:t>
            </w:r>
            <w:r>
              <w:rPr>
                <w:rFonts w:ascii="Times New Roman" w:hAnsi="Times New Roman"/>
                <w:b/>
                <w:bCs/>
                <w:noProof/>
              </w:rPr>
              <w:t>velka (% kotitalouksien tuloista)</w:t>
            </w:r>
          </w:p>
        </w:tc>
      </w:tr>
      <w:tr w:rsidR="005C26C8">
        <w:tc>
          <w:tcPr>
            <w:tcW w:w="4536" w:type="dxa"/>
            <w:tcMar>
              <w:left w:w="0" w:type="dxa"/>
              <w:right w:w="0" w:type="dxa"/>
            </w:tcMar>
          </w:tcPr>
          <w:p w:rsidR="005C26C8" w:rsidRDefault="00115404">
            <w:pPr>
              <w:spacing w:line="276" w:lineRule="auto"/>
              <w:ind w:left="-89"/>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anchor distT="0" distB="0" distL="114300" distR="114300" simplePos="0" relativeHeight="251696128" behindDoc="0" locked="0" layoutInCell="1" allowOverlap="1">
                  <wp:simplePos x="0" y="0"/>
                  <wp:positionH relativeFrom="column">
                    <wp:posOffset>-7871</wp:posOffset>
                  </wp:positionH>
                  <wp:positionV relativeFrom="paragraph">
                    <wp:posOffset>2769</wp:posOffset>
                  </wp:positionV>
                  <wp:extent cx="2835275" cy="29660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5275" cy="2966085"/>
                          </a:xfrm>
                          <a:prstGeom prst="rect">
                            <a:avLst/>
                          </a:prstGeom>
                          <a:noFill/>
                          <a:ln>
                            <a:noFill/>
                          </a:ln>
                        </pic:spPr>
                      </pic:pic>
                    </a:graphicData>
                  </a:graphic>
                </wp:anchor>
              </w:drawing>
            </w:r>
          </w:p>
        </w:tc>
        <w:tc>
          <w:tcPr>
            <w:tcW w:w="4536" w:type="dxa"/>
            <w:tcMar>
              <w:left w:w="0" w:type="dxa"/>
              <w:right w:w="0" w:type="dxa"/>
            </w:tcMar>
          </w:tcPr>
          <w:p w:rsidR="005C26C8" w:rsidRDefault="00115404">
            <w:pPr>
              <w:spacing w:line="276" w:lineRule="auto"/>
              <w:ind w:left="0"/>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anchor distT="0" distB="0" distL="114300" distR="114300" simplePos="0" relativeHeight="251695104" behindDoc="0" locked="0" layoutInCell="1" allowOverlap="1">
                  <wp:simplePos x="0" y="0"/>
                  <wp:positionH relativeFrom="column">
                    <wp:posOffset>24018</wp:posOffset>
                  </wp:positionH>
                  <wp:positionV relativeFrom="paragraph">
                    <wp:posOffset>2769</wp:posOffset>
                  </wp:positionV>
                  <wp:extent cx="2835275" cy="29432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5275" cy="2943225"/>
                          </a:xfrm>
                          <a:prstGeom prst="rect">
                            <a:avLst/>
                          </a:prstGeom>
                          <a:noFill/>
                          <a:ln>
                            <a:noFill/>
                          </a:ln>
                        </pic:spPr>
                      </pic:pic>
                    </a:graphicData>
                  </a:graphic>
                </wp:anchor>
              </w:drawing>
            </w:r>
          </w:p>
        </w:tc>
      </w:tr>
    </w:tbl>
    <w:p w:rsidR="005C26C8" w:rsidRDefault="00115404">
      <w:pPr>
        <w:ind w:left="0"/>
        <w:jc w:val="both"/>
        <w:rPr>
          <w:rFonts w:ascii="Times New Roman" w:eastAsia="Times New Roman" w:hAnsi="Times New Roman" w:cs="Times New Roman"/>
          <w:noProof/>
          <w:sz w:val="20"/>
          <w:szCs w:val="24"/>
        </w:rPr>
      </w:pPr>
      <w:r>
        <w:rPr>
          <w:rFonts w:ascii="Times New Roman" w:hAnsi="Times New Roman"/>
          <w:i/>
          <w:noProof/>
          <w:sz w:val="20"/>
        </w:rPr>
        <w:t>Lähde:</w:t>
      </w:r>
      <w:r>
        <w:rPr>
          <w:rFonts w:ascii="Times New Roman" w:hAnsi="Times New Roman"/>
          <w:noProof/>
          <w:sz w:val="20"/>
        </w:rPr>
        <w:t xml:space="preserve"> Eurostat ja komission yksiköiden laskelmat.</w:t>
      </w:r>
    </w:p>
    <w:p w:rsidR="005C26C8" w:rsidRDefault="00115404">
      <w:pPr>
        <w:ind w:left="0"/>
        <w:jc w:val="both"/>
        <w:rPr>
          <w:rFonts w:ascii="Times New Roman" w:eastAsia="Times New Roman" w:hAnsi="Times New Roman" w:cs="Times New Roman"/>
          <w:noProof/>
          <w:sz w:val="20"/>
          <w:szCs w:val="24"/>
        </w:rPr>
      </w:pPr>
      <w:r>
        <w:rPr>
          <w:rFonts w:ascii="Times New Roman" w:hAnsi="Times New Roman"/>
          <w:i/>
          <w:noProof/>
          <w:sz w:val="20"/>
        </w:rPr>
        <w:t>Huom.</w:t>
      </w:r>
      <w:r>
        <w:rPr>
          <w:rFonts w:ascii="Times New Roman" w:hAnsi="Times New Roman"/>
          <w:noProof/>
          <w:sz w:val="20"/>
        </w:rPr>
        <w:t xml:space="preserve"> Positiivinen arvostusero arvioidaan seuraavien kolmen parametrin perusteella: hinta-tulosuhteen ja hinta-vuokrasuhteen poikkeamat niiden pitkän aikavälin keski</w:t>
      </w:r>
      <w:r>
        <w:rPr>
          <w:rFonts w:ascii="Times New Roman" w:hAnsi="Times New Roman"/>
          <w:noProof/>
          <w:sz w:val="20"/>
        </w:rPr>
        <w:t xml:space="preserve">arvoista sekä arvostuserojen perustekijämallilla saadut tulokset; ks. alaviite </w:t>
      </w:r>
      <w:r>
        <w:rPr>
          <w:rFonts w:ascii="Times New Roman" w:eastAsia="Times New Roman" w:hAnsi="Times New Roman" w:cs="Times New Roman"/>
          <w:noProof/>
          <w:sz w:val="20"/>
        </w:rPr>
        <w:fldChar w:fldCharType="begin" w:fldLock="1"/>
      </w:r>
      <w:r>
        <w:rPr>
          <w:rFonts w:ascii="Times New Roman" w:eastAsia="Times New Roman" w:hAnsi="Times New Roman" w:cs="Times New Roman"/>
          <w:noProof/>
          <w:sz w:val="20"/>
        </w:rPr>
        <w:instrText xml:space="preserve"> NOTEREF _Ref22917337 \h  \* MERGEFORMAT </w:instrText>
      </w:r>
      <w:r>
        <w:rPr>
          <w:rFonts w:ascii="Times New Roman" w:eastAsia="Times New Roman" w:hAnsi="Times New Roman" w:cs="Times New Roman"/>
          <w:noProof/>
          <w:sz w:val="20"/>
        </w:rPr>
      </w:r>
      <w:r>
        <w:rPr>
          <w:rFonts w:ascii="Times New Roman" w:eastAsia="Times New Roman" w:hAnsi="Times New Roman" w:cs="Times New Roman"/>
          <w:noProof/>
          <w:sz w:val="20"/>
        </w:rPr>
        <w:fldChar w:fldCharType="separate"/>
      </w:r>
      <w:r>
        <w:rPr>
          <w:rFonts w:ascii="Times New Roman" w:eastAsia="Times New Roman" w:hAnsi="Times New Roman" w:cs="Times New Roman"/>
          <w:noProof/>
          <w:sz w:val="20"/>
        </w:rPr>
        <w:t>39</w:t>
      </w:r>
      <w:r>
        <w:rPr>
          <w:rFonts w:ascii="Times New Roman" w:eastAsia="Times New Roman" w:hAnsi="Times New Roman" w:cs="Times New Roman"/>
          <w:noProof/>
          <w:sz w:val="20"/>
        </w:rPr>
        <w:fldChar w:fldCharType="end"/>
      </w:r>
      <w:r>
        <w:rPr>
          <w:rFonts w:ascii="Times New Roman" w:hAnsi="Times New Roman"/>
          <w:noProof/>
          <w:sz w:val="20"/>
        </w:rPr>
        <w:t>. Kuplien koko kuviossa 25 vastaa kotitalouksien velan suhdetta kot</w:t>
      </w:r>
      <w:r>
        <w:rPr>
          <w:rFonts w:ascii="Times New Roman" w:hAnsi="Times New Roman"/>
          <w:noProof/>
          <w:sz w:val="20"/>
        </w:rPr>
        <w:t>italouksien käytettävissä oleviin bruttotuloihin. Kroatian osalta kotitalouksien käytettävissä olevia bruttotuloja koskevia tietoja ei ole saatavilla vuoden 2012 jälkeiseltä ajalta, ja ne ekstrapoloidaan koko talouden käytettävissä olevien bruttotulojen ka</w:t>
      </w:r>
      <w:r>
        <w:rPr>
          <w:rFonts w:ascii="Times New Roman" w:hAnsi="Times New Roman"/>
          <w:noProof/>
          <w:sz w:val="20"/>
        </w:rPr>
        <w:t xml:space="preserve">svun perusteella. Maltaa koskevat tiedot kotitalouksien bruttotuloista puuttuvat, ja niiden osuus bruttokansantulosta on arvioitu 56 prosentiksi. </w:t>
      </w:r>
    </w:p>
    <w:p w:rsidR="005C26C8" w:rsidRDefault="005C26C8">
      <w:pPr>
        <w:spacing w:line="240" w:lineRule="auto"/>
        <w:ind w:left="0"/>
        <w:rPr>
          <w:rFonts w:ascii="Times New Roman" w:eastAsia="Times New Roman" w:hAnsi="Times New Roman" w:cs="Times New Roman"/>
          <w:b/>
          <w:noProof/>
          <w:sz w:val="16"/>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57"/>
        <w:gridCol w:w="4479"/>
        <w:gridCol w:w="57"/>
      </w:tblGrid>
      <w:tr w:rsidR="005C26C8">
        <w:trPr>
          <w:trHeight w:val="874"/>
        </w:trPr>
        <w:tc>
          <w:tcPr>
            <w:tcW w:w="4536" w:type="dxa"/>
            <w:gridSpan w:val="2"/>
            <w:tcMar>
              <w:left w:w="0" w:type="dxa"/>
              <w:right w:w="0" w:type="dxa"/>
            </w:tcMar>
          </w:tcPr>
          <w:p w:rsidR="005C26C8" w:rsidRDefault="00115404">
            <w:pPr>
              <w:ind w:left="34"/>
              <w:jc w:val="both"/>
              <w:rPr>
                <w:rFonts w:ascii="Times New Roman" w:eastAsia="Times New Roman" w:hAnsi="Times New Roman" w:cs="Times New Roman"/>
                <w:b/>
                <w:noProof/>
              </w:rPr>
            </w:pPr>
            <w:r>
              <w:rPr>
                <w:rFonts w:ascii="Times New Roman" w:hAnsi="Times New Roman"/>
                <w:b/>
                <w:noProof/>
              </w:rPr>
              <w:t>Kuvio 26:</w:t>
            </w:r>
            <w:r>
              <w:rPr>
                <w:noProof/>
              </w:rPr>
              <w:t xml:space="preserve"> </w:t>
            </w:r>
            <w:r>
              <w:rPr>
                <w:rFonts w:ascii="Times New Roman" w:hAnsi="Times New Roman"/>
                <w:b/>
                <w:noProof/>
              </w:rPr>
              <w:t xml:space="preserve">Asuntojen hintataso verrattuna tuloihin ja asuntojen reaalihintaindeksit verrattuna korkeimpiin </w:t>
            </w:r>
            <w:r>
              <w:rPr>
                <w:rFonts w:ascii="Times New Roman" w:hAnsi="Times New Roman"/>
                <w:b/>
                <w:noProof/>
              </w:rPr>
              <w:t>tasoihin, 2018</w:t>
            </w:r>
          </w:p>
        </w:tc>
        <w:tc>
          <w:tcPr>
            <w:tcW w:w="4536" w:type="dxa"/>
            <w:gridSpan w:val="2"/>
            <w:tcMar>
              <w:left w:w="0" w:type="dxa"/>
              <w:right w:w="0" w:type="dxa"/>
            </w:tcMar>
          </w:tcPr>
          <w:p w:rsidR="005C26C8" w:rsidRDefault="00115404">
            <w:pPr>
              <w:spacing w:line="276" w:lineRule="auto"/>
              <w:ind w:left="180"/>
              <w:jc w:val="both"/>
              <w:rPr>
                <w:rFonts w:ascii="Times New Roman" w:eastAsia="Times New Roman" w:hAnsi="Times New Roman" w:cs="Times New Roman"/>
                <w:b/>
                <w:noProof/>
              </w:rPr>
            </w:pPr>
            <w:r>
              <w:rPr>
                <w:rFonts w:ascii="Times New Roman" w:hAnsi="Times New Roman"/>
                <w:b/>
                <w:bCs/>
                <w:noProof/>
              </w:rPr>
              <w:t>Kuvio 27: Asuntojen hintojen nousu ja uudet asuntoluotot vuonna 2018</w:t>
            </w:r>
          </w:p>
        </w:tc>
      </w:tr>
      <w:tr w:rsidR="005C26C8">
        <w:trPr>
          <w:gridAfter w:val="1"/>
          <w:wAfter w:w="57" w:type="dxa"/>
          <w:trHeight w:val="4479"/>
        </w:trPr>
        <w:tc>
          <w:tcPr>
            <w:tcW w:w="4479" w:type="dxa"/>
            <w:tcMar>
              <w:left w:w="0" w:type="dxa"/>
              <w:right w:w="0" w:type="dxa"/>
            </w:tcMar>
          </w:tcPr>
          <w:p w:rsidR="005C26C8" w:rsidRDefault="00115404">
            <w:pPr>
              <w:ind w:left="-111"/>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anchor distT="0" distB="0" distL="114300" distR="114300" simplePos="0" relativeHeight="251694080" behindDoc="0" locked="0" layoutInCell="1" allowOverlap="1">
                  <wp:simplePos x="0" y="0"/>
                  <wp:positionH relativeFrom="column">
                    <wp:posOffset>45917</wp:posOffset>
                  </wp:positionH>
                  <wp:positionV relativeFrom="paragraph">
                    <wp:posOffset>-53178</wp:posOffset>
                  </wp:positionV>
                  <wp:extent cx="2796209" cy="3006772"/>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3521" cy="30146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gridSpan w:val="2"/>
            <w:tcMar>
              <w:left w:w="0" w:type="dxa"/>
              <w:right w:w="0" w:type="dxa"/>
            </w:tcMar>
          </w:tcPr>
          <w:p w:rsidR="005C26C8" w:rsidRDefault="00115404">
            <w:pPr>
              <w:ind w:left="0"/>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lang w:val="en-GB" w:eastAsia="en-GB"/>
              </w:rPr>
              <w:drawing>
                <wp:anchor distT="0" distB="0" distL="114300" distR="114300" simplePos="0" relativeHeight="251697152" behindDoc="0" locked="0" layoutInCell="1" allowOverlap="1">
                  <wp:simplePos x="0" y="0"/>
                  <wp:positionH relativeFrom="column">
                    <wp:posOffset>45720</wp:posOffset>
                  </wp:positionH>
                  <wp:positionV relativeFrom="paragraph">
                    <wp:posOffset>-3810</wp:posOffset>
                  </wp:positionV>
                  <wp:extent cx="2795905" cy="30067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5905" cy="3006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C26C8" w:rsidRDefault="00115404">
      <w:pPr>
        <w:ind w:left="0"/>
        <w:jc w:val="both"/>
        <w:rPr>
          <w:rFonts w:ascii="Times New Roman" w:eastAsia="Times New Roman" w:hAnsi="Times New Roman" w:cs="Times New Roman"/>
          <w:noProof/>
          <w:sz w:val="20"/>
          <w:szCs w:val="24"/>
        </w:rPr>
      </w:pPr>
      <w:r>
        <w:rPr>
          <w:rFonts w:ascii="Times New Roman" w:hAnsi="Times New Roman"/>
          <w:i/>
          <w:noProof/>
          <w:sz w:val="20"/>
        </w:rPr>
        <w:t>Lähde:</w:t>
      </w:r>
      <w:r>
        <w:rPr>
          <w:rFonts w:ascii="Times New Roman" w:hAnsi="Times New Roman"/>
          <w:noProof/>
          <w:sz w:val="20"/>
        </w:rPr>
        <w:t xml:space="preserve"> Eurostat ja komission yksiköiden laskelmat.</w:t>
      </w:r>
    </w:p>
    <w:p w:rsidR="005C26C8" w:rsidRDefault="00115404">
      <w:pPr>
        <w:ind w:left="0"/>
        <w:jc w:val="both"/>
        <w:rPr>
          <w:rFonts w:ascii="Times New Roman" w:eastAsia="Times New Roman" w:hAnsi="Times New Roman" w:cs="Times New Roman"/>
          <w:noProof/>
          <w:sz w:val="20"/>
          <w:szCs w:val="24"/>
        </w:rPr>
      </w:pPr>
      <w:r>
        <w:rPr>
          <w:rFonts w:ascii="Times New Roman" w:hAnsi="Times New Roman"/>
          <w:i/>
          <w:noProof/>
          <w:sz w:val="20"/>
        </w:rPr>
        <w:t>Huom.</w:t>
      </w:r>
      <w:r>
        <w:rPr>
          <w:rFonts w:ascii="Times New Roman" w:hAnsi="Times New Roman"/>
          <w:noProof/>
          <w:sz w:val="20"/>
        </w:rPr>
        <w:t xml:space="preserve"> Uusia asuntoluottoja koskevat tiedot puuttuvat kuuden maan (Bulgaria, Malta, Ranska, Ruotsi, Tanska ja Yhdistynyt kuningaskunta) osalta. Hintataso verrattuna tulotasoon mitataan 100 neliömetrin asunnon hinnan ja kotitalouksien käytettävissä olevien keskim</w:t>
      </w:r>
      <w:r>
        <w:rPr>
          <w:rFonts w:ascii="Times New Roman" w:hAnsi="Times New Roman"/>
          <w:noProof/>
          <w:sz w:val="20"/>
        </w:rPr>
        <w:t>ääräisten tulojen suhteena. Kroatian osalta tietoja kotitalouksien käytettävissä olevista bruttotuloista henkeä kohden ei ole saatavilla vuoden 2012 jälkeiseltä ajalta, ja ne ekstrapoloidaan koko talouden käytettävissä olevien bruttotulojen kasvun perustee</w:t>
      </w:r>
      <w:r>
        <w:rPr>
          <w:rFonts w:ascii="Times New Roman" w:hAnsi="Times New Roman"/>
          <w:noProof/>
          <w:sz w:val="20"/>
        </w:rPr>
        <w:t>lla. Maltaa koskevat tiedot kotitalouksien bruttotuloista puuttuvat, ja niiden osuus bruttokansantulosta on arvioitu 56 prosentiksi.</w:t>
      </w:r>
    </w:p>
    <w:p w:rsidR="005C26C8" w:rsidRDefault="005C26C8">
      <w:pPr>
        <w:spacing w:after="120"/>
        <w:ind w:left="0"/>
        <w:jc w:val="both"/>
        <w:rPr>
          <w:rFonts w:ascii="Times New Roman" w:eastAsia="Times New Roman" w:hAnsi="Times New Roman" w:cs="Times New Roman"/>
          <w:b/>
          <w:noProof/>
          <w:u w:val="single"/>
        </w:rPr>
      </w:pPr>
    </w:p>
    <w:p w:rsidR="005C26C8" w:rsidRDefault="00115404">
      <w:pPr>
        <w:spacing w:after="120"/>
        <w:ind w:left="0"/>
        <w:jc w:val="both"/>
        <w:rPr>
          <w:rFonts w:ascii="Times New Roman" w:eastAsia="Times New Roman" w:hAnsi="Times New Roman" w:cs="Times New Roman"/>
          <w:noProof/>
        </w:rPr>
      </w:pPr>
      <w:r>
        <w:rPr>
          <w:rFonts w:ascii="Times New Roman" w:hAnsi="Times New Roman"/>
          <w:b/>
          <w:noProof/>
        </w:rPr>
        <w:t>Julkisen talouden velkasuhteet ovat supistuneet edelleen useimmissa EU:n jäsenvaltioissa, mutta eivät joissakin jäsenvalti</w:t>
      </w:r>
      <w:r>
        <w:rPr>
          <w:rFonts w:ascii="Times New Roman" w:hAnsi="Times New Roman"/>
          <w:b/>
          <w:noProof/>
        </w:rPr>
        <w:t>oissa, joissa ne ovat suurimmat.</w:t>
      </w:r>
      <w:r>
        <w:rPr>
          <w:rFonts w:ascii="Times New Roman" w:hAnsi="Times New Roman"/>
          <w:noProof/>
        </w:rPr>
        <w:t xml:space="preserve"> Velkasuhteet ylittivät tulostaulun kynnysarvon 14 jäsenvaltiossa vuonna 2018, kun vuonna 2017 näin oli 15 jäsenvaltiossa. Belgian, Italian, Kreikan, Kyproksen ja Portugalin velka on vähintään 100 prosenttia suhteessa BKT:he</w:t>
      </w:r>
      <w:r>
        <w:rPr>
          <w:rFonts w:ascii="Times New Roman" w:hAnsi="Times New Roman"/>
          <w:noProof/>
        </w:rPr>
        <w:t>n, ja Espanjan ja Ranskan velka on hieman tätä pienempi. Seitsemässä maassa (Belgia, Espanja, Irlanti, Kypros, Portugali, Ranska ja Yhdistynyt kuningaskunta) julkisen velan määrä on yli 60 prosenttia suhteessa BKT:hen ja myös yksityisen sektorin velkaantun</w:t>
      </w:r>
      <w:r>
        <w:rPr>
          <w:rFonts w:ascii="Times New Roman" w:hAnsi="Times New Roman"/>
          <w:noProof/>
        </w:rPr>
        <w:t>eisuus ylittää tulostaulun kynnysarvon. Vuonna 2018 julkisen talouden velkasuhteet supistuivat edelleen, mutta usein hieman vähemmän kuin edellisenä vuonna, mikä johtui julkisen talouden rahoitusaseman löyhentymisestä ja nimellisen BKT:n kasvun jo jonkinas</w:t>
      </w:r>
      <w:r>
        <w:rPr>
          <w:rFonts w:ascii="Times New Roman" w:hAnsi="Times New Roman"/>
          <w:noProof/>
        </w:rPr>
        <w:t>teisesta hidastumisesta. Jotkin suurimmista julkisen talouden velkasuhteista eivät kuitenkaan kohentuneet tai ne jopa kasvoivat entisestään vuonna 2018: julkinen velka pysyi muuttumattomana Ranskassa ja kasvoi Italiassa, Kreikassa ja Kyproksessa. Vaikka tä</w:t>
      </w:r>
      <w:r>
        <w:rPr>
          <w:rFonts w:ascii="Times New Roman" w:hAnsi="Times New Roman"/>
          <w:noProof/>
        </w:rPr>
        <w:t>mä johtui eräissä tapauksissa poikkeuksellisen suurista velkaa kasvattavista virta-varanto-korjauseristä, toisissa tapauksissa se on merkki julkisen talouden vakauttamisen puutteesta. Valtion joukkovelkakirjalainojen tuotto on kuitenkin pienentynyt ja supi</w:t>
      </w:r>
      <w:r>
        <w:rPr>
          <w:rFonts w:ascii="Times New Roman" w:hAnsi="Times New Roman"/>
          <w:noProof/>
        </w:rPr>
        <w:t>stunut edelleen myös vuoden 2019 aikana jopa velkaantuneimpien lainanottajavaltioiden osalta. Tuotot olivat kaikkien aikojen pienimmät. Velkasuhteen ennustetaan kasvavan vuosina 2019–2021 erityisesti Romaniassa, mutta myös Italiassa ja vähäisemmässä määrin</w:t>
      </w:r>
      <w:r>
        <w:rPr>
          <w:rFonts w:ascii="Times New Roman" w:hAnsi="Times New Roman"/>
          <w:noProof/>
        </w:rPr>
        <w:t xml:space="preserve"> Suomessa ja Ranskassa. Useimmissa muissa EU-maissa velkasuhde supistuu jonkin verran vähemmän kuin viime aikoina. </w:t>
      </w:r>
    </w:p>
    <w:p w:rsidR="005C26C8" w:rsidRDefault="005C26C8">
      <w:pPr>
        <w:spacing w:after="60"/>
        <w:ind w:left="0"/>
        <w:jc w:val="both"/>
        <w:rPr>
          <w:rFonts w:ascii="Times New Roman" w:eastAsia="Times New Roman" w:hAnsi="Times New Roman" w:cs="Times New Roman"/>
          <w:noProof/>
        </w:rPr>
      </w:pPr>
    </w:p>
    <w:p w:rsidR="005C26C8" w:rsidRDefault="00115404">
      <w:pPr>
        <w:rPr>
          <w:rFonts w:ascii="Times New Roman" w:eastAsia="Times New Roman" w:hAnsi="Times New Roman" w:cs="Times New Roman"/>
          <w:i/>
          <w:noProof/>
          <w:sz w:val="20"/>
          <w:szCs w:val="20"/>
        </w:rPr>
      </w:pPr>
      <w:r>
        <w:rPr>
          <w:noProof/>
        </w:rPr>
        <w:br w:type="page"/>
      </w:r>
    </w:p>
    <w:p w:rsidR="005C26C8" w:rsidRDefault="005C26C8">
      <w:pPr>
        <w:spacing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C26C8">
        <w:trPr>
          <w:trHeight w:val="557"/>
        </w:trPr>
        <w:tc>
          <w:tcPr>
            <w:tcW w:w="9288" w:type="dxa"/>
            <w:tcBorders>
              <w:top w:val="single" w:sz="4" w:space="0" w:color="auto"/>
              <w:left w:val="single" w:sz="4" w:space="0" w:color="auto"/>
              <w:bottom w:val="single" w:sz="4" w:space="0" w:color="auto"/>
              <w:right w:val="single" w:sz="4" w:space="0" w:color="auto"/>
            </w:tcBorders>
            <w:shd w:val="clear" w:color="auto" w:fill="BFBFBF"/>
          </w:tcPr>
          <w:p w:rsidR="005C26C8" w:rsidRDefault="00115404">
            <w:pPr>
              <w:spacing w:before="120" w:after="120"/>
              <w:ind w:left="0"/>
              <w:jc w:val="both"/>
              <w:rPr>
                <w:rFonts w:ascii="Times New Roman" w:eastAsia="Times New Roman" w:hAnsi="Times New Roman" w:cs="Times New Roman"/>
                <w:b/>
                <w:i/>
                <w:noProof/>
              </w:rPr>
            </w:pPr>
            <w:r>
              <w:rPr>
                <w:rFonts w:ascii="Times New Roman" w:hAnsi="Times New Roman"/>
                <w:b/>
                <w:noProof/>
              </w:rPr>
              <w:t>Laatikko 1:</w:t>
            </w:r>
            <w:r>
              <w:rPr>
                <w:rFonts w:ascii="Times New Roman" w:hAnsi="Times New Roman"/>
                <w:b/>
                <w:i/>
                <w:noProof/>
              </w:rPr>
              <w:t xml:space="preserve"> </w:t>
            </w:r>
            <w:r>
              <w:rPr>
                <w:rFonts w:ascii="Times New Roman" w:hAnsi="Times New Roman"/>
                <w:b/>
                <w:bCs/>
                <w:noProof/>
              </w:rPr>
              <w:t>Työllisyys ja sosiaalinen kehitys</w:t>
            </w:r>
          </w:p>
          <w:p w:rsidR="005C26C8" w:rsidRDefault="00115404">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noProof/>
              </w:rPr>
              <w:t xml:space="preserve">EU:n työmarkkinat paranivat edelleen vuonna 2018, vaikka talouden toimeliaisuus hidastui vuoden jälkipuoliskolla. </w:t>
            </w:r>
            <w:r>
              <w:rPr>
                <w:rFonts w:ascii="Times New Roman" w:hAnsi="Times New Roman"/>
                <w:noProof/>
              </w:rPr>
              <w:t>Työllisyys on kasvanut edelleen EU:ssa, ja työllisten määrä on noussut ennätykselliseksi. Työttömyys on vähentynyt kaikissa EU:n jäsenvaltiois</w:t>
            </w:r>
            <w:r>
              <w:rPr>
                <w:rFonts w:ascii="Times New Roman" w:hAnsi="Times New Roman"/>
                <w:noProof/>
              </w:rPr>
              <w:t xml:space="preserve">sa, erityisesti niissä, joissa se on korkea, mikä on supistanut maiden välisiä eroja, vaikka monissa jäsenvaltioissa työttömyys on edelleen korkealla tasolla. </w:t>
            </w:r>
            <w:r>
              <w:rPr>
                <w:rFonts w:ascii="Times New Roman" w:hAnsi="Times New Roman"/>
                <w:bCs/>
                <w:noProof/>
              </w:rPr>
              <w:t xml:space="preserve">Työttömyyden väheneminen hidastui vuoden 2019 alkupuoliskolla, mikä saattaa johtua myös jäljellä </w:t>
            </w:r>
            <w:r>
              <w:rPr>
                <w:rFonts w:ascii="Times New Roman" w:hAnsi="Times New Roman"/>
                <w:bCs/>
                <w:noProof/>
              </w:rPr>
              <w:t xml:space="preserve">olevan työvoimareservin pienenemisestä. </w:t>
            </w:r>
            <w:r>
              <w:rPr>
                <w:rFonts w:ascii="Times New Roman" w:hAnsi="Times New Roman"/>
                <w:noProof/>
              </w:rPr>
              <w:t>Talouden elpyminen on edistänyt myös useimpien köyhyysindikaattoreiden paranemista, mutta sosiaalinen tilanne on edelleen huolestuttava joissakin jäsenvaltioissa. Vuodesta 2008 lähtien köyhyyden ja sosiaalisen syrjäy</w:t>
            </w:r>
            <w:r>
              <w:rPr>
                <w:rFonts w:ascii="Times New Roman" w:hAnsi="Times New Roman"/>
                <w:noProof/>
              </w:rPr>
              <w:t>tymisen riski on pienentynyt useimmissa EU:n jäsenvaltioissa (7 miljoonaa ihmistä vähemmän kuin vuonna 2008;</w:t>
            </w:r>
            <w:r>
              <w:rPr>
                <w:noProof/>
              </w:rPr>
              <w:t xml:space="preserve"> </w:t>
            </w:r>
            <w:r>
              <w:rPr>
                <w:rFonts w:ascii="Times New Roman" w:hAnsi="Times New Roman"/>
                <w:noProof/>
              </w:rPr>
              <w:t>noin 13 miljoonaa vähemmän verrattuna vuoteen 2012). Samoin vakava aineellinen puute on vähentynyt erityisesti Keski- ja Itä-Euroopan maissa, joiss</w:t>
            </w:r>
            <w:r>
              <w:rPr>
                <w:rFonts w:ascii="Times New Roman" w:hAnsi="Times New Roman"/>
                <w:noProof/>
              </w:rPr>
              <w:t>a lähtötaso on korkea. Suhteellinen köyhyysriski on kuitenkin monissa jäsenvaltioissa yhä kriisiä edeltäneen tason yläpuolella. Kaiken kaikkiaan vakavien makrotaloudellisten heikkouksien purkaminen on heikentänyt kyseisten maiden työllisyys- ja sosiaalista</w:t>
            </w:r>
            <w:r>
              <w:rPr>
                <w:rFonts w:ascii="Times New Roman" w:hAnsi="Times New Roman"/>
                <w:noProof/>
              </w:rPr>
              <w:t xml:space="preserve"> tilannetta. Erityisesti niissä jäsenvaltioissa, joissa on liiallisia epätasapainoja, työllisyystilanne ja sosiaalinen kehitys ovat edelleen heikkoja. Niiden maiden tilanne, joissa on epätasapainoja, vaihtelee jonkin verran, mikä johtuu myös epätasapainoje</w:t>
            </w:r>
            <w:r>
              <w:rPr>
                <w:rFonts w:ascii="Times New Roman" w:hAnsi="Times New Roman"/>
                <w:noProof/>
              </w:rPr>
              <w:t>n erilaisesta luonteesta ja vakavuudesta.</w:t>
            </w:r>
          </w:p>
          <w:p w:rsidR="005C26C8" w:rsidRDefault="00115404">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iCs/>
                <w:noProof/>
              </w:rPr>
              <w:t>Työttömyysaste</w:t>
            </w:r>
            <w:r>
              <w:rPr>
                <w:rFonts w:ascii="Times New Roman" w:hAnsi="Times New Roman"/>
                <w:b/>
                <w:bCs/>
                <w:noProof/>
              </w:rPr>
              <w:t xml:space="preserve"> aleni vuonna 2018 edelleen kaikissa jäsenvaltioissa, mutta on edelleen korkea eräissä jäsenvaltioissa. </w:t>
            </w:r>
            <w:r>
              <w:rPr>
                <w:rFonts w:ascii="Times New Roman" w:hAnsi="Times New Roman"/>
                <w:noProof/>
              </w:rPr>
              <w:t>Työttömyys väheni eniten maissa, joissa työttömyysaste on korkea (vähennys oli yli 2 prosenttiyksikköä Kreikassa, Kroatiassa ja Kyproksessa). Viidessä jäsenvaltiossa (Espanjassa, Italiassa, Kreikassa, Kroatiassa ja Kyproksessa) työttömyysasteet ylittivät v</w:t>
            </w:r>
            <w:r>
              <w:rPr>
                <w:rFonts w:ascii="Times New Roman" w:hAnsi="Times New Roman"/>
                <w:noProof/>
              </w:rPr>
              <w:t>uonna 2018 kuitenkin edelleen tulostaulun indikaattorin kynnysarvon, joka on 10 prosenttia viimeksi kuluneiden kolmen vuoden jaksolta laskettuna keskiarvona. Työttömyysasteet alittivat vuonna 2018 merkittävästi eli noin 4 prosenttiyksiköllä vuonna 2013 kir</w:t>
            </w:r>
            <w:r>
              <w:rPr>
                <w:rFonts w:ascii="Times New Roman" w:hAnsi="Times New Roman"/>
                <w:noProof/>
              </w:rPr>
              <w:t xml:space="preserve">jatut huippulukemat, mutta noin puolessa jäsenvaltioista ne ovat edelleen korkeampia kuin vuonna 2008. Työttömyysasteet laskivat edelleen vuoden 2019 ensimmäisellä puoliskolla: EU:n työttömyysaste laski 6,3 prosenttiin ja euroalueen 7,5 prosenttiin vuoden </w:t>
            </w:r>
            <w:r>
              <w:rPr>
                <w:rFonts w:ascii="Times New Roman" w:hAnsi="Times New Roman"/>
                <w:noProof/>
              </w:rPr>
              <w:t xml:space="preserve">2019 kolmannella neljänneksellä. </w:t>
            </w:r>
          </w:p>
          <w:p w:rsidR="005C26C8" w:rsidRDefault="00115404">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iCs/>
                <w:noProof/>
              </w:rPr>
              <w:t>Työllisyysasteet paranivat</w:t>
            </w:r>
            <w:r>
              <w:rPr>
                <w:rFonts w:ascii="Times New Roman" w:hAnsi="Times New Roman"/>
                <w:b/>
                <w:bCs/>
                <w:noProof/>
              </w:rPr>
              <w:t xml:space="preserve"> edelleen kaikissa jäsenvaltioissa. </w:t>
            </w:r>
            <w:r>
              <w:rPr>
                <w:rFonts w:ascii="Times New Roman" w:hAnsi="Times New Roman"/>
                <w:noProof/>
              </w:rPr>
              <w:t>EU:n työllisyysaste (20–64-vuotiaat) oli vuonna 2018 korkeimmillaan 73,2 prosenttia (euroalueella 72,0 %), ja se parani edelleen vuoden 2019 toisella neljänneks</w:t>
            </w:r>
            <w:r>
              <w:rPr>
                <w:rFonts w:ascii="Times New Roman" w:hAnsi="Times New Roman"/>
                <w:noProof/>
              </w:rPr>
              <w:t>ellä ja oli ennätykselliset 73,9 prosenttia, mikä on selvästi enemmän kuin kriisiä edeltänyt 70,2 prosentin huipputaso vuonna 2008. Työntekijöiden määrä kasvoi vuoteen 2017 verrattuna eniten Maltassa (5,4 %), Kyproksessa (4,1 %), Luxemburgissa (3,7 %) ja I</w:t>
            </w:r>
            <w:r>
              <w:rPr>
                <w:rFonts w:ascii="Times New Roman" w:hAnsi="Times New Roman"/>
                <w:noProof/>
              </w:rPr>
              <w:t>rlannissa (3,2 %), ja vähiten Puolassa (0,3 %), Romaniassa (0,2 %) ja Italiassa (0,9 %).</w:t>
            </w:r>
          </w:p>
          <w:p w:rsidR="005C26C8" w:rsidRDefault="00115404">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iCs/>
                <w:noProof/>
              </w:rPr>
              <w:t>Työvoimaosuudet</w:t>
            </w:r>
            <w:r>
              <w:rPr>
                <w:rFonts w:ascii="Times New Roman" w:hAnsi="Times New Roman"/>
                <w:b/>
                <w:bCs/>
                <w:noProof/>
              </w:rPr>
              <w:t xml:space="preserve"> kasvoivat edelleen lähes kaikkialla EU:ssa. </w:t>
            </w:r>
            <w:r>
              <w:rPr>
                <w:rFonts w:ascii="Times New Roman" w:hAnsi="Times New Roman"/>
                <w:noProof/>
              </w:rPr>
              <w:t>Työvoimaosuus (15–64-vuotiaat) on kolmen viime vuoden aikana supistunut ainoastaan kahdessa maassa: Kroatia</w:t>
            </w:r>
            <w:r>
              <w:rPr>
                <w:rFonts w:ascii="Times New Roman" w:hAnsi="Times New Roman"/>
                <w:noProof/>
              </w:rPr>
              <w:t xml:space="preserve"> ja Espanja ylittivät molemmat tulostaulun kynnysarvon, joka on –0,2 (–0,6 prosenttiyksikköä molemmissa tapauksissa). Kaiken kaikkiaan EU:n ja euroalueen työvoimaosuudet olivat vuonna 2018 ennätyksellisen korkeat (EU 73,7 % ja euroalue 73,4 %) eli noin 3,5</w:t>
            </w:r>
            <w:r>
              <w:rPr>
                <w:rFonts w:ascii="Times New Roman" w:hAnsi="Times New Roman"/>
                <w:noProof/>
              </w:rPr>
              <w:t xml:space="preserve"> ja 2,5 prosenttiyksikköä enemmän kuin ennen kriisiä. Tämä johtui pääasiassa siitä, että ikääntyneiden työntekijöiden ja naisten työvoimaosuus kasvoi. </w:t>
            </w:r>
          </w:p>
          <w:p w:rsidR="005C26C8" w:rsidRDefault="00115404">
            <w:pPr>
              <w:autoSpaceDE w:val="0"/>
              <w:autoSpaceDN w:val="0"/>
              <w:adjustRightInd w:val="0"/>
              <w:spacing w:after="120"/>
              <w:ind w:left="0"/>
              <w:jc w:val="both"/>
              <w:rPr>
                <w:rFonts w:ascii="Times New Roman" w:hAnsi="Times New Roman" w:cs="Times New Roman"/>
                <w:noProof/>
                <w:color w:val="000000"/>
              </w:rPr>
            </w:pPr>
            <w:r>
              <w:rPr>
                <w:rFonts w:ascii="Times New Roman" w:hAnsi="Times New Roman"/>
                <w:b/>
                <w:bCs/>
                <w:i/>
                <w:noProof/>
              </w:rPr>
              <w:t>Pitkäaikais</w:t>
            </w:r>
            <w:r>
              <w:rPr>
                <w:rFonts w:ascii="Times New Roman" w:hAnsi="Times New Roman"/>
                <w:b/>
                <w:bCs/>
                <w:noProof/>
              </w:rPr>
              <w:t xml:space="preserve">- ja </w:t>
            </w:r>
            <w:r>
              <w:rPr>
                <w:rFonts w:ascii="Times New Roman" w:hAnsi="Times New Roman"/>
                <w:b/>
                <w:bCs/>
                <w:i/>
                <w:noProof/>
              </w:rPr>
              <w:t>nuorisotyöttömyys</w:t>
            </w:r>
            <w:r>
              <w:rPr>
                <w:rFonts w:ascii="Times New Roman" w:hAnsi="Times New Roman"/>
                <w:b/>
                <w:bCs/>
                <w:noProof/>
              </w:rPr>
              <w:t xml:space="preserve"> parani voimakkaammin kuin muut työmarkkinat, mutta se on edelleen kork</w:t>
            </w:r>
            <w:r>
              <w:rPr>
                <w:rFonts w:ascii="Times New Roman" w:hAnsi="Times New Roman"/>
                <w:b/>
                <w:bCs/>
                <w:noProof/>
              </w:rPr>
              <w:t xml:space="preserve">ea useissa EU-maissa. </w:t>
            </w:r>
            <w:r>
              <w:rPr>
                <w:rFonts w:ascii="Times New Roman" w:hAnsi="Times New Roman"/>
                <w:i/>
                <w:iCs/>
                <w:noProof/>
              </w:rPr>
              <w:t>Pitkäaikaistyöttömyys</w:t>
            </w:r>
            <w:r>
              <w:rPr>
                <w:rFonts w:ascii="Times New Roman" w:hAnsi="Times New Roman"/>
                <w:noProof/>
              </w:rPr>
              <w:t xml:space="preserve"> väheni kaikissa jäsenvaltioissa vuonna 2018, ja kaikissa maissa se oli alhaisempi kuin kolme vuotta aikaisemmin. Korkeimmat pitkäaikaistyöttömyysasteet olivat Kreikassa (13,6 %), Espanjassa (6,4 %), Italiassa (6,</w:t>
            </w:r>
            <w:r>
              <w:rPr>
                <w:rFonts w:ascii="Times New Roman" w:hAnsi="Times New Roman"/>
                <w:noProof/>
              </w:rPr>
              <w:t xml:space="preserve">2 %) ja Slovakiassa (4 %), mutta kaikki Italiaa lukuun ottamatta kirjasivat huomattavan vähennyksen vuoteen 2015 verrattuna (noin 5 prosenttiyksikköä Espanjassa, 4,6 prosenttiyksikköä Kreikassa ja 3,6 prosenttiyksikköä Slovakiassa). </w:t>
            </w:r>
            <w:r>
              <w:rPr>
                <w:rFonts w:ascii="Times New Roman" w:hAnsi="Times New Roman"/>
                <w:i/>
                <w:iCs/>
                <w:noProof/>
              </w:rPr>
              <w:t>Nuorisotyöttömyysaste</w:t>
            </w:r>
            <w:r>
              <w:rPr>
                <w:rFonts w:ascii="Times New Roman" w:hAnsi="Times New Roman"/>
                <w:noProof/>
              </w:rPr>
              <w:t xml:space="preserve"> l</w:t>
            </w:r>
            <w:r>
              <w:rPr>
                <w:rFonts w:ascii="Times New Roman" w:hAnsi="Times New Roman"/>
                <w:noProof/>
              </w:rPr>
              <w:t>aski kaikissa EU:n jäsenvaltioissa kolmen vuotta 2018 edeltäneen vuoden aikana. Lasku oli kyseisellä ajanjaksolla vähintään 10 prosenttiyksikköä Espanjassa, Kroatiassa, Kyproksessa, Portugalissa ja Slovakiassa. Nuorisotyöttömyysaste on kuitenkin edelleen y</w:t>
            </w:r>
            <w:r>
              <w:rPr>
                <w:rFonts w:ascii="Times New Roman" w:hAnsi="Times New Roman"/>
                <w:noProof/>
              </w:rPr>
              <w:t>li 30 prosenttia Espanjassa, Italiassa ja Kreikassa. Samaan aikaan 9,6 prosenttia (15–24-vuotiaista) nuorista EU:ssa ei ollut vuonna 2018 työelämässä tai koulutuksessa. Lisäksi useissa jäsenvaltioissa (Bulgaria, Espanja, Italia, Kreikka, Kroatia, Kypros ja</w:t>
            </w:r>
            <w:r>
              <w:rPr>
                <w:rFonts w:ascii="Times New Roman" w:hAnsi="Times New Roman"/>
                <w:noProof/>
              </w:rPr>
              <w:t xml:space="preserve"> Romania) kyseinen osuus oli yli 12 prosenttia.</w:t>
            </w:r>
          </w:p>
          <w:p w:rsidR="005C26C8" w:rsidRDefault="00115404">
            <w:pPr>
              <w:pStyle w:val="Default"/>
              <w:spacing w:after="120" w:line="276" w:lineRule="auto"/>
              <w:ind w:left="0"/>
              <w:jc w:val="both"/>
              <w:rPr>
                <w:noProof/>
                <w:sz w:val="22"/>
                <w:szCs w:val="22"/>
              </w:rPr>
            </w:pPr>
            <w:r>
              <w:rPr>
                <w:b/>
                <w:noProof/>
                <w:sz w:val="22"/>
                <w:szCs w:val="22"/>
              </w:rPr>
              <w:t>Köyhyys ja sosiaalinen syrjäytyminen ovat vähentyneet entisestään, mutta ne ovat edelleen korkealla tasolla joissakin jäsenvaltioissa</w:t>
            </w:r>
            <w:r>
              <w:rPr>
                <w:noProof/>
                <w:sz w:val="22"/>
                <w:szCs w:val="22"/>
              </w:rPr>
              <w:t xml:space="preserve">. Köyhyysriskin tai sosiaalisen syrjäytymisen riskin alaisen väestön osuus </w:t>
            </w:r>
            <w:r>
              <w:rPr>
                <w:noProof/>
                <w:sz w:val="22"/>
                <w:szCs w:val="22"/>
              </w:rPr>
              <w:t>supistui EU:ssa edelleen ja oli 21,9 prosenttia vuonna 2018. Tämä on noin kolme prosenttiyksikköä alhaisempi kuin vuonna 2012 havaittu huippu</w:t>
            </w:r>
            <w:r>
              <w:rPr>
                <w:noProof/>
              </w:rPr>
              <w:t>.</w:t>
            </w:r>
            <w:r>
              <w:rPr>
                <w:rStyle w:val="FootnoteReference"/>
                <w:noProof/>
                <w:sz w:val="22"/>
                <w:szCs w:val="22"/>
              </w:rPr>
              <w:footnoteReference w:id="44"/>
            </w:r>
            <w:r>
              <w:rPr>
                <w:noProof/>
                <w:sz w:val="22"/>
                <w:szCs w:val="22"/>
              </w:rPr>
              <w:t xml:space="preserve"> Osuus laski useimmissa maissa kolmen vuoden aikana vuoteen 2018 asti, mutta Alankomaissa, Luxemburgissa, Virossa</w:t>
            </w:r>
            <w:r>
              <w:rPr>
                <w:noProof/>
                <w:sz w:val="22"/>
                <w:szCs w:val="22"/>
              </w:rPr>
              <w:t xml:space="preserve"> ja Yhdistyneessä kuningaskunnassa osuus kasvoi, vaikkakin joissain maissa (Alankomaat ja Luxemburg) lähtötaso oli suhteellisen alhainen. Huolimatta siitä, että köyhyys- ja syrjäytymisriskiaste laski Bulgariassa merkittävästi eli lähes 39 prosentista 32,8 </w:t>
            </w:r>
            <w:r>
              <w:rPr>
                <w:noProof/>
                <w:sz w:val="22"/>
                <w:szCs w:val="22"/>
              </w:rPr>
              <w:t>prosenttiin, se on edelleen EU:n suurin, minkä jälkeen tulevat Romania ja Kreikka, joissa molemmissa luku on yli 30 prosenttia, sekä Latvia ja Liettua, joissa luku on hieman tämän alle. Alhaisimmat köyhyys- ja syrjäytymisriskiasteet ovat Tšekissä (12,2 %),</w:t>
            </w:r>
            <w:r>
              <w:rPr>
                <w:noProof/>
                <w:sz w:val="22"/>
                <w:szCs w:val="22"/>
              </w:rPr>
              <w:t xml:space="preserve"> Sloveniassa (16,2 %), Slovakiassa (16,3 %), Suomessa (16,5 %) ja Alankomaissa (16,8 %). Vaikka köyhyydessä ja sosiaalisessa syrjäytymisessä on yleisesti ottaen tapahtunut myönteistä kehitystä, jotkin sen osatekijät näyttävät kehittyvän eri tavoin, mikä ai</w:t>
            </w:r>
            <w:r>
              <w:rPr>
                <w:noProof/>
                <w:sz w:val="22"/>
                <w:szCs w:val="22"/>
              </w:rPr>
              <w:t xml:space="preserve">heuttaa huolta joissakin EU-maissa. Etenkin on huomattava seuraavat seikat: </w:t>
            </w:r>
          </w:p>
          <w:p w:rsidR="005C26C8" w:rsidRDefault="00115404">
            <w:pPr>
              <w:pStyle w:val="Default"/>
              <w:numPr>
                <w:ilvl w:val="0"/>
                <w:numId w:val="49"/>
              </w:numPr>
              <w:spacing w:after="120" w:line="276" w:lineRule="auto"/>
              <w:ind w:left="426" w:hanging="284"/>
              <w:jc w:val="both"/>
              <w:rPr>
                <w:noProof/>
                <w:sz w:val="22"/>
                <w:szCs w:val="22"/>
              </w:rPr>
            </w:pPr>
            <w:r>
              <w:rPr>
                <w:noProof/>
                <w:sz w:val="22"/>
                <w:szCs w:val="22"/>
              </w:rPr>
              <w:t>Köyhyysriskin alaisen väestön osuus on lisääntynyt viime vuosina kolmasosassa jäsenvaltioita. Kolmen vuoden aikana lisäys oli suurin Luxemburgissa (3 prosenttiyksikköä), Yhdistyne</w:t>
            </w:r>
            <w:r>
              <w:rPr>
                <w:noProof/>
                <w:sz w:val="22"/>
                <w:szCs w:val="22"/>
              </w:rPr>
              <w:t xml:space="preserve">essä kuningaskunnassa (2,3 prosenttiyksikköä), Alankomaissa (1,7 prosenttiyksikköä) ja Belgiassa (1,5 prosenttiyksikköä), kun taas Kreikassa, Portugalissa, Puolassa ja Unkarissa osuus aleni merkittävästi, 2–3 prosenttiyksikköä kussakin. </w:t>
            </w:r>
          </w:p>
          <w:p w:rsidR="005C26C8" w:rsidRDefault="00115404">
            <w:pPr>
              <w:pStyle w:val="Default"/>
              <w:numPr>
                <w:ilvl w:val="0"/>
                <w:numId w:val="49"/>
              </w:numPr>
              <w:spacing w:after="120" w:line="276" w:lineRule="auto"/>
              <w:ind w:left="426" w:hanging="284"/>
              <w:jc w:val="both"/>
              <w:rPr>
                <w:noProof/>
                <w:sz w:val="22"/>
                <w:szCs w:val="22"/>
              </w:rPr>
            </w:pPr>
            <w:r>
              <w:rPr>
                <w:noProof/>
                <w:sz w:val="22"/>
                <w:szCs w:val="22"/>
              </w:rPr>
              <w:t>Vakava aineellinen</w:t>
            </w:r>
            <w:r>
              <w:rPr>
                <w:noProof/>
                <w:sz w:val="22"/>
                <w:szCs w:val="22"/>
              </w:rPr>
              <w:t xml:space="preserve"> puute väheni kolmen viime vuoden aikana (ja myös vuonna 2018) useimmissa EU:n jäsenvaltioissa. Kolmen vuoden aikana vähennys oli Bulgariassa yli 13 prosenttiyksikköä ja Kreikassa, Kroatiassa, Kyproksessa, Latviassa, Maltassa, Romaniassa ja Unkarissa vasta</w:t>
            </w:r>
            <w:r>
              <w:rPr>
                <w:noProof/>
                <w:sz w:val="22"/>
                <w:szCs w:val="22"/>
              </w:rPr>
              <w:t xml:space="preserve">ava luku oli vähintään 5 prosenttiyksikköä. </w:t>
            </w:r>
          </w:p>
          <w:p w:rsidR="005C26C8" w:rsidRDefault="00115404">
            <w:pPr>
              <w:pStyle w:val="Default"/>
              <w:numPr>
                <w:ilvl w:val="0"/>
                <w:numId w:val="49"/>
              </w:numPr>
              <w:spacing w:line="276" w:lineRule="auto"/>
              <w:ind w:left="426" w:hanging="284"/>
              <w:jc w:val="both"/>
              <w:rPr>
                <w:noProof/>
                <w:sz w:val="22"/>
                <w:szCs w:val="22"/>
              </w:rPr>
            </w:pPr>
            <w:r>
              <w:rPr>
                <w:noProof/>
                <w:sz w:val="22"/>
                <w:szCs w:val="22"/>
              </w:rPr>
              <w:t>Lopuksi on todettava, että talouden elpyminen on vähentänyt hyvin alhaisen työssäkäyntiasteen kotitalouksissa asuvien (alle 60-vuotiaiden) henkilöiden osuutta lähes kaikissa EU-maissa, lukuun ottamatta Luxemburg</w:t>
            </w:r>
            <w:r>
              <w:rPr>
                <w:noProof/>
                <w:sz w:val="22"/>
                <w:szCs w:val="22"/>
              </w:rPr>
              <w:t>ia ja Ruotsia, joissa osuus kasvoi, ja Suomea, jossa osuus pysyi samana kolmen vuoden ajan vuoteen 2018 asti. Samaan aikaan työssäkäyvien köyhyys kasvoi hieman ja oli 9,5 prosenttia vuonna 2018 koko EU:ssa eli edelleen lähellä vuoden 2016 huippulukemaa (9,</w:t>
            </w:r>
            <w:r>
              <w:rPr>
                <w:noProof/>
                <w:sz w:val="22"/>
                <w:szCs w:val="22"/>
              </w:rPr>
              <w:t>6 %).</w:t>
            </w:r>
          </w:p>
          <w:p w:rsidR="005C26C8" w:rsidRDefault="005C26C8">
            <w:pPr>
              <w:tabs>
                <w:tab w:val="left" w:pos="2057"/>
              </w:tabs>
              <w:ind w:left="0"/>
              <w:rPr>
                <w:noProof/>
                <w:lang w:eastAsia="en-GB"/>
              </w:rPr>
            </w:pPr>
          </w:p>
        </w:tc>
      </w:tr>
    </w:tbl>
    <w:p w:rsidR="005C26C8" w:rsidRDefault="005C26C8">
      <w:pPr>
        <w:rPr>
          <w:rFonts w:ascii="Times New Roman" w:eastAsia="Times New Roman" w:hAnsi="Times New Roman" w:cs="Times New Roman"/>
          <w:b/>
          <w:noProof/>
          <w:sz w:val="24"/>
          <w:szCs w:val="24"/>
        </w:rPr>
      </w:pPr>
    </w:p>
    <w:p w:rsidR="005C26C8" w:rsidRDefault="00115404">
      <w:pPr>
        <w:ind w:left="0"/>
        <w:jc w:val="both"/>
        <w:rPr>
          <w:rFonts w:ascii="Times New Roman Bold" w:eastAsia="MS Gothic" w:hAnsi="Times New Roman Bold" w:cs="Times New Roman"/>
          <w:b/>
          <w:bCs/>
          <w:smallCaps/>
          <w:noProof/>
        </w:rPr>
      </w:pPr>
      <w:r>
        <w:rPr>
          <w:noProof/>
        </w:rPr>
        <w:br w:type="page"/>
      </w:r>
      <w:r>
        <w:rPr>
          <w:rFonts w:ascii="Times New Roman Bold" w:hAnsi="Times New Roman Bold"/>
          <w:b/>
          <w:bCs/>
          <w:smallCaps/>
          <w:noProof/>
        </w:rPr>
        <w:t>4.</w:t>
      </w:r>
      <w:r>
        <w:rPr>
          <w:rFonts w:ascii="Times New Roman Bold" w:hAnsi="Times New Roman Bold"/>
          <w:b/>
          <w:bCs/>
          <w:smallCaps/>
          <w:noProof/>
        </w:rPr>
        <w:tab/>
        <w:t>Yhteenveto tärkeimmistä haasteista ja valvonnan vaikutuksista</w:t>
      </w:r>
    </w:p>
    <w:p w:rsidR="005C26C8" w:rsidRDefault="005C26C8">
      <w:pPr>
        <w:ind w:left="0"/>
        <w:jc w:val="both"/>
        <w:rPr>
          <w:rFonts w:ascii="Times New Roman" w:hAnsi="Times New Roman" w:cs="Times New Roman"/>
          <w:b/>
          <w:noProof/>
        </w:rPr>
      </w:pPr>
    </w:p>
    <w:p w:rsidR="005C26C8" w:rsidRDefault="00115404">
      <w:pPr>
        <w:spacing w:after="200"/>
        <w:ind w:left="0"/>
        <w:jc w:val="both"/>
        <w:rPr>
          <w:rFonts w:ascii="Times New Roman" w:hAnsi="Times New Roman" w:cs="Times New Roman"/>
          <w:noProof/>
        </w:rPr>
      </w:pPr>
      <w:r>
        <w:rPr>
          <w:rFonts w:ascii="Times New Roman" w:hAnsi="Times New Roman"/>
          <w:b/>
          <w:noProof/>
        </w:rPr>
        <w:t xml:space="preserve">Tasapainottaminen euroalueella on edelleen kesken, ja nykyisen taloustilanteen vuoksi sekä vaihtotaseen alijäämiä että ylijäämiä on tasapainotettava kiireellisesti, sillä se </w:t>
      </w:r>
      <w:r>
        <w:rPr>
          <w:rFonts w:ascii="Times New Roman" w:hAnsi="Times New Roman"/>
          <w:b/>
          <w:noProof/>
        </w:rPr>
        <w:t>hyödyttäisi kaikkia jäsenvaltioita</w:t>
      </w:r>
      <w:r>
        <w:rPr>
          <w:rFonts w:ascii="Times New Roman" w:hAnsi="Times New Roman"/>
          <w:noProof/>
        </w:rPr>
        <w:t>. Vaikka useimmat suuret vaihtotaseen alijäämät on korjattu, useissa euroalueen maissa on edelleen suuria ylijäämiä. Euroalueen rahoitusasema on vähitellen muuttunut ylijäämäksi, joka on alkanut supistua hieman lähinnä ulk</w:t>
      </w:r>
      <w:r>
        <w:rPr>
          <w:rFonts w:ascii="Times New Roman" w:hAnsi="Times New Roman"/>
          <w:noProof/>
        </w:rPr>
        <w:t>omaisen vientikysynnän vähentymisen vuoksi. Varantoepätasapainot ovat alkaneet mukautua, mutta ne ovat on edelleen huomattavia, sillä joissakin euroalueen maissa ulkomainen nettovarallisuusasema on edelleen suurelta osin negatiivinen, kun taas muissa maiss</w:t>
      </w:r>
      <w:r>
        <w:rPr>
          <w:rFonts w:ascii="Times New Roman" w:hAnsi="Times New Roman"/>
          <w:noProof/>
        </w:rPr>
        <w:t>a ulkomainen nettovarallisuusasema on pitkälti positiivinen ja kasvava. Yksikkötyökustannukset ovat kasvaneet nettovelkojamaissa nopeammin kuin nettovelallismaissa, mikä on kääntänyt ennen finanssikriisiä havaitut suuntaukset päinvastaisiksi. Tämä suuntaus</w:t>
      </w:r>
      <w:r>
        <w:rPr>
          <w:rFonts w:ascii="Times New Roman" w:hAnsi="Times New Roman"/>
          <w:noProof/>
        </w:rPr>
        <w:t xml:space="preserve"> jatkuu, mutta se on heikentynyt aiempiin kriisin jälkeisiin vuosiin verrattuna, sillä työmarkkinoiden kiristyminen nettovelallismaissa on johtanut suurempaan palkkojen nousuun tilanteessa, jossa tuottavuus on ollut heikkoa, kun taas nettovelkojamaissa pal</w:t>
      </w:r>
      <w:r>
        <w:rPr>
          <w:rFonts w:ascii="Times New Roman" w:hAnsi="Times New Roman"/>
          <w:noProof/>
        </w:rPr>
        <w:t>kankorotukset ovat olleet maltillisia huolimatta siitä, että työttömyys on pysynyt alhaisena useita vuosia. Vaihtotaseen positioiden symmetrinen tasapainottaminen auttaisi voittamaan nykyisen matalan inflaation ja alhaisen korkotason ja tukisi samalla nime</w:t>
      </w:r>
      <w:r>
        <w:rPr>
          <w:rFonts w:ascii="Times New Roman" w:hAnsi="Times New Roman"/>
          <w:noProof/>
        </w:rPr>
        <w:t>llistä kasvua, mikä edistäisi velkaantumisen purkamista ja nettovelallispositioiden tasapainottamista.</w:t>
      </w:r>
    </w:p>
    <w:p w:rsidR="005C26C8" w:rsidRDefault="00115404">
      <w:pPr>
        <w:spacing w:after="200"/>
        <w:ind w:left="0"/>
        <w:jc w:val="both"/>
        <w:rPr>
          <w:rFonts w:ascii="Times New Roman" w:eastAsia="Times New Roman" w:hAnsi="Times New Roman" w:cs="Times New Roman"/>
          <w:noProof/>
        </w:rPr>
      </w:pPr>
      <w:r>
        <w:rPr>
          <w:rFonts w:ascii="Times New Roman" w:hAnsi="Times New Roman"/>
          <w:b/>
          <w:noProof/>
        </w:rPr>
        <w:t xml:space="preserve">Monissa jäsenvaltioissa on eri laajuisia ja eri syistä johtuvia haasteita. </w:t>
      </w:r>
      <w:r>
        <w:rPr>
          <w:rFonts w:ascii="Times New Roman" w:hAnsi="Times New Roman"/>
          <w:noProof/>
        </w:rPr>
        <w:t>Makrotalouden vakauteen kohdistuvien haasteiden vakavuus vaihtelee huomattavas</w:t>
      </w:r>
      <w:r>
        <w:rPr>
          <w:rFonts w:ascii="Times New Roman" w:hAnsi="Times New Roman"/>
          <w:noProof/>
        </w:rPr>
        <w:t>ti eri jäsenvaltioissa riippuen haavoittuvuuksien ja kestämättömien suuntausten luonteesta ja laajuudesta sekä siitä, miten ne vaikuttavat toisiinsa. Mahdollisen epätasapainon tärkeimmät lähteet yhdistyvät useiden typologioiden mukaisesti seuraavassa tiivi</w:t>
      </w:r>
      <w:r>
        <w:rPr>
          <w:rFonts w:ascii="Times New Roman" w:hAnsi="Times New Roman"/>
          <w:noProof/>
        </w:rPr>
        <w:t>stetyllä tavalla:</w:t>
      </w:r>
    </w:p>
    <w:p w:rsidR="005C26C8" w:rsidRDefault="00115404">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Useat jäsenvaltiot kärsivät edelleen pääasiassa </w:t>
      </w:r>
      <w:r>
        <w:rPr>
          <w:rFonts w:ascii="Times New Roman" w:hAnsi="Times New Roman"/>
          <w:i/>
          <w:noProof/>
        </w:rPr>
        <w:t>moninaisista ja toisiinsa kytköksissä olevista varantohaavoittuvuuksista</w:t>
      </w:r>
      <w:r>
        <w:rPr>
          <w:rFonts w:ascii="Times New Roman" w:hAnsi="Times New Roman"/>
          <w:noProof/>
        </w:rPr>
        <w:t xml:space="preserve">. Tämä koskee yleensä maita, joihin luototuksen suhdannevaihtelut ovat iskeneet kovimmin ja joissa myös vaihtotase on </w:t>
      </w:r>
      <w:r>
        <w:rPr>
          <w:rFonts w:ascii="Times New Roman" w:hAnsi="Times New Roman"/>
          <w:noProof/>
        </w:rPr>
        <w:t xml:space="preserve">kääntynyt vastakkaiseen suuntaan, millä on myös ollut vaikutuksia pankkisektoriin ja julkiseen velkaan. </w:t>
      </w:r>
    </w:p>
    <w:p w:rsidR="005C26C8" w:rsidRDefault="00115404">
      <w:pPr>
        <w:numPr>
          <w:ilvl w:val="1"/>
          <w:numId w:val="2"/>
        </w:numPr>
        <w:spacing w:after="200"/>
        <w:ind w:left="709" w:hanging="283"/>
        <w:jc w:val="both"/>
        <w:rPr>
          <w:rFonts w:ascii="Times New Roman" w:eastAsia="Times New Roman" w:hAnsi="Times New Roman" w:cs="Times New Roman"/>
          <w:noProof/>
        </w:rPr>
      </w:pPr>
      <w:r>
        <w:rPr>
          <w:rFonts w:ascii="Times New Roman" w:hAnsi="Times New Roman"/>
          <w:noProof/>
        </w:rPr>
        <w:t>Kyproksen ja Kreikan tapauksessa korkeat velkakannat ja suuret negatiiviset ulkomaiset nettovarallisuusasemat yhdistyvät finanssisektorin jäljellä oleviin haasteisiin, vaikkakin Kyproksessa järjestämättömien lainojen osuus on vähentynyt ja kannattavuus par</w:t>
      </w:r>
      <w:r>
        <w:rPr>
          <w:rFonts w:ascii="Times New Roman" w:hAnsi="Times New Roman"/>
          <w:noProof/>
        </w:rPr>
        <w:t>antunut. Kreikassa järjestämättömien lainojen osuuden pieneneminen on nopeutunut vuodesta 2018 alkaen, mutta osuus on edelleen erittäin suuri. Kreikassa potentiaalisen tuotannon kasvu on vähäistä tilanteessa, jossa työttömyysaste on korkea (vaikkakin alene</w:t>
      </w:r>
      <w:r>
        <w:rPr>
          <w:rFonts w:ascii="Times New Roman" w:hAnsi="Times New Roman"/>
          <w:noProof/>
        </w:rPr>
        <w:t xml:space="preserve">va). </w:t>
      </w:r>
    </w:p>
    <w:p w:rsidR="005C26C8" w:rsidRDefault="00115404">
      <w:pPr>
        <w:numPr>
          <w:ilvl w:val="1"/>
          <w:numId w:val="2"/>
        </w:numPr>
        <w:spacing w:after="200"/>
        <w:ind w:left="709" w:hanging="283"/>
        <w:jc w:val="both"/>
        <w:rPr>
          <w:rFonts w:ascii="Times New Roman" w:eastAsia="Times New Roman" w:hAnsi="Times New Roman" w:cs="Times New Roman"/>
          <w:noProof/>
        </w:rPr>
      </w:pPr>
      <w:r>
        <w:rPr>
          <w:rFonts w:ascii="Times New Roman" w:hAnsi="Times New Roman"/>
          <w:noProof/>
        </w:rPr>
        <w:t>Espanjassa, Irlannissa, Kroatiassa ja Portugalissa on myös varantoja koskevista vanhoista ongelmista aiheutuvia merkittäviä, moninaisia ja toisiinsa liittyviä haavoittuvuuksia. Bulgariassa yritysten velkaantuneisuuteen liittyy menneiden aikojen perua</w:t>
      </w:r>
      <w:r>
        <w:rPr>
          <w:rFonts w:ascii="Times New Roman" w:hAnsi="Times New Roman"/>
          <w:noProof/>
        </w:rPr>
        <w:t xml:space="preserve"> olevia pitkään jatkuneita rahoitusalan ongelmia, joihin puututaan toimintapolitiikan avulla. Näissä maissa varantoepätasapainot ovat vähentyneet uudelleen käynnistyneen nimellisen kasvun myötä. Joissakin tapauksissa tähän on liittynyt asuntojen hintojen v</w:t>
      </w:r>
      <w:r>
        <w:rPr>
          <w:rFonts w:ascii="Times New Roman" w:hAnsi="Times New Roman"/>
          <w:noProof/>
        </w:rPr>
        <w:t>oimakas nousu (Irlannissa ja viime aikoina Portugalissa), yksikkötyökustannusten kasvun palautuminen ja kilpailukyvyn paranemisen pysähtyminen Espanjassa ja Portugalissa sekä voimakas yksikkötyökustannusten nousu Bulgariassa.</w:t>
      </w:r>
    </w:p>
    <w:p w:rsidR="005C26C8" w:rsidRDefault="00115404">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Joissakin jäsenvaltioissa haav</w:t>
      </w:r>
      <w:r>
        <w:rPr>
          <w:rFonts w:ascii="Times New Roman" w:hAnsi="Times New Roman"/>
          <w:noProof/>
        </w:rPr>
        <w:t xml:space="preserve">oittuvuudet johtuvat pääasiassa </w:t>
      </w:r>
      <w:r>
        <w:rPr>
          <w:rFonts w:ascii="Times New Roman" w:hAnsi="Times New Roman"/>
          <w:i/>
          <w:noProof/>
        </w:rPr>
        <w:t>suuresta julkisesta velasta</w:t>
      </w:r>
      <w:r>
        <w:rPr>
          <w:rFonts w:ascii="Times New Roman" w:hAnsi="Times New Roman"/>
          <w:noProof/>
        </w:rPr>
        <w:t xml:space="preserve">, ja niihin yhdistyy ongelmia, jotka liittyvät </w:t>
      </w:r>
      <w:r>
        <w:rPr>
          <w:rFonts w:ascii="Times New Roman" w:hAnsi="Times New Roman"/>
          <w:i/>
          <w:noProof/>
        </w:rPr>
        <w:t>potentiaaliseen tuotannon kasvuun</w:t>
      </w:r>
      <w:r>
        <w:rPr>
          <w:rFonts w:ascii="Times New Roman" w:hAnsi="Times New Roman"/>
          <w:noProof/>
        </w:rPr>
        <w:t xml:space="preserve"> ja </w:t>
      </w:r>
      <w:r>
        <w:rPr>
          <w:rFonts w:ascii="Times New Roman" w:hAnsi="Times New Roman"/>
          <w:i/>
          <w:noProof/>
        </w:rPr>
        <w:t>kilpailukykyyn</w:t>
      </w:r>
      <w:r>
        <w:rPr>
          <w:rFonts w:ascii="Times New Roman" w:hAnsi="Times New Roman"/>
          <w:noProof/>
        </w:rPr>
        <w:t>. Tämä koskee erityisesti Italiaa, jossa haavoittuvuudet liittyvät myös pankkisektoriin ja järjestä</w:t>
      </w:r>
      <w:r>
        <w:rPr>
          <w:rFonts w:ascii="Times New Roman" w:hAnsi="Times New Roman"/>
          <w:noProof/>
        </w:rPr>
        <w:t>mättömien lainojen suureen mutta nopeasti vähenevään määrään sekä heikkoon työmarkkinatilanteeseen. Belgiassa ja Ranskassa pääasiallisina ongelmina ovat suuri julkinen velka ja potentiaaliseen kasvuun liittyvät ongelmat sekä heikkenevä kilpailukyky. Ranska</w:t>
      </w:r>
      <w:r>
        <w:rPr>
          <w:rFonts w:ascii="Times New Roman" w:hAnsi="Times New Roman"/>
          <w:noProof/>
        </w:rPr>
        <w:t>ssa yksityissektorin suhteellisen suuri velkamäärä on kasvussa. Belgiassa kotitalouksien suhteellisen suuri ja kasvava velkamäärä yhdistyy mahdollisesti yliarvostettuihin asuntojen hintoihin. Ulkoinen rahoitusasema on edelleen vakaa, mutta se on viime aiko</w:t>
      </w:r>
      <w:r>
        <w:rPr>
          <w:rFonts w:ascii="Times New Roman" w:hAnsi="Times New Roman"/>
          <w:noProof/>
        </w:rPr>
        <w:t xml:space="preserve">ina heikentynyt jonkin verran. </w:t>
      </w:r>
    </w:p>
    <w:p w:rsidR="005C26C8" w:rsidRDefault="00115404">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Joillekin jäsenvaltioille ovat ominaista </w:t>
      </w:r>
      <w:r>
        <w:rPr>
          <w:rFonts w:ascii="Times New Roman" w:hAnsi="Times New Roman"/>
          <w:i/>
          <w:noProof/>
        </w:rPr>
        <w:t>suuret ja jatkuvat vaihtotaseen ylijäämät</w:t>
      </w:r>
      <w:r>
        <w:rPr>
          <w:rFonts w:ascii="Times New Roman" w:hAnsi="Times New Roman"/>
          <w:noProof/>
        </w:rPr>
        <w:t>, jotka heijastavat vaihtelevassa määrin myös vaimeaa yksityistä kulutusta ja vaimeita investointeja ja jotka ylittävät sen, mikä olisi perust</w:t>
      </w:r>
      <w:r>
        <w:rPr>
          <w:rFonts w:ascii="Times New Roman" w:hAnsi="Times New Roman"/>
          <w:noProof/>
        </w:rPr>
        <w:t xml:space="preserve">eltavissa talouden perustekijöillä. Tämä koskee erityisesti Saksaa ja Alankomaita. Alankomaissa suuri ylijäämä yhdistyy kotitalouksien suureen velkamäärään ja asuntojen hintojen voimakkaaseen nousuun. Asuntojen hintapaineita on viime aikoina havaittu myös </w:t>
      </w:r>
      <w:r>
        <w:rPr>
          <w:rFonts w:ascii="Times New Roman" w:hAnsi="Times New Roman"/>
          <w:noProof/>
        </w:rPr>
        <w:t xml:space="preserve">Saksassa, mutta siellä velkataso on suhteellisen alhainen. Suuret ja jatkuvat ylijäämät saattavat kuvastaa sitä, että kasvua ja kotimaisia investointimahdollisuuksia menetetään, mikä vaikuttaa muuhun euroalueeseen tilanteessa, jossa inflaatio on sitkeästi </w:t>
      </w:r>
      <w:r>
        <w:rPr>
          <w:rFonts w:ascii="Times New Roman" w:hAnsi="Times New Roman"/>
          <w:noProof/>
        </w:rPr>
        <w:t>tavoitetta hitaampaa ja ulkomainen kysyntä heikkenee.</w:t>
      </w:r>
    </w:p>
    <w:p w:rsidR="005C26C8" w:rsidRDefault="00115404">
      <w:pPr>
        <w:numPr>
          <w:ilvl w:val="0"/>
          <w:numId w:val="2"/>
        </w:numPr>
        <w:spacing w:after="200"/>
        <w:ind w:left="426" w:hanging="284"/>
        <w:jc w:val="both"/>
        <w:rPr>
          <w:rFonts w:ascii="Times New Roman" w:eastAsia="Times New Roman" w:hAnsi="Times New Roman" w:cs="Times New Roman"/>
          <w:noProof/>
        </w:rPr>
      </w:pPr>
      <w:r>
        <w:rPr>
          <w:rFonts w:ascii="Times New Roman" w:hAnsi="Times New Roman"/>
          <w:noProof/>
        </w:rPr>
        <w:t xml:space="preserve">Joissakin jäsenvaltioissa </w:t>
      </w:r>
      <w:r>
        <w:rPr>
          <w:rFonts w:ascii="Times New Roman" w:hAnsi="Times New Roman"/>
          <w:i/>
          <w:noProof/>
        </w:rPr>
        <w:t>hinta- tai kustannusmuuttujien kehityksessä on merkkejä mahdollisesta ylikuumenemisesta etenkin asunto- tai työmarkkinoilla</w:t>
      </w:r>
      <w:r>
        <w:rPr>
          <w:rFonts w:ascii="Times New Roman" w:hAnsi="Times New Roman"/>
          <w:noProof/>
        </w:rPr>
        <w:t xml:space="preserve">. </w:t>
      </w:r>
    </w:p>
    <w:p w:rsidR="005C26C8" w:rsidRDefault="00115404">
      <w:pPr>
        <w:numPr>
          <w:ilvl w:val="1"/>
          <w:numId w:val="2"/>
        </w:numPr>
        <w:spacing w:after="200"/>
        <w:ind w:left="709" w:hanging="284"/>
        <w:jc w:val="both"/>
        <w:rPr>
          <w:rFonts w:ascii="Times New Roman" w:eastAsia="Times New Roman" w:hAnsi="Times New Roman" w:cs="Times New Roman"/>
          <w:noProof/>
        </w:rPr>
      </w:pPr>
      <w:r>
        <w:rPr>
          <w:rFonts w:ascii="Times New Roman" w:hAnsi="Times New Roman"/>
          <w:noProof/>
        </w:rPr>
        <w:t xml:space="preserve">Ruotsissa, ja pienemmässä määrin Itävallassa, </w:t>
      </w:r>
      <w:r>
        <w:rPr>
          <w:rFonts w:ascii="Times New Roman" w:hAnsi="Times New Roman"/>
          <w:noProof/>
        </w:rPr>
        <w:t>Luxemburgissa, Tanskassa ja Yhdistyneessä kuningaskunnassa, asuntojen hintojen nousu on jatkunut viime vuodet tilanteessa, jossa mahdollisesti esiintyy positiivisia arvostuseroja ja jossa kotitalouksilla on runsaasti velkaa. Viimeaikainen näyttö viittaa hi</w:t>
      </w:r>
      <w:r>
        <w:rPr>
          <w:rFonts w:ascii="Times New Roman" w:hAnsi="Times New Roman"/>
          <w:noProof/>
        </w:rPr>
        <w:t>ntojen ja yliarvostusten jonkinasteiseen tarkistamiseen alaspäin Ruotsissa ja asuntojen hintojen nousun hidastumiseen muissa tapauksissa (Luxemburgia lukuun ottamatta). Asuntojen hintojen voimakkaampaan mutta uudempaan nousuun liittyy vähäisempää näyttöä y</w:t>
      </w:r>
      <w:r>
        <w:rPr>
          <w:rFonts w:ascii="Times New Roman" w:hAnsi="Times New Roman"/>
          <w:noProof/>
        </w:rPr>
        <w:t>liarvostuksesta Latviassa, Slovakiassa, Sloveniassa, Tšekissä ja Unkarissa. Tšekin ja Slovakian osalta tähän liittyy asuntolainakannan kasvun jatkuminen ja kotitalouksien velkaantumisen lisääntyminen. Suomessa asuntojen hintojen nousu tai mahdollinen yliar</w:t>
      </w:r>
      <w:r>
        <w:rPr>
          <w:rFonts w:ascii="Times New Roman" w:hAnsi="Times New Roman"/>
          <w:noProof/>
        </w:rPr>
        <w:t>vostus ei näytä olevan huomattavaa, mutta sen sijaan kotitalouksilla on runsaasti velkaa, jonka määrä kasvaa.</w:t>
      </w:r>
    </w:p>
    <w:p w:rsidR="005C26C8" w:rsidRDefault="00115404">
      <w:pPr>
        <w:numPr>
          <w:ilvl w:val="1"/>
          <w:numId w:val="2"/>
        </w:numPr>
        <w:spacing w:after="200"/>
        <w:ind w:left="709" w:hanging="284"/>
        <w:jc w:val="both"/>
        <w:rPr>
          <w:rFonts w:ascii="Times New Roman" w:eastAsia="Times New Roman" w:hAnsi="Times New Roman" w:cs="Times New Roman"/>
          <w:noProof/>
        </w:rPr>
      </w:pPr>
      <w:r>
        <w:rPr>
          <w:rFonts w:ascii="Times New Roman" w:hAnsi="Times New Roman"/>
          <w:noProof/>
        </w:rPr>
        <w:t>Latviassa, Liettuassa, Romaniassa, Slovakiassa, Tšekissä, Unkarissa ja Virossa työvoimakustannukset kasvavat edelleen suhteellisen ripeää tahtia s</w:t>
      </w:r>
      <w:r>
        <w:rPr>
          <w:rFonts w:ascii="Times New Roman" w:hAnsi="Times New Roman"/>
          <w:noProof/>
        </w:rPr>
        <w:t>amaan aikaan kun hintakilpailukyky heikkenee vähitellen. Viime vuosina voimakas yksikkötyökustannusten kasvu on Unkarissa yhdistynyt vaihtotaseen ylijäämän huomattavaan supistumiseen ja Slovakiassa rajalliseen mutta sitkeään vaihtotaseen alijäämään. Romani</w:t>
      </w:r>
      <w:r>
        <w:rPr>
          <w:rFonts w:ascii="Times New Roman" w:hAnsi="Times New Roman"/>
          <w:noProof/>
        </w:rPr>
        <w:t xml:space="preserve">assa yksikkötyökustannusten pitkäaikainen erittäin voimakas kasvu liittyy vaihtotaseen alijäämän syvenemiseen entisestään ja elvyttävään finanssipolitiikkaan. </w:t>
      </w:r>
    </w:p>
    <w:p w:rsidR="005C26C8" w:rsidRDefault="00115404">
      <w:pPr>
        <w:spacing w:after="200"/>
        <w:ind w:left="0"/>
        <w:jc w:val="both"/>
        <w:rPr>
          <w:rFonts w:ascii="Times New Roman" w:eastAsia="Times New Roman" w:hAnsi="Times New Roman" w:cs="Times New Roman"/>
          <w:noProof/>
        </w:rPr>
      </w:pPr>
      <w:r>
        <w:rPr>
          <w:rFonts w:ascii="Times New Roman" w:hAnsi="Times New Roman"/>
          <w:b/>
          <w:noProof/>
        </w:rPr>
        <w:t>Kaiken kaikkiaan perusteellinen tarkastelu on aiheellinen 13 jäsenvaltion osalta: Alankomaat, Bu</w:t>
      </w:r>
      <w:r>
        <w:rPr>
          <w:rFonts w:ascii="Times New Roman" w:hAnsi="Times New Roman"/>
          <w:b/>
          <w:noProof/>
        </w:rPr>
        <w:t>lgaria, Espanja, Irlanti, Italia, Kreikka, Kroatia, Kypros, Portugali, Ranska, Romania, Ruotsi</w:t>
      </w:r>
      <w:r>
        <w:rPr>
          <w:rFonts w:ascii="Times New Roman" w:hAnsi="Times New Roman"/>
          <w:noProof/>
        </w:rPr>
        <w:t xml:space="preserve"> ja </w:t>
      </w:r>
      <w:r>
        <w:rPr>
          <w:rFonts w:ascii="Times New Roman" w:hAnsi="Times New Roman"/>
          <w:b/>
          <w:noProof/>
        </w:rPr>
        <w:t>Saksa</w:t>
      </w:r>
      <w:r>
        <w:rPr>
          <w:rFonts w:ascii="Times New Roman" w:hAnsi="Times New Roman"/>
          <w:noProof/>
        </w:rPr>
        <w:t>. Kaikki kyseiset jäsenvaltiot olivat perusteellisen tarkastelun kohteena makrotalouden epätasapainoa koskevan menettelyn edellisellä kierroksella, ja ni</w:t>
      </w:r>
      <w:r>
        <w:rPr>
          <w:rFonts w:ascii="Times New Roman" w:hAnsi="Times New Roman"/>
          <w:noProof/>
        </w:rPr>
        <w:t>illä katsottiin olevan epätasapainoja tai liiallisia epätasapainoja. Uusien perusteellisten tarkastelujen avulla voidaan analysoida tarkemmin mainittuja haasteita ja arvioida toimintapoliittisia tarpeita. Nykyisten arvioiden päivittämiseksi seuraavissa per</w:t>
      </w:r>
      <w:r>
        <w:rPr>
          <w:rFonts w:ascii="Times New Roman" w:hAnsi="Times New Roman"/>
          <w:noProof/>
        </w:rPr>
        <w:t>usteellisissa tarkasteluissa arvioidaan erityisesti, ovatko kyseiset epätasapainot pahenemassa vai korjautumassa. Tämä varoitusmekanismia koskeva kertomus viittaa myös siihen, että joissakin muissa jäsenvaltioissa on kehittymässä riskejä, jotka nykyisten t</w:t>
      </w:r>
      <w:r>
        <w:rPr>
          <w:rFonts w:ascii="Times New Roman" w:hAnsi="Times New Roman"/>
          <w:noProof/>
        </w:rPr>
        <w:t>ietojen perusteella eivät tällä hetkellä näytä antavan aihetta perusteelliseen tarkasteluun, mutta jotka kaikesta huolimatta ovat peruste tiiviimmälle seurannalle erityisesti seuraavissa maaraporteissa. Nämä riskit koskevat erityisesti kilpailukykyyn liitt</w:t>
      </w:r>
      <w:r>
        <w:rPr>
          <w:rFonts w:ascii="Times New Roman" w:hAnsi="Times New Roman"/>
          <w:noProof/>
        </w:rPr>
        <w:t>yvää kehitystä (Latvia, Liettua, Slovakia, Tšekki, Unkari ja Viro) ja asuntojen hintojen ja asuntomarkkinoiden sekä kotitalouksien velan kehitystä (Belgia, Itävalta, Luxemburg, Slovakia, Slovenia, Suomi, Tanska, Tšekki, Unkari ja Yhdistynyt kuningaskunta).</w:t>
      </w:r>
      <w:r>
        <w:rPr>
          <w:rFonts w:ascii="Times New Roman" w:hAnsi="Times New Roman"/>
          <w:noProof/>
        </w:rPr>
        <w:t xml:space="preserve"> </w:t>
      </w:r>
    </w:p>
    <w:p w:rsidR="005C26C8" w:rsidRDefault="005C26C8">
      <w:pPr>
        <w:spacing w:after="200"/>
        <w:rPr>
          <w:rFonts w:ascii="Times New Roman" w:eastAsia="Times New Roman" w:hAnsi="Times New Roman" w:cs="Times New Roman"/>
          <w:noProof/>
        </w:rPr>
      </w:pPr>
      <w:bookmarkStart w:id="1" w:name="_GoBack"/>
      <w:bookmarkEnd w:id="1"/>
    </w:p>
    <w:p w:rsidR="005C26C8" w:rsidRDefault="00115404">
      <w:pPr>
        <w:ind w:left="0"/>
        <w:jc w:val="both"/>
        <w:rPr>
          <w:rFonts w:ascii="Times New Roman Bold" w:eastAsia="MS Gothic" w:hAnsi="Times New Roman Bold" w:cs="Times New Roman"/>
          <w:b/>
          <w:bCs/>
          <w:smallCaps/>
          <w:noProof/>
        </w:rPr>
      </w:pPr>
      <w:r>
        <w:rPr>
          <w:rFonts w:ascii="Times New Roman Bold" w:hAnsi="Times New Roman Bold"/>
          <w:b/>
          <w:bCs/>
          <w:smallCaps/>
          <w:noProof/>
        </w:rPr>
        <w:t>5.</w:t>
      </w:r>
      <w:r>
        <w:rPr>
          <w:rFonts w:ascii="Times New Roman Bold" w:hAnsi="Times New Roman Bold"/>
          <w:b/>
          <w:bCs/>
          <w:smallCaps/>
          <w:noProof/>
        </w:rPr>
        <w:tab/>
        <w:t xml:space="preserve">Epätasapainot, riskit ja sopeutus: jäsenvaltiokohtaiset kommentit </w:t>
      </w:r>
    </w:p>
    <w:p w:rsidR="005C26C8" w:rsidRDefault="005C26C8">
      <w:pPr>
        <w:autoSpaceDE w:val="0"/>
        <w:autoSpaceDN w:val="0"/>
        <w:adjustRightInd w:val="0"/>
        <w:ind w:left="0"/>
        <w:jc w:val="both"/>
        <w:rPr>
          <w:rFonts w:ascii="Times New Roman" w:hAnsi="Times New Roman"/>
          <w:b/>
          <w:bCs/>
          <w:iCs/>
          <w:noProof/>
        </w:rPr>
      </w:pPr>
    </w:p>
    <w:p w:rsidR="005C26C8" w:rsidRDefault="00115404">
      <w:pPr>
        <w:autoSpaceDE w:val="0"/>
        <w:autoSpaceDN w:val="0"/>
        <w:adjustRightInd w:val="0"/>
        <w:spacing w:after="200"/>
        <w:ind w:left="0"/>
        <w:jc w:val="both"/>
        <w:rPr>
          <w:rFonts w:ascii="Times New Roman" w:hAnsi="Times New Roman"/>
          <w:iCs/>
          <w:noProof/>
        </w:rPr>
      </w:pPr>
      <w:r>
        <w:rPr>
          <w:rFonts w:ascii="Times New Roman" w:hAnsi="Times New Roman"/>
          <w:b/>
          <w:bCs/>
          <w:iCs/>
          <w:noProof/>
        </w:rPr>
        <w:t xml:space="preserve">Belgia: </w:t>
      </w:r>
      <w:r>
        <w:rPr>
          <w:rFonts w:ascii="Times New Roman" w:hAnsi="Times New Roman"/>
          <w:iCs/>
          <w:noProof/>
        </w:rPr>
        <w:t xml:space="preserve">Makrotalouden epätasapainoa koskevan menettelyn edellisellä kierroksella Belgialla </w:t>
      </w:r>
      <w:r>
        <w:rPr>
          <w:rFonts w:ascii="Times New Roman" w:hAnsi="Times New Roman"/>
          <w:i/>
          <w:iCs/>
          <w:noProof/>
        </w:rPr>
        <w:t>ei</w:t>
      </w:r>
      <w:r>
        <w:rPr>
          <w:rFonts w:ascii="Times New Roman" w:hAnsi="Times New Roman"/>
          <w:iCs/>
          <w:noProof/>
        </w:rPr>
        <w:t xml:space="preserve"> havaittu </w:t>
      </w:r>
      <w:r>
        <w:rPr>
          <w:rFonts w:ascii="Times New Roman" w:hAnsi="Times New Roman"/>
          <w:i/>
          <w:iCs/>
          <w:noProof/>
        </w:rPr>
        <w:t>makrotalouden epätasapainoja</w:t>
      </w:r>
      <w:r>
        <w:rPr>
          <w:rFonts w:ascii="Times New Roman" w:hAnsi="Times New Roman"/>
          <w:iCs/>
          <w:noProof/>
        </w:rPr>
        <w:t xml:space="preserve">. Ajan tasalle saatetussa tulostaulussa seuraavat </w:t>
      </w:r>
      <w:r>
        <w:rPr>
          <w:rFonts w:ascii="Times New Roman" w:hAnsi="Times New Roman"/>
          <w:iCs/>
          <w:noProof/>
        </w:rPr>
        <w:t xml:space="preserve">indikaattorit ylittävät ohjeelliset kynnysarvot: reaalisen efektiivisen valuuttakurssin muutos, yksityinen velka ja julkinen velka. </w:t>
      </w:r>
    </w:p>
    <w:p w:rsidR="005C26C8" w:rsidRDefault="00115404">
      <w:pPr>
        <w:pStyle w:val="NormalWeb"/>
        <w:spacing w:after="200" w:line="276" w:lineRule="auto"/>
        <w:ind w:left="0"/>
        <w:jc w:val="both"/>
        <w:rPr>
          <w:noProof/>
          <w:sz w:val="22"/>
          <w:szCs w:val="22"/>
        </w:rPr>
      </w:pPr>
      <w:r>
        <w:rPr>
          <w:noProof/>
          <w:lang w:val="en-GB"/>
        </w:rPr>
        <w:drawing>
          <wp:anchor distT="0" distB="0" distL="114300" distR="114300" simplePos="0" relativeHeight="251653120" behindDoc="0" locked="0" layoutInCell="1" allowOverlap="1">
            <wp:simplePos x="0" y="0"/>
            <wp:positionH relativeFrom="column">
              <wp:posOffset>3298190</wp:posOffset>
            </wp:positionH>
            <wp:positionV relativeFrom="paragraph">
              <wp:posOffset>8255</wp:posOffset>
            </wp:positionV>
            <wp:extent cx="2660015" cy="2839085"/>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0015" cy="2839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noProof/>
          <w:sz w:val="22"/>
          <w:szCs w:val="22"/>
        </w:rPr>
        <w:t>Vaihtotase oli hieman alijäämäinen vuonna 2018, kun taas positiivinen ulkomainen nettovarallisuusasema oli suuri. Vaikka tuottavuuden kasvu on hidasta, yksikkötyökustannusten nousu on pysynyt kurissa, sillä palkankorotukset ovat olleet maltillisia. Reaalis</w:t>
      </w:r>
      <w:r>
        <w:rPr>
          <w:iCs/>
          <w:noProof/>
          <w:sz w:val="22"/>
          <w:szCs w:val="22"/>
        </w:rPr>
        <w:t>en efektiivisen valuuttakurssin kolmen vuoden muutos on edelleen vahvistunut ja ylittää kynnysarvon, vaikka yhden vuoden muutos kiihtyi vain vähän. Vientimarkkinaosuudet ovat pysyneet pitkälti vakaina. Yritysten suuri velkasuhde, jota maassa laajalti käytö</w:t>
      </w:r>
      <w:r>
        <w:rPr>
          <w:iCs/>
          <w:noProof/>
          <w:sz w:val="22"/>
          <w:szCs w:val="22"/>
        </w:rPr>
        <w:t>ssä olevat konsernilainat kuitenkin paisuttelevat, on pienenemässä. Kotitalouksilla on suhteellisen paljon velkaa, joka liittyy pääasiassa asuntolainoihin, ja velan määrä kasvaa. Asuntojen reaalihinnat ovat nousseet maltillisesti viime vuosina, ja on merkk</w:t>
      </w:r>
      <w:r>
        <w:rPr>
          <w:iCs/>
          <w:noProof/>
          <w:sz w:val="22"/>
          <w:szCs w:val="22"/>
        </w:rPr>
        <w:t xml:space="preserve">ejä mahdollisesta yliarvostuksesta. Julkisen velan määrä on suuri ja vähenee vain hitaasti. </w:t>
      </w:r>
      <w:r>
        <w:rPr>
          <w:noProof/>
          <w:sz w:val="22"/>
          <w:szCs w:val="22"/>
        </w:rPr>
        <w:t xml:space="preserve">Työpaikkojen luominen jatkui edelleen, ja työttömyysaste putosi ennätyksellisen alhaiseksi. </w:t>
      </w:r>
      <w:r>
        <w:rPr>
          <w:iCs/>
          <w:noProof/>
          <w:sz w:val="22"/>
          <w:szCs w:val="22"/>
        </w:rPr>
        <w:t>Työmarkkinoiden ulkopuolella olevien osuus on suuri.</w:t>
      </w:r>
    </w:p>
    <w:p w:rsidR="005C26C8" w:rsidRDefault="00115404">
      <w:pPr>
        <w:spacing w:after="200"/>
        <w:ind w:left="0"/>
        <w:jc w:val="both"/>
        <w:rPr>
          <w:rFonts w:ascii="Times New Roman" w:hAnsi="Times New Roman"/>
          <w:i/>
          <w:iCs/>
          <w:noProof/>
        </w:rPr>
      </w:pPr>
      <w:r>
        <w:rPr>
          <w:rFonts w:ascii="Times New Roman" w:hAnsi="Times New Roman"/>
          <w:i/>
          <w:iCs/>
          <w:noProof/>
        </w:rPr>
        <w:t>Talouspoliittisissa</w:t>
      </w:r>
      <w:r>
        <w:rPr>
          <w:rFonts w:ascii="Times New Roman" w:hAnsi="Times New Roman"/>
          <w:i/>
          <w:iCs/>
          <w:noProof/>
        </w:rPr>
        <w:t xml:space="preserve"> päätelmissä esiin nousevat julkisen mutta myös yksityisen sektorin velkaantuneisuuteen liittyvät kysymykset, mutta riskit ovat edelleen hallinnassa. Tästä syystä komissio ei tässä vaiheessa ryhdy perusteellisiin jatkotutkimuksiin makrotalouden epätasapain</w:t>
      </w:r>
      <w:r>
        <w:rPr>
          <w:rFonts w:ascii="Times New Roman" w:hAnsi="Times New Roman"/>
          <w:i/>
          <w:iCs/>
          <w:noProof/>
        </w:rPr>
        <w:t>oa koskevan menettelyn yhteydessä.</w:t>
      </w:r>
    </w:p>
    <w:p w:rsidR="005C26C8" w:rsidRDefault="005C26C8">
      <w:pPr>
        <w:spacing w:after="200"/>
        <w:ind w:left="0"/>
        <w:jc w:val="both"/>
        <w:rPr>
          <w:rFonts w:ascii="Times New Roman" w:hAnsi="Times New Roman"/>
          <w:i/>
          <w:noProof/>
          <w:szCs w:val="24"/>
        </w:rPr>
      </w:pPr>
    </w:p>
    <w:p w:rsidR="005C26C8" w:rsidRDefault="00115404">
      <w:pPr>
        <w:spacing w:after="200"/>
        <w:ind w:left="0"/>
        <w:jc w:val="both"/>
        <w:rPr>
          <w:rFonts w:ascii="Times New Roman" w:hAnsi="Times New Roman"/>
          <w:i/>
          <w:noProof/>
          <w:szCs w:val="24"/>
        </w:rPr>
      </w:pPr>
      <w:r>
        <w:rPr>
          <w:noProof/>
          <w:lang w:val="en-GB" w:eastAsia="en-GB"/>
        </w:rPr>
        <w:drawing>
          <wp:anchor distT="0" distB="0" distL="114300" distR="114300" simplePos="0" relativeHeight="251646976" behindDoc="0" locked="0" layoutInCell="1" allowOverlap="1">
            <wp:simplePos x="0" y="0"/>
            <wp:positionH relativeFrom="column">
              <wp:posOffset>3197225</wp:posOffset>
            </wp:positionH>
            <wp:positionV relativeFrom="paragraph">
              <wp:posOffset>53533</wp:posOffset>
            </wp:positionV>
            <wp:extent cx="2677795" cy="265557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7795" cy="2655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Bulgaria:</w:t>
      </w:r>
      <w:r>
        <w:rPr>
          <w:rFonts w:ascii="Times New Roman" w:hAnsi="Times New Roman"/>
          <w:b/>
          <w:i/>
          <w:noProof/>
        </w:rPr>
        <w:t xml:space="preserve"> </w:t>
      </w:r>
      <w:r>
        <w:rPr>
          <w:rFonts w:ascii="Times New Roman" w:hAnsi="Times New Roman"/>
          <w:noProof/>
        </w:rPr>
        <w:t xml:space="preserve">Komissio päätteli helmikuussa 2019, että Bulgarialla oli </w:t>
      </w:r>
      <w:r>
        <w:rPr>
          <w:rFonts w:ascii="Times New Roman" w:hAnsi="Times New Roman"/>
          <w:i/>
          <w:noProof/>
        </w:rPr>
        <w:t>epätasapainoja</w:t>
      </w:r>
      <w:r>
        <w:rPr>
          <w:rFonts w:ascii="Times New Roman" w:hAnsi="Times New Roman"/>
          <w:noProof/>
        </w:rPr>
        <w:t>, jotka liittyivät erityisesti rahoitusalan haavoittuvuustekijöihin sekä yritysten suureen velkaantuneisuuteen ja niiden järjestämättömien</w:t>
      </w:r>
      <w:r>
        <w:rPr>
          <w:rFonts w:ascii="Times New Roman" w:hAnsi="Times New Roman"/>
          <w:noProof/>
        </w:rPr>
        <w:t xml:space="preserve"> lainojen suureen määrään. Ajan tasalle saatetussa tulostaulussa seuraavat indikaattorit ylittävät ohjeelliset kynnysarvot: ulkomainen nettovarallisuusasema ja nimellisten yksikkötyökustannusten kasvu. </w:t>
      </w:r>
    </w:p>
    <w:p w:rsidR="005C26C8" w:rsidRDefault="00115404">
      <w:pPr>
        <w:spacing w:after="200"/>
        <w:ind w:left="0"/>
        <w:jc w:val="both"/>
        <w:rPr>
          <w:rFonts w:ascii="Times New Roman" w:hAnsi="Times New Roman"/>
          <w:noProof/>
        </w:rPr>
      </w:pPr>
      <w:r>
        <w:rPr>
          <w:rFonts w:ascii="Times New Roman" w:hAnsi="Times New Roman"/>
          <w:noProof/>
        </w:rPr>
        <w:t>Talouden ulkoinen rahoitusasema vahvistui entisestään</w:t>
      </w:r>
      <w:r>
        <w:rPr>
          <w:rFonts w:ascii="Times New Roman" w:hAnsi="Times New Roman"/>
          <w:noProof/>
        </w:rPr>
        <w:t>, kun vaihtotaseen ylijäämä kasvoi ja negatiivinen ulkomainen nettovarallisuusasema parani nopeasti lähestyen kynnysarvoa. Vaikka vientimarkkinaosuudet ovat kasvaneet kumulatiivisesti, kireät työmarkkinat ja osaamisvajeet ovat kiihdyttäneet palkkojen nousu</w:t>
      </w:r>
      <w:r>
        <w:rPr>
          <w:rFonts w:ascii="Times New Roman" w:hAnsi="Times New Roman"/>
          <w:noProof/>
        </w:rPr>
        <w:t>a. Tämän seurauksena yksikkötyökustannusten kasvu ylittää huomattavasti kynnysarvon, ja siihen on syytä kiinnittää huomiota. Suotuisten talous- ja rahoitusolosuhteiden vallitessa pankkisektori on vahvistanut vakavaraisuus- ja maksuvalmiussuhdelukujaan ylei</w:t>
      </w:r>
      <w:r>
        <w:rPr>
          <w:rFonts w:ascii="Times New Roman" w:hAnsi="Times New Roman"/>
          <w:noProof/>
        </w:rPr>
        <w:t>sesti. Luotonannon kasvu on voimakasta, ja se rahoitetaan kokonaisuudessaan talletuspohjan laajentumisella. Järjestämättömien lainojen määrä vähenee edelleen, mutta se on edelleen suhteellisen suuri rahoitusalan ulkopuolisissa yrityksissä ja kotimaisessa o</w:t>
      </w:r>
      <w:r>
        <w:rPr>
          <w:rFonts w:ascii="Times New Roman" w:hAnsi="Times New Roman"/>
          <w:noProof/>
        </w:rPr>
        <w:t xml:space="preserve">mistuksessa olevissa pankeissa. Pankkialan ja sen ulkopuolisen rahoitussektorin valvonnan vahvistamiseksi on toteutettu ja ollaan ottamassa käyttöön useita toimenpiteitä. Edelleen on kuitenkin haasteita ja haavoittuvuustekijöitä, jotka liittyvät joidenkin </w:t>
      </w:r>
      <w:r>
        <w:rPr>
          <w:rFonts w:ascii="Times New Roman" w:hAnsi="Times New Roman"/>
          <w:noProof/>
        </w:rPr>
        <w:t>pankkien pääomavajeisiin ja vakuutusalan ratkaisemattomiin huolenaiheisiin. Yrityksillä on yhä suhteellisen runsaasti velkaa, vaikka se onkin vähentynyt huomattavasti. Julkinen velka on pieni ja laskusuunnassa. Asuntojen hinnat ovat edelleen nousseet, josk</w:t>
      </w:r>
      <w:r>
        <w:rPr>
          <w:rFonts w:ascii="Times New Roman" w:hAnsi="Times New Roman"/>
          <w:noProof/>
        </w:rPr>
        <w:t>in hitaammin ja talouden perustekijöiden mukaisesti. Asuntolainojen ja rakennuslupien määrä on noussut voimakkaasti, ja niiden tulevaan kehitykseen on syytä kiinnittää erityistä huomiota. Työttömyys laski hyvin alhaiselle tasolle, ja työvoimaosuus kasvaa e</w:t>
      </w:r>
      <w:r>
        <w:rPr>
          <w:rFonts w:ascii="Times New Roman" w:hAnsi="Times New Roman"/>
          <w:noProof/>
        </w:rPr>
        <w:t xml:space="preserve">delleen, mutta se on kuitenkin suhteellisen pieni. </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kysymykset, jotka liittyvät rahoitusalalla edelleen oleviin haavoittuvuustekijöihin. Komissio katsoo tämän vuoksi ja myös ottaen huomioon helmikuussa havaitu</w:t>
      </w:r>
      <w:r>
        <w:rPr>
          <w:rFonts w:ascii="Times New Roman" w:hAnsi="Times New Roman"/>
          <w:i/>
          <w:noProof/>
        </w:rPr>
        <w:t>t epätasapainot, että on asianmukaista selvittää tarkemmin, jatkuvatko vai purkautuvatko epätasapainot.</w:t>
      </w:r>
    </w:p>
    <w:p w:rsidR="005C26C8" w:rsidRDefault="005C26C8">
      <w:pPr>
        <w:spacing w:after="200"/>
        <w:ind w:left="0"/>
        <w:rPr>
          <w:noProof/>
        </w:rPr>
      </w:pPr>
    </w:p>
    <w:p w:rsidR="005C26C8" w:rsidRDefault="00115404">
      <w:pPr>
        <w:spacing w:after="200"/>
        <w:ind w:left="0"/>
        <w:jc w:val="both"/>
        <w:rPr>
          <w:noProof/>
        </w:rPr>
      </w:pPr>
      <w:r>
        <w:rPr>
          <w:noProof/>
          <w:lang w:val="en-GB" w:eastAsia="en-GB"/>
        </w:rPr>
        <w:drawing>
          <wp:anchor distT="0" distB="0" distL="114300" distR="114300" simplePos="0" relativeHeight="251648000" behindDoc="0" locked="0" layoutInCell="1" allowOverlap="1">
            <wp:simplePos x="0" y="0"/>
            <wp:positionH relativeFrom="column">
              <wp:posOffset>3218180</wp:posOffset>
            </wp:positionH>
            <wp:positionV relativeFrom="paragraph">
              <wp:posOffset>854793</wp:posOffset>
            </wp:positionV>
            <wp:extent cx="2672080" cy="28702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208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rPr>
        <w:t>Tšekki:</w:t>
      </w:r>
      <w:r>
        <w:rPr>
          <w:rFonts w:ascii="Times New Roman" w:hAnsi="Times New Roman"/>
          <w:noProof/>
        </w:rPr>
        <w:t xml:space="preserve"> Makrotalouden epätasapainoa koskevan menettelyn edellisellä kierroksella Tšekillä </w:t>
      </w:r>
      <w:r>
        <w:rPr>
          <w:rFonts w:ascii="Times New Roman" w:hAnsi="Times New Roman"/>
          <w:i/>
          <w:iCs/>
          <w:noProof/>
        </w:rPr>
        <w:t>ei</w:t>
      </w:r>
      <w:r>
        <w:rPr>
          <w:rFonts w:ascii="Times New Roman" w:hAnsi="Times New Roman"/>
          <w:noProof/>
        </w:rPr>
        <w:t xml:space="preserve"> havaittu </w:t>
      </w:r>
      <w:r>
        <w:rPr>
          <w:rFonts w:ascii="Times New Roman" w:hAnsi="Times New Roman"/>
          <w:i/>
          <w:iCs/>
          <w:noProof/>
        </w:rPr>
        <w:t>makrotalouden epätasapainoja</w:t>
      </w:r>
      <w:r>
        <w:rPr>
          <w:rFonts w:ascii="Times New Roman" w:hAnsi="Times New Roman"/>
          <w:noProof/>
        </w:rPr>
        <w:t>. Ajan tasalle saate</w:t>
      </w:r>
      <w:r>
        <w:rPr>
          <w:rFonts w:ascii="Times New Roman" w:hAnsi="Times New Roman"/>
          <w:noProof/>
        </w:rPr>
        <w:t>tussa tulostaulussa seuraavat indikaattorit ylittävät ohjeelliset kynnysarvot: reaalinen efektiivinen valuuttakurssi, nimellisten yksikkötyökustannusten kasvu ja asuntojen reaalihintojen kasvu.</w:t>
      </w:r>
    </w:p>
    <w:p w:rsidR="005C26C8" w:rsidRDefault="00115404">
      <w:pPr>
        <w:spacing w:after="200"/>
        <w:ind w:left="0"/>
        <w:jc w:val="both"/>
        <w:rPr>
          <w:rFonts w:ascii="Times New Roman" w:hAnsi="Times New Roman"/>
          <w:noProof/>
        </w:rPr>
      </w:pPr>
      <w:r>
        <w:rPr>
          <w:rFonts w:ascii="Times New Roman" w:hAnsi="Times New Roman"/>
          <w:noProof/>
        </w:rPr>
        <w:t>Vaihtotase on hieman ylijäämäinen, mutta ylijäämä on laskusuun</w:t>
      </w:r>
      <w:r>
        <w:rPr>
          <w:rFonts w:ascii="Times New Roman" w:hAnsi="Times New Roman"/>
          <w:noProof/>
        </w:rPr>
        <w:t>nassa. Negatiivinen ulkomainen nettovarallisuusasema puolestaan supistui edelleen. Valuuttakurssisitoumuksen päättyminen huhtikuussa 2017 johti reaalisen efektiivisen valuuttakurssin vahvistumiseen erityisesti vuonna 2018. Nimelliset yksikkötyökustannukset</w:t>
      </w:r>
      <w:r>
        <w:rPr>
          <w:rFonts w:ascii="Times New Roman" w:hAnsi="Times New Roman"/>
          <w:noProof/>
        </w:rPr>
        <w:t xml:space="preserve"> ovat nousseet merkittävästi suurten palkankorotusten ja akuutin työvoimapulan vuoksi, mutta nousun odotetaan hidastuvan tulevaisuudessa. Tähän mennessä vientimarkkinaosuudet ovat kasvaneet. Samaan aikaan maa on alttiina kauppapoliittiseen ympäristöön ja g</w:t>
      </w:r>
      <w:r>
        <w:rPr>
          <w:rFonts w:ascii="Times New Roman" w:hAnsi="Times New Roman"/>
          <w:noProof/>
        </w:rPr>
        <w:t>lobaalien arvoketjujen mahdolliseen häiriintymiseen liittyville riskeille. Asuntojen reaalihintojen kasvu on edelleen vahvaa, vaikka kasvu olikin vuonna 2018 hitaampaa kuin vuonna 2017. Lisäksi yksityisellä sektorilla, kotitaloudet mukaan luettuina, on suh</w:t>
      </w:r>
      <w:r>
        <w:rPr>
          <w:rFonts w:ascii="Times New Roman" w:hAnsi="Times New Roman"/>
          <w:noProof/>
        </w:rPr>
        <w:t>teellisen vähän velkaa. Pankkisektori on erittäin vahva, ja järjestämättömien lainojen osuus on hyvin pieni. Julkinen velka vähenee edelleen, sillä valtion talousarvio on ollut ylijäämäinen vuodesta 2016. Työttömyysaste laski edelleen, koska työmarkkinat o</w:t>
      </w:r>
      <w:r>
        <w:rPr>
          <w:rFonts w:ascii="Times New Roman" w:hAnsi="Times New Roman"/>
          <w:noProof/>
        </w:rPr>
        <w:t xml:space="preserve">vat edelleen erittäin kireät. </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kilpailukykyyn ja asuntomarkkinoiden paineisiin liittyvät kysymykset, mutta riskit näyttävät olevan pitkälti hallinnassa. Tästä syystä komissio ei tässä vaiheessa ryhdy perusteel</w:t>
      </w:r>
      <w:r>
        <w:rPr>
          <w:rFonts w:ascii="Times New Roman" w:hAnsi="Times New Roman"/>
          <w:i/>
          <w:noProof/>
        </w:rPr>
        <w:t>lisiin jatkotutkimuksiin makrotalouden epätasapainoa koskevan menettelyn yhteydessä.</w:t>
      </w:r>
    </w:p>
    <w:p w:rsidR="005C26C8" w:rsidRDefault="00115404">
      <w:pPr>
        <w:spacing w:after="200"/>
        <w:ind w:left="0"/>
        <w:jc w:val="both"/>
        <w:rPr>
          <w:rFonts w:ascii="Times New Roman" w:hAnsi="Times New Roman"/>
          <w:b/>
          <w:noProof/>
        </w:rPr>
      </w:pPr>
      <w:r>
        <w:rPr>
          <w:rFonts w:ascii="Times New Roman" w:hAnsi="Times New Roman"/>
          <w:b/>
          <w:noProof/>
        </w:rPr>
        <w:t>Tanska:</w:t>
      </w:r>
      <w:r>
        <w:rPr>
          <w:rFonts w:ascii="Times New Roman" w:hAnsi="Times New Roman"/>
          <w:noProof/>
        </w:rPr>
        <w:t xml:space="preserve"> Makrotalouden epätasapainoa koskevan menettelyn edellisellä kierroksella Tanskalla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xml:space="preserve">. Ajan tasalle saatetussa tulostaulussa seuraavat indikaattorit ylittävät ohjeelliset kynnysarvot: vaihtotase ja yksityisen sektorin velka. </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54144" behindDoc="0" locked="0" layoutInCell="1" allowOverlap="1">
            <wp:simplePos x="0" y="0"/>
            <wp:positionH relativeFrom="column">
              <wp:posOffset>3166966</wp:posOffset>
            </wp:positionH>
            <wp:positionV relativeFrom="paragraph">
              <wp:posOffset>21480</wp:posOffset>
            </wp:positionV>
            <wp:extent cx="2707005" cy="29337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700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 on edelleen voimakkaasti ylijäämäinen, joskin supistumassa. Vaihtotaseen ylijäämä on supistunut viime aikoina, koska yritykset ovat säästäneet vähemmän ja investoineet enemmän kotimaassa. Peräkkäisistä ylijäämistä on ollut seurauksena voimakkaas</w:t>
      </w:r>
      <w:r>
        <w:rPr>
          <w:rFonts w:ascii="Times New Roman" w:hAnsi="Times New Roman"/>
          <w:noProof/>
        </w:rPr>
        <w:t>ti positiivinen ulkomainen nettovarallisuusasema, joka on tuottanut positiivisia nettoensituloja. Tämä on puolestaan vahvistanut vaihtotaseen ylijäämää. Tuottavuuden kasvu on ollut vaimeaa, mikä on vaikuttanut kustannuskilpailukyvyn indikaattoreihin. Vient</w:t>
      </w:r>
      <w:r>
        <w:rPr>
          <w:rFonts w:ascii="Times New Roman" w:hAnsi="Times New Roman"/>
          <w:noProof/>
        </w:rPr>
        <w:t>imarkkinaosuudet ovat supistuneet hieman. Kotitalouksien säästöt ovat lisääntyneet velan vähentämistarpeiden ja riskialttiiden lainojen ottamista rajoittavien makrovakauspoliittisten toimenpiteiden vuoksi. Samaan aikaan velan kasvua tuetaan edelleen alhais</w:t>
      </w:r>
      <w:r>
        <w:rPr>
          <w:rFonts w:ascii="Times New Roman" w:hAnsi="Times New Roman"/>
          <w:noProof/>
        </w:rPr>
        <w:t>illa rahoituskustannuksilla ja edullisella verokohtelulla. Kaiken kaikkiaan kotitalouksien velka suhteessa BKT:hen on edelleen EU:n suurin huolimatta hitaasta suuntauksesta velkaantumisen vähentämiseen. Yritysten velkaantuneisuus on sen sijaan maltillista.</w:t>
      </w:r>
      <w:r>
        <w:rPr>
          <w:rFonts w:ascii="Times New Roman" w:hAnsi="Times New Roman"/>
          <w:noProof/>
        </w:rPr>
        <w:t xml:space="preserve"> Asuntojen reaalihinnat nousevat jatkuvasti, joskin maltillisesti, samalla kun arvostusindikaattorit viittaavat jonkinasteiseen yliarvostukseen. Työmarkkinat paranevat edelleen, ja työllisyyden kasvu on pysynyt vakaana. Työvoimapulaa esiintyy laajasti, mut</w:t>
      </w:r>
      <w:r>
        <w:rPr>
          <w:rFonts w:ascii="Times New Roman" w:hAnsi="Times New Roman"/>
          <w:noProof/>
        </w:rPr>
        <w:t xml:space="preserve">ta se on viime aikoina helpottunut, mikä on lieventänyt palkkojen nostopainetta. </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ulkoiseen ylijäämään ja suureen kotitalouksien velkaan ja asuntosektoriin liittyvät kysymykset, mutta riskit näyttävät olevan h</w:t>
      </w:r>
      <w:r>
        <w:rPr>
          <w:rFonts w:ascii="Times New Roman" w:hAnsi="Times New Roman"/>
          <w:i/>
          <w:noProof/>
        </w:rPr>
        <w:t>allinnassa. Tästä syystä komissio ei tässä vaiheessa ryhdy perusteellisiin jatkotutkimuksiin makrotalouden epätasapainoa koskevan menettelyn yhteydessä.</w:t>
      </w:r>
    </w:p>
    <w:p w:rsidR="005C26C8" w:rsidRDefault="005C26C8">
      <w:pPr>
        <w:spacing w:after="200"/>
        <w:ind w:left="0"/>
        <w:jc w:val="both"/>
        <w:rPr>
          <w:rFonts w:ascii="Times New Roman" w:hAnsi="Times New Roman"/>
          <w:i/>
          <w:noProof/>
        </w:rPr>
      </w:pPr>
    </w:p>
    <w:p w:rsidR="005C26C8" w:rsidRDefault="00115404">
      <w:pPr>
        <w:spacing w:after="200"/>
        <w:ind w:left="0"/>
        <w:jc w:val="both"/>
        <w:rPr>
          <w:rFonts w:ascii="Times New Roman" w:hAnsi="Times New Roman"/>
          <w:noProof/>
        </w:rPr>
      </w:pPr>
      <w:r>
        <w:rPr>
          <w:rFonts w:ascii="Times New Roman" w:hAnsi="Times New Roman"/>
          <w:b/>
          <w:noProof/>
        </w:rPr>
        <w:t>Saksa:</w:t>
      </w:r>
      <w:r>
        <w:rPr>
          <w:rFonts w:ascii="Times New Roman" w:hAnsi="Times New Roman"/>
          <w:noProof/>
        </w:rPr>
        <w:t xml:space="preserve"> Komissio päätteli helmikuussa 2019, että Saksalla oli </w:t>
      </w:r>
      <w:r>
        <w:rPr>
          <w:rFonts w:ascii="Times New Roman" w:hAnsi="Times New Roman"/>
          <w:i/>
          <w:noProof/>
        </w:rPr>
        <w:t>makrotalouden epätasapainoja</w:t>
      </w:r>
      <w:r>
        <w:rPr>
          <w:rFonts w:ascii="Times New Roman" w:hAnsi="Times New Roman"/>
          <w:noProof/>
        </w:rPr>
        <w:t>, jotka liitt</w:t>
      </w:r>
      <w:r>
        <w:rPr>
          <w:rFonts w:ascii="Times New Roman" w:hAnsi="Times New Roman"/>
          <w:noProof/>
        </w:rPr>
        <w:t>yivät erityisesti sen suureen vaihtotaseen ylijäämään. Tämä ylijäämä johtuu vaimeista investoinneista suhteessa säästämiseen sekä yksityisellä että julkisella sektorilla. Ajan tasalle saatetussa tulostaulussa seuraavat indikaattorit ylittävät ohjeelliset k</w:t>
      </w:r>
      <w:r>
        <w:rPr>
          <w:rFonts w:ascii="Times New Roman" w:hAnsi="Times New Roman"/>
          <w:noProof/>
        </w:rPr>
        <w:t xml:space="preserve">ynnysarvot: vaihtotase, reaalinen efektiivinen valuuttakurssi ja julkinen velka. </w:t>
      </w:r>
    </w:p>
    <w:p w:rsidR="005C26C8" w:rsidRDefault="00115404">
      <w:pPr>
        <w:spacing w:after="200"/>
        <w:ind w:left="0"/>
        <w:jc w:val="both"/>
        <w:rPr>
          <w:rFonts w:ascii="Times New Roman" w:hAnsi="Times New Roman"/>
          <w:b/>
          <w:noProof/>
        </w:rPr>
      </w:pPr>
      <w:r>
        <w:rPr>
          <w:rFonts w:ascii="Times New Roman" w:hAnsi="Times New Roman"/>
          <w:noProof/>
        </w:rPr>
        <w:t>Vaihtotaseen ylijäämä on edelleen erittäin suuri, mutta se supistui hieman vuonna 2018. Ulkomaankaupan heikentyessä on siirrytty enemmän kotimaiseen kysyntään perustuvaan kas</w:t>
      </w:r>
      <w:r>
        <w:rPr>
          <w:rFonts w:ascii="Times New Roman" w:hAnsi="Times New Roman"/>
          <w:noProof/>
        </w:rPr>
        <w:t>vuun. Näin ollen vaihtotaseen ylijäämän odotetaan edelleen supistuvan mutta pysyttelevän tästä huolimatta suurena ja kasvattavan ennestään suurta ulkomaista nettovarallisuusasemaa. Heikko tuottavuuden kasvu vaikutti yksikkötyökustannusten nousuun, ja reaal</w:t>
      </w:r>
      <w:r>
        <w:rPr>
          <w:rFonts w:ascii="Times New Roman" w:hAnsi="Times New Roman"/>
          <w:noProof/>
        </w:rPr>
        <w:t>inen efektiivinen valuuttakurssi vahvistui edelleen. Nimellisten työvoimakustannusten kasvu on kiihtynyt kireillä työmarkkinoilla osittain kertaluonteisten poliittisten vaikutusten vuoksi, ja sen odotetaan hidastuvan lyhyellä aikavälillä. Viennin kasvu hid</w:t>
      </w:r>
      <w:r>
        <w:rPr>
          <w:rFonts w:ascii="Times New Roman" w:hAnsi="Times New Roman"/>
          <w:noProof/>
        </w:rPr>
        <w:t xml:space="preserve">astui huomattavasti vuonna 2018, ja vientimarkkinaosuudet supistuivat hieman vuositasolla. Asuntojen reaalihinnat ovat nousseet ja rakennuskustannukset kasvaneet. Molempiin seikkoihin olisi kiinnitettävä huomiota myös alueellisten hintaerojen ja asuntojen </w:t>
      </w:r>
      <w:r>
        <w:rPr>
          <w:rFonts w:ascii="Times New Roman" w:hAnsi="Times New Roman"/>
          <w:noProof/>
        </w:rPr>
        <w:t xml:space="preserve">saatavuuden osalta. Investoinnit asuntosektorille kasvavat edelleen, mutta ne eivät vieläkään riitä täyttämään suurkaupunkialueiden asuntotarpeita. Luotonannon kasvu on vähitellen vahvistumassa. Julkinen velka väheni edelleen, ja sen odotetaan </w:t>
      </w:r>
      <w:r>
        <w:rPr>
          <w:noProof/>
          <w:lang w:val="en-GB" w:eastAsia="en-GB"/>
        </w:rPr>
        <w:drawing>
          <wp:anchor distT="0" distB="0" distL="114300" distR="114300" simplePos="0" relativeHeight="251645952" behindDoc="0" locked="0" layoutInCell="1" allowOverlap="1">
            <wp:simplePos x="0" y="0"/>
            <wp:positionH relativeFrom="column">
              <wp:posOffset>3369448</wp:posOffset>
            </wp:positionH>
            <wp:positionV relativeFrom="paragraph">
              <wp:posOffset>575337</wp:posOffset>
            </wp:positionV>
            <wp:extent cx="2544445" cy="3068955"/>
            <wp:effectExtent l="0" t="0" r="825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44445" cy="3068955"/>
                    </a:xfrm>
                    <a:prstGeom prst="rect">
                      <a:avLst/>
                    </a:prstGeom>
                    <a:noFill/>
                    <a:ln>
                      <a:noFill/>
                    </a:ln>
                  </pic:spPr>
                </pic:pic>
              </a:graphicData>
            </a:graphic>
          </wp:anchor>
        </w:drawing>
      </w:r>
      <w:r>
        <w:rPr>
          <w:rFonts w:ascii="Times New Roman" w:hAnsi="Times New Roman"/>
          <w:noProof/>
        </w:rPr>
        <w:t xml:space="preserve">supistuvan </w:t>
      </w:r>
      <w:r>
        <w:rPr>
          <w:rFonts w:ascii="Times New Roman" w:hAnsi="Times New Roman"/>
          <w:noProof/>
        </w:rPr>
        <w:t>alle kynnysarvon (60 % suhteessa BKT:hen) vuoteen 2019 mennessä. Samalla julkisten investointitarpeiden merkittävä kasauma säilyy, vaikka investoinnit ovat lisääntyneet jo muutaman vuoden ajan. Kokonaistyöttömyys sekä nuoriso- ja pitkäaikaistyöttömyys ovat</w:t>
      </w:r>
      <w:r>
        <w:rPr>
          <w:rFonts w:ascii="Times New Roman" w:hAnsi="Times New Roman"/>
          <w:noProof/>
        </w:rPr>
        <w:t xml:space="preserve"> historiallisen alhaisella tasolla huolimatta siitä, että työmarkkinatilanteen paraneminen on pysähtynyt. </w:t>
      </w:r>
    </w:p>
    <w:p w:rsidR="005C26C8" w:rsidRDefault="00115404">
      <w:pPr>
        <w:spacing w:after="200"/>
        <w:ind w:left="0"/>
        <w:jc w:val="both"/>
        <w:rPr>
          <w:rFonts w:ascii="Times New Roman" w:hAnsi="Times New Roman"/>
          <w:i/>
          <w:noProof/>
        </w:rPr>
      </w:pPr>
      <w:r>
        <w:rPr>
          <w:rFonts w:ascii="Times New Roman" w:hAnsi="Times New Roman"/>
          <w:i/>
          <w:noProof/>
        </w:rPr>
        <w:t xml:space="preserve">Talouspoliittisissa päätelmissä esiin nousevat kysymykset, jotka liittyvät pitkäaikaiseen säästöjen ylijäämään suhteessa investointeihin. Tämä näkyy </w:t>
      </w:r>
      <w:r>
        <w:rPr>
          <w:rFonts w:ascii="Times New Roman" w:hAnsi="Times New Roman"/>
          <w:i/>
          <w:noProof/>
        </w:rPr>
        <w:t>suurena mutta vähitellen supistuvana vaihtotaseen ylijäämänä ja korostaa tarvetta jatkaa tasapainottamista. Komissio katsoo tämän vuoksi ja myös ottaen huomioon helmikuussa havaitut epätasapainot, että on hyödyllistä selvittää tarkemmin, jatkuvatko vai pur</w:t>
      </w:r>
      <w:r>
        <w:rPr>
          <w:rFonts w:ascii="Times New Roman" w:hAnsi="Times New Roman"/>
          <w:i/>
          <w:noProof/>
        </w:rPr>
        <w:t xml:space="preserve">kautuvatko epätasapainot. </w:t>
      </w:r>
    </w:p>
    <w:p w:rsidR="005C26C8" w:rsidRDefault="005C26C8">
      <w:pPr>
        <w:spacing w:after="200"/>
        <w:ind w:left="0"/>
        <w:jc w:val="both"/>
        <w:rPr>
          <w:rFonts w:ascii="Times New Roman" w:hAnsi="Times New Roman"/>
          <w:i/>
          <w:noProof/>
        </w:rPr>
      </w:pPr>
    </w:p>
    <w:p w:rsidR="005C26C8" w:rsidRDefault="00115404">
      <w:pPr>
        <w:spacing w:after="200"/>
        <w:ind w:left="0"/>
        <w:jc w:val="both"/>
        <w:rPr>
          <w:rFonts w:ascii="Times New Roman" w:hAnsi="Times New Roman"/>
          <w:b/>
          <w:noProof/>
        </w:rPr>
      </w:pPr>
      <w:r>
        <w:rPr>
          <w:rFonts w:ascii="Times New Roman" w:hAnsi="Times New Roman"/>
          <w:b/>
          <w:noProof/>
        </w:rPr>
        <w:t>Viro:</w:t>
      </w:r>
      <w:r>
        <w:rPr>
          <w:rFonts w:ascii="Times New Roman" w:hAnsi="Times New Roman"/>
          <w:noProof/>
        </w:rPr>
        <w:t xml:space="preserve"> Makrotalouden epätasapainoa koskevan menettelyn edellisellä kierroksella Virolla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Ajan tasalle saatetussa tulostaulussa seuraavat indikaattorit ylittävät ohjeelliset kynnysarvot: re</w:t>
      </w:r>
      <w:r>
        <w:rPr>
          <w:rFonts w:ascii="Times New Roman" w:hAnsi="Times New Roman"/>
          <w:noProof/>
        </w:rPr>
        <w:t xml:space="preserve">aalinen efektiivinen valuuttakurssi ja nimellisten yksikkötyökustannusten kasvu. </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56192" behindDoc="0" locked="0" layoutInCell="1" allowOverlap="1">
            <wp:simplePos x="0" y="0"/>
            <wp:positionH relativeFrom="column">
              <wp:posOffset>3251200</wp:posOffset>
            </wp:positionH>
            <wp:positionV relativeFrom="paragraph">
              <wp:posOffset>-2540</wp:posOffset>
            </wp:positionV>
            <wp:extent cx="2662555" cy="2989580"/>
            <wp:effectExtent l="0" t="0" r="4445"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2555" cy="298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Vaihtotaseen ylijäämä on vakaa, ja negatiivinen ulkomainen nettovarallisuusasema on parantunut. Reaalisen efektiivisen valuuttakurssin vahvistuminen kiihtyi vuonna 2018, ja </w:t>
      </w:r>
      <w:r>
        <w:rPr>
          <w:rFonts w:ascii="Times New Roman" w:hAnsi="Times New Roman"/>
          <w:noProof/>
        </w:rPr>
        <w:t>indikaattori nousi yli kynnysarvon. Yksikkötyökustannusten kasvu on myös edelleen kiihtynyt kotimaisten hinta- ja palkkapaineiden vuoksi erityisesti julkisella sektorilla. Tämä on osoitus kireistä työmarkkinoista. Vientimarkkinaosuudet ovat kasvaneet hiema</w:t>
      </w:r>
      <w:r>
        <w:rPr>
          <w:rFonts w:ascii="Times New Roman" w:hAnsi="Times New Roman"/>
          <w:noProof/>
        </w:rPr>
        <w:t>n kumulatiivisesti. Julkisen ja yksityisen sektorin luotonotto ja velkaantuminen ovat suhteellisen alhaisella tasolla. Lisäksi yksityisen sektorin velka on pienentynyt edelleen velkaantumisen purkamiseen liittyvän kehityksen seurauksena. Asuntojen reaalihi</w:t>
      </w:r>
      <w:r>
        <w:rPr>
          <w:rFonts w:ascii="Times New Roman" w:hAnsi="Times New Roman"/>
          <w:noProof/>
        </w:rPr>
        <w:t>ntojen nousu on hidastunut maltilliselle tasolle. Kireät työmarkkinat näkyvät suhteellisen alhaisena työttömyysasteena ja erittäin korkeana työvoimaosuutena EU:n mittasuhteissa.</w:t>
      </w:r>
    </w:p>
    <w:p w:rsidR="005C26C8" w:rsidRDefault="00115404">
      <w:pPr>
        <w:spacing w:after="200"/>
        <w:ind w:left="0"/>
        <w:jc w:val="both"/>
        <w:rPr>
          <w:rFonts w:ascii="Times New Roman" w:hAnsi="Times New Roman"/>
          <w:i/>
          <w:iCs/>
          <w:noProof/>
        </w:rPr>
      </w:pPr>
      <w:r>
        <w:rPr>
          <w:rFonts w:ascii="Times New Roman" w:hAnsi="Times New Roman"/>
          <w:i/>
          <w:iCs/>
          <w:noProof/>
        </w:rPr>
        <w:t>Talouspoliittisissa päätelmissä esiin nousevat nimellisiin yksikkötyökustannuk</w:t>
      </w:r>
      <w:r>
        <w:rPr>
          <w:rFonts w:ascii="Times New Roman" w:hAnsi="Times New Roman"/>
          <w:i/>
          <w:iCs/>
          <w:noProof/>
        </w:rPr>
        <w:t>siin ja reaaliseen efektiiviseen valuuttakurssiin liittyvät kysymykset, mutta riskit näyttävät olevan hallinnassa. Tästä syystä komissio ei tässä vaiheessa ryhdy perusteellisiin jatkotutkimuksiin makrotalouden epätasapainoa koskevan menettelyn yhteydessä.</w:t>
      </w:r>
    </w:p>
    <w:p w:rsidR="005C26C8" w:rsidRDefault="00115404">
      <w:pPr>
        <w:spacing w:after="200"/>
        <w:ind w:left="0"/>
        <w:jc w:val="both"/>
        <w:rPr>
          <w:rFonts w:ascii="Times New Roman" w:eastAsia="Times New Roman" w:hAnsi="Times New Roman"/>
          <w:b/>
          <w:noProof/>
          <w:color w:val="000000"/>
        </w:rPr>
      </w:pPr>
      <w:r>
        <w:rPr>
          <w:rFonts w:ascii="Times New Roman" w:hAnsi="Times New Roman"/>
          <w:b/>
          <w:noProof/>
        </w:rPr>
        <w:t>Irlanti:</w:t>
      </w:r>
      <w:r>
        <w:rPr>
          <w:rFonts w:ascii="Times New Roman" w:hAnsi="Times New Roman"/>
          <w:noProof/>
        </w:rPr>
        <w:t xml:space="preserve"> Komissio päätteli helmikuussa 2019, että Irlannilla oli </w:t>
      </w:r>
      <w:r>
        <w:rPr>
          <w:rFonts w:ascii="Times New Roman" w:hAnsi="Times New Roman"/>
          <w:i/>
          <w:noProof/>
        </w:rPr>
        <w:t>makrotalouden epätasapainoja</w:t>
      </w:r>
      <w:r>
        <w:rPr>
          <w:rFonts w:ascii="Times New Roman" w:hAnsi="Times New Roman"/>
          <w:noProof/>
        </w:rPr>
        <w:t>, jotka liittyivät erityisesti suuresta julkisesta ja yksityisestä velasta ja suuresta ulkomaisesta nettovelasta johtuviin haavoittuvuustekijöihin. Ajan tasalle sa</w:t>
      </w:r>
      <w:r>
        <w:rPr>
          <w:rFonts w:ascii="Times New Roman" w:hAnsi="Times New Roman"/>
          <w:noProof/>
        </w:rPr>
        <w:t xml:space="preserve">atetussa tulostaulussa seuraavat indikaattorit ylittävät ohjeelliset kynnysarvot: ulkomainen nettovarallisuusasema, yksityinen velka, julkinen velka ja asuntojen reaalihintojen nousu. </w:t>
      </w:r>
    </w:p>
    <w:p w:rsidR="005C26C8" w:rsidRDefault="00115404">
      <w:pPr>
        <w:autoSpaceDE w:val="0"/>
        <w:autoSpaceDN w:val="0"/>
        <w:adjustRightInd w:val="0"/>
        <w:spacing w:after="200"/>
        <w:ind w:left="0"/>
        <w:jc w:val="both"/>
        <w:rPr>
          <w:rFonts w:ascii="Times New Roman" w:eastAsia="Times New Roman" w:hAnsi="Times New Roman"/>
          <w:noProof/>
          <w:color w:val="000000"/>
        </w:rPr>
      </w:pPr>
      <w:r>
        <w:rPr>
          <w:noProof/>
          <w:lang w:val="en-GB" w:eastAsia="en-GB"/>
        </w:rPr>
        <w:drawing>
          <wp:anchor distT="0" distB="0" distL="114300" distR="114300" simplePos="0" relativeHeight="251663360" behindDoc="0" locked="0" layoutInCell="1" allowOverlap="1">
            <wp:simplePos x="0" y="0"/>
            <wp:positionH relativeFrom="column">
              <wp:posOffset>3378035</wp:posOffset>
            </wp:positionH>
            <wp:positionV relativeFrom="paragraph">
              <wp:posOffset>-635</wp:posOffset>
            </wp:positionV>
            <wp:extent cx="2528404" cy="2807257"/>
            <wp:effectExtent l="0" t="0" r="571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8404" cy="2807257"/>
                    </a:xfrm>
                    <a:prstGeom prst="rect">
                      <a:avLst/>
                    </a:prstGeom>
                    <a:noFill/>
                    <a:ln>
                      <a:noFill/>
                    </a:ln>
                  </pic:spPr>
                </pic:pic>
              </a:graphicData>
            </a:graphic>
          </wp:anchor>
        </w:drawing>
      </w:r>
      <w:r>
        <w:rPr>
          <w:rFonts w:ascii="Times New Roman" w:hAnsi="Times New Roman"/>
          <w:noProof/>
        </w:rPr>
        <w:t xml:space="preserve">Vaihtotase oli pitkälti tasapainossa vuonna 2017, mutta kääntyi </w:t>
      </w:r>
      <w:r>
        <w:rPr>
          <w:rFonts w:ascii="Times New Roman" w:hAnsi="Times New Roman"/>
          <w:noProof/>
        </w:rPr>
        <w:t>selvästi ylijäämäiseksi vuonna 2018. Tämä suuri muutos johtuu pääasiassa monikansallisten yritysten toiminnasta. Muutettu vaihtotaseen mittari, joka kuvastaa paremmin kotimaista taloudellista toimintaa, viittaa pienempään ylijäämään vuonna 2018. Ulkomainen</w:t>
      </w:r>
      <w:r>
        <w:rPr>
          <w:rFonts w:ascii="Times New Roman" w:hAnsi="Times New Roman"/>
          <w:noProof/>
        </w:rPr>
        <w:t xml:space="preserve"> nettovarallisuusasema on edelleen erittäin negatiivinen, mikä johtuu osittain monikansallisten yritysten ja suuren offshore-rahoituskeskuksen toiminnasta, jolla on vain vähäiset yhteydet kotimaiseen talouteen. Julkinen velka suhteessa BKT:hen on vahvan ta</w:t>
      </w:r>
      <w:r>
        <w:rPr>
          <w:rFonts w:ascii="Times New Roman" w:hAnsi="Times New Roman"/>
          <w:noProof/>
        </w:rPr>
        <w:t>louskasvun myötä supistunut, mutta velan määrä on edelleen suuri. Yksityisen sektorin velka on edelleen hyvin suuri, mutta se on jatkanut laskuaan. Kotitaloudet ovat edelleen vähentäneet velkaansa, ja irlantilaisten pankkien riskisaamisten määrä kotimaisil</w:t>
      </w:r>
      <w:r>
        <w:rPr>
          <w:rFonts w:ascii="Times New Roman" w:hAnsi="Times New Roman"/>
          <w:noProof/>
        </w:rPr>
        <w:t>ta yrityksiltä on vähentynyt, mikä viittaa siihen, että yritysten velkaantuneisuuden purkaminen jatkuu. Asuntojen reaalihintojen nousu jatkui vuonna 2018, mutta hidastui merkittävästi vuoden aikana. Kohtuuhintaisten asuntojen puute on kuitenkin edelleen on</w:t>
      </w:r>
      <w:r>
        <w:rPr>
          <w:rFonts w:ascii="Times New Roman" w:hAnsi="Times New Roman"/>
          <w:noProof/>
        </w:rPr>
        <w:t>gelma. Järjestämättömien lainojen osuus on laskenut tasaisesti viime vuosina ja pankkien pääomapohja on hyvä, mutta niiden varausten määrä on suhteellisen alhainen. Pankkien kannattavuus paranee vähitellen, joskin kehitys on edelleen vaimeaa. Työttömyys vä</w:t>
      </w:r>
      <w:r>
        <w:rPr>
          <w:rFonts w:ascii="Times New Roman" w:hAnsi="Times New Roman"/>
          <w:noProof/>
        </w:rPr>
        <w:t>henee jatkuvasti ja lähestyy kriisiä edeltävää tasoa.</w:t>
      </w:r>
    </w:p>
    <w:p w:rsidR="005C26C8" w:rsidRDefault="00115404">
      <w:pPr>
        <w:spacing w:after="200"/>
        <w:ind w:left="0"/>
        <w:jc w:val="both"/>
        <w:rPr>
          <w:rFonts w:ascii="Times New Roman" w:hAnsi="Times New Roman"/>
          <w:noProof/>
        </w:rPr>
      </w:pPr>
      <w:r>
        <w:rPr>
          <w:rFonts w:ascii="Times New Roman" w:hAnsi="Times New Roman"/>
          <w:i/>
          <w:iCs/>
          <w:noProof/>
        </w:rPr>
        <w:t xml:space="preserve">Talouspoliittisissa päätelmissä esiin nousevat kysymykset, jotka liittyvät ulkoisen rahoitusaseman epävakauteen, yksityisen ja julkisen velan määrään ja asuntomarkkinoihin. </w:t>
      </w:r>
      <w:r>
        <w:rPr>
          <w:rFonts w:ascii="Times New Roman" w:hAnsi="Times New Roman"/>
          <w:i/>
          <w:noProof/>
        </w:rPr>
        <w:t xml:space="preserve">Komissio katsoo tämän vuoksi </w:t>
      </w:r>
      <w:r>
        <w:rPr>
          <w:rFonts w:ascii="Times New Roman" w:hAnsi="Times New Roman"/>
          <w:i/>
          <w:noProof/>
        </w:rPr>
        <w:t>ja myös ottaen huomioon helmikuussa havaitut epätasapainot, että on asianmukaista selvittää tarkemmin, jatkuvatko vai purkautuvatko epätasapainot.</w:t>
      </w:r>
    </w:p>
    <w:p w:rsidR="005C26C8" w:rsidRDefault="005C26C8">
      <w:pPr>
        <w:spacing w:after="200"/>
        <w:ind w:left="0"/>
        <w:rPr>
          <w:noProof/>
        </w:rPr>
      </w:pPr>
    </w:p>
    <w:p w:rsidR="005C26C8" w:rsidRDefault="00115404">
      <w:pPr>
        <w:spacing w:after="200"/>
        <w:ind w:left="0"/>
        <w:jc w:val="both"/>
        <w:rPr>
          <w:rFonts w:ascii="Times New Roman" w:hAnsi="Times New Roman"/>
          <w:b/>
          <w:noProof/>
        </w:rPr>
      </w:pPr>
      <w:r>
        <w:rPr>
          <w:rFonts w:ascii="Times New Roman" w:hAnsi="Times New Roman"/>
          <w:b/>
          <w:noProof/>
        </w:rPr>
        <w:t xml:space="preserve">Kreikka: </w:t>
      </w:r>
      <w:r>
        <w:rPr>
          <w:rFonts w:ascii="Times New Roman" w:hAnsi="Times New Roman"/>
          <w:noProof/>
        </w:rPr>
        <w:t xml:space="preserve">Komissio päätteli helmikuussa 2019, että Kreikalla oli </w:t>
      </w:r>
      <w:r>
        <w:rPr>
          <w:rFonts w:ascii="Times New Roman" w:hAnsi="Times New Roman"/>
          <w:i/>
          <w:noProof/>
        </w:rPr>
        <w:t>liiallisia makrotalouden epätasapainoja</w:t>
      </w:r>
      <w:r>
        <w:rPr>
          <w:rFonts w:ascii="Times New Roman" w:hAnsi="Times New Roman"/>
          <w:noProof/>
        </w:rPr>
        <w:t>, jot</w:t>
      </w:r>
      <w:r>
        <w:rPr>
          <w:rFonts w:ascii="Times New Roman" w:hAnsi="Times New Roman"/>
          <w:noProof/>
        </w:rPr>
        <w:t>ka liittyivät erityisesti julkisen sektorin suureen velkaantuneisuuteen, negatiiviseen ulkoiseen rahoitusasemaan ja järjestämättömien lainojen suureen osuuteen tilanteessa, jossa työttömyysaste on korkea, joskin laskusuunnassa, ja potentiaalinen kasvu vähä</w:t>
      </w:r>
      <w:r>
        <w:rPr>
          <w:rFonts w:ascii="Times New Roman" w:hAnsi="Times New Roman"/>
          <w:noProof/>
        </w:rPr>
        <w:t xml:space="preserve">istä. Ajan tasalle saatetussa tulostaulussa seuraavat indikaattorit ylittävät ohjeelliset kynnysarvot: ulkomainen nettovarallisuusasema, julkinen bruttovelka ja työttömyysaste. </w:t>
      </w:r>
    </w:p>
    <w:p w:rsidR="005C26C8" w:rsidRDefault="00115404">
      <w:pPr>
        <w:spacing w:after="200"/>
        <w:ind w:left="0"/>
        <w:jc w:val="both"/>
        <w:rPr>
          <w:rFonts w:ascii="Times New Roman" w:hAnsi="Times New Roman"/>
          <w:noProof/>
        </w:rPr>
      </w:pPr>
      <w:r>
        <w:rPr>
          <w:rFonts w:ascii="Times New Roman" w:hAnsi="Times New Roman"/>
          <w:noProof/>
        </w:rPr>
        <w:t>Kreikan suuri negatiivinen ulkomainen varallisuusasema koostuu suurelta osin n</w:t>
      </w:r>
      <w:r>
        <w:rPr>
          <w:rFonts w:ascii="Times New Roman" w:hAnsi="Times New Roman"/>
          <w:noProof/>
        </w:rPr>
        <w:t>ettovelasta, erityisesti ulkomaisesta julkisesta velasta, joka on enimmäkseen julkisen sektorin velkojien hallussa ja jonka ehdot ovat erittäin edulliset. Nimellisen BKT:n maltillinen kasvu ja alijäämäinen vaihtotase, joka laajeni vuonna 2018, estävät suur</w:t>
      </w:r>
      <w:r>
        <w:rPr>
          <w:rFonts w:ascii="Times New Roman" w:hAnsi="Times New Roman"/>
          <w:noProof/>
        </w:rPr>
        <w:t xml:space="preserve">en ulkomaisen nettovelan nopeamman sopeutuksen. Nimelliset </w:t>
      </w:r>
      <w:r>
        <w:rPr>
          <w:noProof/>
          <w:lang w:val="en-GB" w:eastAsia="en-GB"/>
        </w:rPr>
        <w:drawing>
          <wp:anchor distT="0" distB="0" distL="114300" distR="114300" simplePos="0" relativeHeight="251650048" behindDoc="0" locked="0" layoutInCell="1" allowOverlap="1">
            <wp:simplePos x="0" y="0"/>
            <wp:positionH relativeFrom="column">
              <wp:posOffset>3201670</wp:posOffset>
            </wp:positionH>
            <wp:positionV relativeFrom="paragraph">
              <wp:posOffset>18663</wp:posOffset>
            </wp:positionV>
            <wp:extent cx="2646680" cy="2766695"/>
            <wp:effectExtent l="0" t="0" r="127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6680"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yksikkötyökustannukset kasvoivat vuonna 2018 tilanteessa, jossa työn tuottavuuden kasvu oli tasaista. Palkankorotukset johtivat reaalisen efektiivisen valuuttakurssin nousuun, kun taas vientimarkk</w:t>
      </w:r>
      <w:r>
        <w:rPr>
          <w:rFonts w:ascii="Times New Roman" w:hAnsi="Times New Roman"/>
          <w:noProof/>
        </w:rPr>
        <w:t>inaosuudet kasvoivat vuonna 2018 jo toista peräkkäistä vuotta. Julkinen velka on erittäin suuri, mutta sen ennustetaan</w:t>
      </w:r>
      <w:r>
        <w:rPr>
          <w:noProof/>
        </w:rPr>
        <w:t xml:space="preserve"> </w:t>
      </w:r>
      <w:r>
        <w:rPr>
          <w:rFonts w:ascii="Times New Roman" w:hAnsi="Times New Roman"/>
          <w:noProof/>
        </w:rPr>
        <w:t>vähenevän asteittain tulevina vuosina. Julkisen velan kestävyyttä tuetaan eurooppalaisten kumppaneiden vuonna 2018 sopimilla velkahelpotu</w:t>
      </w:r>
      <w:r>
        <w:rPr>
          <w:rFonts w:ascii="Times New Roman" w:hAnsi="Times New Roman"/>
          <w:noProof/>
        </w:rPr>
        <w:t>stoimenpiteillä. Asuntojen reaalihinnat alkoivat nousta vuonna 2018 vuosikymmenen kestäneen hintojen laskun jälkeen. Yksityisen sektorin luotonoton kasvu on negatiivista, sillä velkaantumisen vähentäminen jatkuu. Samaan aikaan järjestämättömien lainojen su</w:t>
      </w:r>
      <w:r>
        <w:rPr>
          <w:rFonts w:ascii="Times New Roman" w:hAnsi="Times New Roman"/>
          <w:noProof/>
        </w:rPr>
        <w:t xml:space="preserve">uri määrä on hitaasti purkautumassa. Työttömyys on vähenemässä, mutta se on edelleen hyvin korkea, erityisesti pitkäaikais- ja nuorisotyöttömyys. </w:t>
      </w:r>
    </w:p>
    <w:p w:rsidR="005C26C8" w:rsidRDefault="00115404">
      <w:pPr>
        <w:spacing w:after="200"/>
        <w:ind w:left="0"/>
        <w:jc w:val="both"/>
        <w:rPr>
          <w:rFonts w:ascii="Times New Roman" w:hAnsi="Times New Roman"/>
          <w:noProof/>
        </w:rPr>
      </w:pPr>
      <w:r>
        <w:rPr>
          <w:rFonts w:ascii="Times New Roman" w:hAnsi="Times New Roman"/>
          <w:i/>
          <w:noProof/>
        </w:rPr>
        <w:t>Talouspoliittisissa päätelmissä esiin nousevat kysymykset, jotka liittyvät suureen julkiseen velkaan, negatii</w:t>
      </w:r>
      <w:r>
        <w:rPr>
          <w:rFonts w:ascii="Times New Roman" w:hAnsi="Times New Roman"/>
          <w:i/>
          <w:noProof/>
        </w:rPr>
        <w:t>viseen ulkomaiseen varallisuusasemaan ja järjestämättömien lainojen suureen määrään. Kaikki nämä tekijät esiintyvät tilanteessa, jolle on ominaista korkea työttömyys, heikko tuottavuuden kasvu ja verkkainen investointitoiminta. Komissio katsoo tämän vuoksi</w:t>
      </w:r>
      <w:r>
        <w:rPr>
          <w:rFonts w:ascii="Times New Roman" w:hAnsi="Times New Roman"/>
          <w:i/>
          <w:noProof/>
        </w:rPr>
        <w:t xml:space="preserve"> ja myös ottaen huomioon helmikuussa havaitut liialliset epätasapainot, että on hyödyllistä selvittää tarkemmin, missä määrin makrotaloudessa on edelleen riskejä, sekä seurata, edistytäänkö liiallisten epätasapainojen purkamisessa.</w:t>
      </w:r>
    </w:p>
    <w:p w:rsidR="005C26C8" w:rsidRDefault="005C26C8">
      <w:pPr>
        <w:spacing w:after="200"/>
        <w:ind w:left="0"/>
        <w:jc w:val="both"/>
        <w:rPr>
          <w:rFonts w:ascii="Times New Roman" w:hAnsi="Times New Roman"/>
          <w:noProof/>
          <w:sz w:val="24"/>
          <w:szCs w:val="24"/>
        </w:rPr>
      </w:pPr>
    </w:p>
    <w:p w:rsidR="005C26C8" w:rsidRDefault="00115404">
      <w:pPr>
        <w:spacing w:after="200"/>
        <w:ind w:left="0"/>
        <w:jc w:val="both"/>
        <w:rPr>
          <w:rFonts w:ascii="Times New Roman" w:hAnsi="Times New Roman"/>
          <w:b/>
          <w:noProof/>
        </w:rPr>
      </w:pPr>
      <w:r>
        <w:rPr>
          <w:rFonts w:ascii="Times New Roman" w:hAnsi="Times New Roman"/>
          <w:b/>
          <w:noProof/>
        </w:rPr>
        <w:t>Espanja</w:t>
      </w:r>
      <w:r>
        <w:rPr>
          <w:rFonts w:ascii="Times New Roman" w:hAnsi="Times New Roman"/>
          <w:noProof/>
        </w:rPr>
        <w:t>: Komissio päätt</w:t>
      </w:r>
      <w:r>
        <w:rPr>
          <w:rFonts w:ascii="Times New Roman" w:hAnsi="Times New Roman"/>
          <w:noProof/>
        </w:rPr>
        <w:t xml:space="preserve">eli helmikuussa 2019, että Espanjalla oli </w:t>
      </w:r>
      <w:r>
        <w:rPr>
          <w:rFonts w:ascii="Times New Roman" w:hAnsi="Times New Roman"/>
          <w:i/>
          <w:noProof/>
        </w:rPr>
        <w:t>makrotalouden epätasapainoja</w:t>
      </w:r>
      <w:r>
        <w:rPr>
          <w:rFonts w:ascii="Times New Roman" w:hAnsi="Times New Roman"/>
          <w:noProof/>
        </w:rPr>
        <w:t>, jotka liittyivät suureen ulkomaiseen ja kotimaiseen velkaan yksityisellä ja julkisella sektorilla korkean työttömyyden vallitessa. Ajan tasalle saatetussa tulostaulussa seuraavat indik</w:t>
      </w:r>
      <w:r>
        <w:rPr>
          <w:rFonts w:ascii="Times New Roman" w:hAnsi="Times New Roman"/>
          <w:noProof/>
        </w:rPr>
        <w:t xml:space="preserve">aattorit ylittävät ohjeelliset kynnysarvot: ulkomainen nettovarallisuusasema, julkisen talouden velkasuhde, yksityinen velka, työttömyysaste ja työvoimaosuuden lasku. </w:t>
      </w:r>
    </w:p>
    <w:p w:rsidR="005C26C8" w:rsidRDefault="00115404">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43904" behindDoc="0" locked="0" layoutInCell="1" allowOverlap="1">
            <wp:simplePos x="0" y="0"/>
            <wp:positionH relativeFrom="column">
              <wp:posOffset>3250565</wp:posOffset>
            </wp:positionH>
            <wp:positionV relativeFrom="paragraph">
              <wp:posOffset>20955</wp:posOffset>
            </wp:positionV>
            <wp:extent cx="2599690" cy="31756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9690" cy="3175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 on ollut jatkuvasti ylijäämäinen, mutta se supistui vuonna 2018. Negatiivine</w:t>
      </w:r>
      <w:r>
        <w:rPr>
          <w:rFonts w:ascii="Times New Roman" w:hAnsi="Times New Roman"/>
          <w:noProof/>
        </w:rPr>
        <w:t>n ulkomainen nettovarallisuusasema on kohentunut edelleen, mutta se on yhä erittäin suuri. Nimelliset yksikkötyökustannukset ovat nousseet hieman tilanteessa, jossa tuottavuuden kasvu on lähellä nollaa. Suhteellinen kustannuskilpailukyvyn parantuminen on o</w:t>
      </w:r>
      <w:r>
        <w:rPr>
          <w:rFonts w:ascii="Times New Roman" w:hAnsi="Times New Roman"/>
          <w:noProof/>
        </w:rPr>
        <w:t>llut tärkein syy kilpailukyvyn paranemiseen kriisien jälkeen. Vaikka vienti heikkeni jonkin verran vuonna 2018 osittain väliaikaisten tekijöiden vuoksi, se on kasvanut maltillisesti ja vientimarkkinaosuudet ovat pysyneet jokseenkin vakaina. Yksityisen sekt</w:t>
      </w:r>
      <w:r>
        <w:rPr>
          <w:rFonts w:ascii="Times New Roman" w:hAnsi="Times New Roman"/>
          <w:noProof/>
        </w:rPr>
        <w:t>orin velka on edelleen vähentynyt koko vuoden 2018 ajan, mutta velan vähentämiseen on edelleen tarvetta. Yritysten velkasuhteen supistuminen jatkui, mutta se on hidastunut uusien luottojen lievästi positiivisen kasvun vuoksi. Kotitalouksien velkasuhde on e</w:t>
      </w:r>
      <w:r>
        <w:rPr>
          <w:rFonts w:ascii="Times New Roman" w:hAnsi="Times New Roman"/>
          <w:noProof/>
        </w:rPr>
        <w:t>delleen supistunut, vaikka luotonannon kasvu kääntyi positiiviseksi vuonna 2018. Asuntojen reaalihinnat ovat edelleen nousseet, ja aliarvostus näyttää päättyvän. Julkisen talouden alijäämää on viime vuosina pystytty supistamaan pääasiassa voimakkaan talous</w:t>
      </w:r>
      <w:r>
        <w:rPr>
          <w:rFonts w:ascii="Times New Roman" w:hAnsi="Times New Roman"/>
          <w:noProof/>
        </w:rPr>
        <w:t>kasvun ansiosta, mutta jatkuvat alijäämät merkitsevät sitä, että julkisen talouden edelleen korkea velkasuhde supistuu hitaasti. Työttömyys on vähentynyt nopeasti, mutta työttömyysaste on erittäin korkea ja ylittää kriisiä edeltäneet tasot erityisesti nuor</w:t>
      </w:r>
      <w:r>
        <w:rPr>
          <w:rFonts w:ascii="Times New Roman" w:hAnsi="Times New Roman"/>
          <w:noProof/>
        </w:rPr>
        <w:t xml:space="preserve">ten ja kouluttamattomien työntekijöiden keskuudessa. </w:t>
      </w:r>
    </w:p>
    <w:p w:rsidR="005C26C8" w:rsidRDefault="00115404">
      <w:pPr>
        <w:autoSpaceDE w:val="0"/>
        <w:autoSpaceDN w:val="0"/>
        <w:adjustRightInd w:val="0"/>
        <w:spacing w:after="200"/>
        <w:ind w:left="0"/>
        <w:jc w:val="both"/>
        <w:rPr>
          <w:rFonts w:ascii="Times New Roman" w:hAnsi="Times New Roman"/>
          <w:i/>
          <w:noProof/>
        </w:rPr>
      </w:pPr>
      <w:r>
        <w:rPr>
          <w:rFonts w:ascii="Times New Roman" w:hAnsi="Times New Roman"/>
          <w:i/>
          <w:noProof/>
        </w:rPr>
        <w:t>Talouspoliittisissa päätelmissä esiin nousevat ulkoiseen kestävyyteen sekä yksityiseen ja julkiseen velkaan liittyvät kysymykset tilanteessa, jossa työttömyys on korkealla ja tuottavuuden kasvu heikkoa.</w:t>
      </w:r>
      <w:r>
        <w:rPr>
          <w:rFonts w:ascii="Times New Roman" w:hAnsi="Times New Roman"/>
          <w:i/>
          <w:noProof/>
        </w:rPr>
        <w:t xml:space="preserve"> Komissio katsoo tämän vuoksi ja myös ottaen huomioon helmikuussa havaitut epätasapainot, että on asianmukaista selvittää tarkemmin, jatkuvatko vai purkautuvatko epätasapainot. </w:t>
      </w:r>
    </w:p>
    <w:p w:rsidR="005C26C8" w:rsidRDefault="00115404">
      <w:pPr>
        <w:autoSpaceDE w:val="0"/>
        <w:autoSpaceDN w:val="0"/>
        <w:adjustRightInd w:val="0"/>
        <w:spacing w:after="200"/>
        <w:ind w:left="0"/>
        <w:jc w:val="both"/>
        <w:rPr>
          <w:noProof/>
        </w:rPr>
      </w:pPr>
      <w:r>
        <w:rPr>
          <w:noProof/>
        </w:rPr>
        <w:t xml:space="preserve"> </w:t>
      </w:r>
    </w:p>
    <w:p w:rsidR="005C26C8" w:rsidRDefault="00115404">
      <w:pPr>
        <w:spacing w:after="200"/>
        <w:ind w:left="0"/>
        <w:jc w:val="both"/>
        <w:rPr>
          <w:rFonts w:ascii="Times New Roman" w:hAnsi="Times New Roman"/>
          <w:b/>
          <w:noProof/>
        </w:rPr>
      </w:pPr>
      <w:r>
        <w:rPr>
          <w:rFonts w:ascii="Times New Roman" w:hAnsi="Times New Roman"/>
          <w:b/>
          <w:noProof/>
        </w:rPr>
        <w:t>Ranska:</w:t>
      </w:r>
      <w:r>
        <w:rPr>
          <w:rFonts w:ascii="Times New Roman" w:hAnsi="Times New Roman"/>
          <w:noProof/>
        </w:rPr>
        <w:t xml:space="preserve"> Komissio päätteli helmikuussa 2019, että Ranskalla oli </w:t>
      </w:r>
      <w:r>
        <w:rPr>
          <w:rFonts w:ascii="Times New Roman" w:hAnsi="Times New Roman"/>
          <w:i/>
          <w:noProof/>
        </w:rPr>
        <w:t>makrotalouden</w:t>
      </w:r>
      <w:r>
        <w:rPr>
          <w:rFonts w:ascii="Times New Roman" w:hAnsi="Times New Roman"/>
          <w:i/>
          <w:noProof/>
        </w:rPr>
        <w:t xml:space="preserve"> epätasapainoja</w:t>
      </w:r>
      <w:r>
        <w:rPr>
          <w:rFonts w:ascii="Times New Roman" w:hAnsi="Times New Roman"/>
          <w:noProof/>
        </w:rPr>
        <w:t>, jotka liittyivät erityisesti suureen julkiseen velkaan ja heikkoon kilpailukyvyn kehitykseen tilanteessa, jossa tuottavuuden kasvu oli heikkoa. Ajan tasalle saatetussa tulostaulussa seuraavat indikaattorit ylittävät ohjeelliset kynnysarvot</w:t>
      </w:r>
      <w:r>
        <w:rPr>
          <w:rFonts w:ascii="Times New Roman" w:hAnsi="Times New Roman"/>
          <w:noProof/>
        </w:rPr>
        <w:t>: julkisen talouden velka ja yksityisen sektorin velka.</w:t>
      </w:r>
      <w:r>
        <w:rPr>
          <w:rFonts w:ascii="Times New Roman" w:hAnsi="Times New Roman"/>
          <w:bCs/>
          <w:noProof/>
        </w:rPr>
        <w:t xml:space="preserve"> </w:t>
      </w:r>
    </w:p>
    <w:p w:rsidR="005C26C8" w:rsidRDefault="00115404">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44928" behindDoc="0" locked="0" layoutInCell="1" allowOverlap="1">
            <wp:simplePos x="0" y="0"/>
            <wp:positionH relativeFrom="column">
              <wp:posOffset>3175635</wp:posOffset>
            </wp:positionH>
            <wp:positionV relativeFrom="paragraph">
              <wp:posOffset>22225</wp:posOffset>
            </wp:positionV>
            <wp:extent cx="2647315" cy="3105150"/>
            <wp:effectExtent l="0" t="0" r="63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4731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 on maltillisesti ja vakaasti alijäämäinen, kun taas ulkomainen nettovarallisuusasema on lievästi negatiivinen. Vientimarkkinaosuudet pysyivät vakaina vuonna 2018 sekä vuositasolla että vi</w:t>
      </w:r>
      <w:r>
        <w:rPr>
          <w:rFonts w:ascii="Times New Roman" w:hAnsi="Times New Roman"/>
          <w:noProof/>
        </w:rPr>
        <w:t>isivuotisindikaattorin perusteella. Yksikkötyökustannusten kasvu on ollut maltillista ja alle euroalueen keskiarvon, vaikka työn tuottavuuden kasvu on hidasta. Julkinen velka vakiintui ennätyksellisen korkealle tasolle vuonna 2018, mikä vahvistaa sen, että</w:t>
      </w:r>
      <w:r>
        <w:rPr>
          <w:rFonts w:ascii="Times New Roman" w:hAnsi="Times New Roman"/>
          <w:noProof/>
        </w:rPr>
        <w:t xml:space="preserve"> julkisen talouden liikkumavaraa tuleviin häiriöihin vastaamiseksi on vain vähän. Yksityiset luottovirrat pysyivät suhteellisen dynaamisina, joten yksityisen sektorin suuri velkasuhde kasvoi hieman. Rahoitusalan ulkopuolisten yritysten velka ylitti taloude</w:t>
      </w:r>
      <w:r>
        <w:rPr>
          <w:rFonts w:ascii="Times New Roman" w:hAnsi="Times New Roman"/>
          <w:noProof/>
        </w:rPr>
        <w:t>n perustekijöihin perustuvan tason, kun taas kotitalouksien velkaantuneisuus oli maltillisempaa. Asuntojen reaalihinnat ovat viime vuosina nousseet maltillisesti mutta tasaisesti, ja merkkejä mahdollisesta yliarvostuksesta on edelleen.</w:t>
      </w:r>
      <w:r>
        <w:rPr>
          <w:noProof/>
        </w:rPr>
        <w:t xml:space="preserve"> </w:t>
      </w:r>
      <w:r>
        <w:rPr>
          <w:rFonts w:ascii="Times New Roman" w:hAnsi="Times New Roman"/>
          <w:noProof/>
        </w:rPr>
        <w:t>Pankkisektori vaikut</w:t>
      </w:r>
      <w:r>
        <w:rPr>
          <w:rFonts w:ascii="Times New Roman" w:hAnsi="Times New Roman"/>
          <w:noProof/>
        </w:rPr>
        <w:t>taa kestävältä, mutta suurten julkisen ja yksityisen sektorin velkasuhteiden yhdistelmä voi aiheuttaa riskejä. Lisäksi vallitsevat alhaiset korot voivat heikentää pankkien kannattavuutta. Työttömyysaste on laskenut edelleen ja on nyt alle kynnysarvon. Pitk</w:t>
      </w:r>
      <w:r>
        <w:rPr>
          <w:rFonts w:ascii="Times New Roman" w:hAnsi="Times New Roman"/>
          <w:noProof/>
        </w:rPr>
        <w:t>äaikais- ja nuorisotyöttömyys paranivat edelleen.</w:t>
      </w:r>
    </w:p>
    <w:p w:rsidR="005C26C8" w:rsidRDefault="00115404">
      <w:pPr>
        <w:autoSpaceDE w:val="0"/>
        <w:autoSpaceDN w:val="0"/>
        <w:adjustRightInd w:val="0"/>
        <w:spacing w:after="200"/>
        <w:ind w:left="0"/>
        <w:jc w:val="both"/>
        <w:rPr>
          <w:rFonts w:ascii="Times New Roman" w:hAnsi="Times New Roman"/>
          <w:bCs/>
          <w:i/>
          <w:noProof/>
        </w:rPr>
      </w:pPr>
      <w:r>
        <w:rPr>
          <w:rFonts w:ascii="Times New Roman" w:hAnsi="Times New Roman"/>
          <w:i/>
          <w:noProof/>
        </w:rPr>
        <w:t xml:space="preserve">Talouspoliittisissa päätelmissä esiin nousevat suuri velkaantuneisuus ja vakiintumisestaan huolimatta heikko kilpailukyky tilanteessa, jossa tuottavuuden kasvu on hidasta. </w:t>
      </w:r>
      <w:r>
        <w:rPr>
          <w:rFonts w:ascii="Times New Roman" w:hAnsi="Times New Roman"/>
          <w:bCs/>
          <w:i/>
          <w:noProof/>
        </w:rPr>
        <w:t>Komissio katsoo tämän vuoksi ja my</w:t>
      </w:r>
      <w:r>
        <w:rPr>
          <w:rFonts w:ascii="Times New Roman" w:hAnsi="Times New Roman"/>
          <w:bCs/>
          <w:i/>
          <w:noProof/>
        </w:rPr>
        <w:t>ös ottaen huomioon helmikuussa havaitut epätasapainot, että on asianmukaista selvittää tarkemmin, jatkuvatko vai purkautuvatko epätasapainot.</w:t>
      </w:r>
    </w:p>
    <w:p w:rsidR="005C26C8" w:rsidRDefault="005C26C8">
      <w:pPr>
        <w:ind w:left="0"/>
        <w:rPr>
          <w:rFonts w:ascii="Times New Roman" w:hAnsi="Times New Roman"/>
          <w:b/>
          <w:noProof/>
        </w:rPr>
      </w:pPr>
    </w:p>
    <w:p w:rsidR="005C26C8" w:rsidRDefault="00115404">
      <w:pPr>
        <w:spacing w:after="200"/>
        <w:ind w:left="0"/>
        <w:jc w:val="both"/>
        <w:rPr>
          <w:rFonts w:ascii="Times New Roman" w:hAnsi="Times New Roman"/>
          <w:b/>
          <w:noProof/>
        </w:rPr>
      </w:pPr>
      <w:r>
        <w:rPr>
          <w:rFonts w:ascii="Times New Roman" w:hAnsi="Times New Roman"/>
          <w:b/>
          <w:noProof/>
        </w:rPr>
        <w:t>Kroatia:</w:t>
      </w:r>
      <w:r>
        <w:rPr>
          <w:rFonts w:ascii="Times New Roman" w:hAnsi="Times New Roman"/>
          <w:noProof/>
        </w:rPr>
        <w:t xml:space="preserve"> Komissio päätteli helmikuussa 2019, että Kroatialla oli </w:t>
      </w:r>
      <w:r>
        <w:rPr>
          <w:rFonts w:ascii="Times New Roman" w:hAnsi="Times New Roman"/>
          <w:i/>
          <w:noProof/>
        </w:rPr>
        <w:t>makrotalouden epätasapainoja</w:t>
      </w:r>
      <w:r>
        <w:rPr>
          <w:rFonts w:ascii="Times New Roman" w:hAnsi="Times New Roman"/>
          <w:noProof/>
        </w:rPr>
        <w:t xml:space="preserve">, jotka liittyivät </w:t>
      </w:r>
      <w:r>
        <w:rPr>
          <w:rFonts w:ascii="Times New Roman" w:hAnsi="Times New Roman"/>
          <w:noProof/>
        </w:rPr>
        <w:t xml:space="preserve">julkisen, yksityisen ja ulkomaisen velan suureen määrään tilanteessa, jossa potentiaalinen kasvu on heikkoa. Ajan tasalle saatetussa tulostaulussa seuraavat indikaattorit ylittävät ohjeelliset kynnysarvot: ulkomainen nettovarallisuusasema, julkinen velka, </w:t>
      </w:r>
      <w:r>
        <w:rPr>
          <w:rFonts w:ascii="Times New Roman" w:hAnsi="Times New Roman"/>
          <w:noProof/>
        </w:rPr>
        <w:t>työttömyysaste ja työvoimaosuuden lasku.</w:t>
      </w:r>
    </w:p>
    <w:p w:rsidR="005C26C8" w:rsidRDefault="00115404">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66432" behindDoc="0" locked="0" layoutInCell="1" allowOverlap="1">
            <wp:simplePos x="0" y="0"/>
            <wp:positionH relativeFrom="column">
              <wp:posOffset>3153899</wp:posOffset>
            </wp:positionH>
            <wp:positionV relativeFrom="paragraph">
              <wp:posOffset>-1226</wp:posOffset>
            </wp:positionV>
            <wp:extent cx="2746911" cy="2980593"/>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6911" cy="2980593"/>
                    </a:xfrm>
                    <a:prstGeom prst="rect">
                      <a:avLst/>
                    </a:prstGeom>
                    <a:noFill/>
                    <a:ln>
                      <a:noFill/>
                    </a:ln>
                  </pic:spPr>
                </pic:pic>
              </a:graphicData>
            </a:graphic>
          </wp:anchor>
        </w:drawing>
      </w:r>
      <w:r>
        <w:rPr>
          <w:rFonts w:ascii="Times New Roman" w:hAnsi="Times New Roman"/>
          <w:noProof/>
        </w:rPr>
        <w:t>Negatiivinen ulkomainen nettovarallisuusasema on supistunut merkittävästi jatkuvien vaihtotaseen ylijäämien myötä, mutta se on edelleen suuri. Yksikkötyökustannusten kasvu kääntyi positiiviseksi vuonna 2018 työn tu</w:t>
      </w:r>
      <w:r>
        <w:rPr>
          <w:rFonts w:ascii="Times New Roman" w:hAnsi="Times New Roman"/>
          <w:noProof/>
        </w:rPr>
        <w:t>ottavuuden hyvin hitaan kasvun myötä. Vientimarkkinaosuudet ovat kasvaneet jatkuvasti vuodesta 2013, mutta kasvu hidastuu. Julkinen velka on suuri mutta laskusuunnassa pienten julkisen talouden ylijäämien ansiosta. Kotitalouksien ja yritysten velka vähenee</w:t>
      </w:r>
      <w:r>
        <w:rPr>
          <w:rFonts w:ascii="Times New Roman" w:hAnsi="Times New Roman"/>
          <w:noProof/>
        </w:rPr>
        <w:t xml:space="preserve"> edelleen, mutta on yhä suhteellisen korkealla tasolla. Yleisesti ottaen huomattava osa velasta on ulkomaan valuutan määräistä, mikä aiheuttaa valuuttakurssiriskejä. Vaimea luotonannon kasvu vähentää osaltaan yksityisen velan määrää, mutta kotitalouksien l</w:t>
      </w:r>
      <w:r>
        <w:rPr>
          <w:rFonts w:ascii="Times New Roman" w:hAnsi="Times New Roman"/>
          <w:noProof/>
        </w:rPr>
        <w:t>isääntynyt käteislainojen käyttö yleisiin käyttötarkoituksiin herättää huolta. Samaan aikaan rahoitussektoria rasittavat järjestämättömien lainojen suuri, joskin laskusuunnassa oleva määrä ja jotkin valuuttariskit. Työttömyysaste on laskenut nopeasti, mutt</w:t>
      </w:r>
      <w:r>
        <w:rPr>
          <w:rFonts w:ascii="Times New Roman" w:hAnsi="Times New Roman"/>
          <w:noProof/>
        </w:rPr>
        <w:t>a se on edelleen suhteellisen korkea. Työvoimaosuus on pysynyt alhaisena samalla kun työikäinen väestö pienenee. Tämä yhdessä tuottavuuden hitaan kasvun kanssa haittaa potentiaalista kasvua erityisesti kiinnikurojataloudessa.</w:t>
      </w:r>
    </w:p>
    <w:p w:rsidR="005C26C8" w:rsidRDefault="00115404">
      <w:pPr>
        <w:spacing w:after="200"/>
        <w:ind w:left="0"/>
        <w:jc w:val="both"/>
        <w:rPr>
          <w:rFonts w:ascii="Times New Roman" w:hAnsi="Times New Roman"/>
          <w:i/>
          <w:iCs/>
          <w:noProof/>
        </w:rPr>
      </w:pPr>
      <w:r>
        <w:rPr>
          <w:rFonts w:ascii="Times New Roman" w:hAnsi="Times New Roman"/>
          <w:i/>
          <w:iCs/>
          <w:noProof/>
        </w:rPr>
        <w:t>Talouspoliittisissa päätelmiss</w:t>
      </w:r>
      <w:r>
        <w:rPr>
          <w:rFonts w:ascii="Times New Roman" w:hAnsi="Times New Roman"/>
          <w:i/>
          <w:iCs/>
          <w:noProof/>
        </w:rPr>
        <w:t>ä esiin nousevat ulkoisten velkojen määrä, julkinen ja yksityinen velka sekä järjestämättömien lainojen suuri määrä tilanteessa, jossa työttömyys on edelleen korkealla ja tuottavuuden kasvu heikkoa. Komissio katsoo tämän vuoksi ja myös ottaen huomioon helm</w:t>
      </w:r>
      <w:r>
        <w:rPr>
          <w:rFonts w:ascii="Times New Roman" w:hAnsi="Times New Roman"/>
          <w:i/>
          <w:iCs/>
          <w:noProof/>
        </w:rPr>
        <w:t>ikuussa havaitut epätasapainot, että on asianmukaista selvittää tarkemmin, jatkuvatko vai purkautuvatko epätasapainot.</w:t>
      </w:r>
    </w:p>
    <w:p w:rsidR="005C26C8" w:rsidRDefault="005C26C8">
      <w:pPr>
        <w:spacing w:after="200"/>
        <w:ind w:left="0"/>
        <w:jc w:val="both"/>
        <w:rPr>
          <w:rFonts w:ascii="Times New Roman" w:eastAsia="Times New Roman" w:hAnsi="Times New Roman"/>
          <w:b/>
          <w:bCs/>
          <w:noProof/>
          <w:color w:val="000000"/>
        </w:rPr>
      </w:pPr>
    </w:p>
    <w:p w:rsidR="005C26C8" w:rsidRDefault="00115404">
      <w:pPr>
        <w:spacing w:after="200"/>
        <w:ind w:left="0"/>
        <w:jc w:val="both"/>
        <w:rPr>
          <w:rFonts w:ascii="Times New Roman" w:hAnsi="Times New Roman"/>
          <w:noProof/>
          <w:color w:val="000000"/>
        </w:rPr>
      </w:pPr>
      <w:r>
        <w:rPr>
          <w:rFonts w:ascii="Times New Roman" w:hAnsi="Times New Roman"/>
          <w:b/>
          <w:bCs/>
          <w:noProof/>
        </w:rPr>
        <w:t>Italia</w:t>
      </w:r>
      <w:r>
        <w:rPr>
          <w:rFonts w:ascii="Times New Roman" w:hAnsi="Times New Roman"/>
          <w:noProof/>
        </w:rPr>
        <w:t xml:space="preserve">: Komissio päätteli helmikuussa 2019, että Italialla oli </w:t>
      </w:r>
      <w:r>
        <w:rPr>
          <w:rFonts w:ascii="Times New Roman" w:hAnsi="Times New Roman"/>
          <w:i/>
          <w:iCs/>
          <w:noProof/>
        </w:rPr>
        <w:t>liiallisia makrotalouden epätasapainoja</w:t>
      </w:r>
      <w:r>
        <w:rPr>
          <w:rFonts w:ascii="Times New Roman" w:hAnsi="Times New Roman"/>
          <w:noProof/>
        </w:rPr>
        <w:t>, jotka liittyivät erityisesti eri</w:t>
      </w:r>
      <w:r>
        <w:rPr>
          <w:rFonts w:ascii="Times New Roman" w:hAnsi="Times New Roman"/>
          <w:noProof/>
        </w:rPr>
        <w:t>ttäin suuren julkisen velan ja tuottavuuden pitkään jatkuneen heikon kasvun aiheuttamiin riskeihin tilanteessa, jossa järjestämättömiä lainoja on edelleen paljon ja työttömyys on korkea. Ajan tasalle saatetussa tulostaulussa julkinen velka ja työttömyysast</w:t>
      </w:r>
      <w:r>
        <w:rPr>
          <w:rFonts w:ascii="Times New Roman" w:hAnsi="Times New Roman"/>
          <w:noProof/>
        </w:rPr>
        <w:t xml:space="preserve">e ylittävät edelleen ohjeelliset kynnysarvot. </w:t>
      </w:r>
    </w:p>
    <w:p w:rsidR="005C26C8" w:rsidRDefault="00115404">
      <w:pPr>
        <w:spacing w:after="200"/>
        <w:ind w:left="0"/>
        <w:jc w:val="both"/>
        <w:rPr>
          <w:rFonts w:ascii="Times New Roman" w:eastAsia="Times New Roman" w:hAnsi="Times New Roman"/>
          <w:noProof/>
          <w:color w:val="000000"/>
        </w:rPr>
      </w:pPr>
      <w:r>
        <w:rPr>
          <w:rFonts w:ascii="Times New Roman" w:hAnsi="Times New Roman"/>
          <w:noProof/>
        </w:rPr>
        <w:t>Ulkoinen rahoitusasema on vakaa, sillä ulkomainen nettovarallisuusasema on lähellä tasapainoa ja vaihtotase on ylijäämäinen. Osa vaihtotaseen ylijäämästä liittyy vaimeaan kotimaiseen kysyntään ja alhaiseen pal</w:t>
      </w:r>
      <w:r>
        <w:rPr>
          <w:rFonts w:ascii="Times New Roman" w:hAnsi="Times New Roman"/>
          <w:noProof/>
        </w:rPr>
        <w:t>kkojen nousuun. Tuottavuuden kasvun pysähtyminen heikentää muihin tekijöihin kuin kustannuksiin perustuvaa kilpailukykyä ja BKT:n potentiaalista kasvua, mikä puolestaan haittaa julkisen velan vähentämistä. Tuottavuuden hidas kasvu johtuu alhaisesta investo</w:t>
      </w:r>
      <w:r>
        <w:rPr>
          <w:rFonts w:ascii="Times New Roman" w:hAnsi="Times New Roman"/>
          <w:noProof/>
        </w:rPr>
        <w:t>inti- ja innovointitasosta, kannustamattomasta liiketoimintaympäristöstä, rahoitusvaikeuksista, korkean osaamistason työntekijöiden puutteesta sekä alakohtaisista muutoksista. Yksikkötyökustannusten kasvu on hillittyä, ja vientimarkkinaosuudet ovat pitkält</w:t>
      </w:r>
      <w:r>
        <w:rPr>
          <w:rFonts w:ascii="Times New Roman" w:hAnsi="Times New Roman"/>
          <w:noProof/>
        </w:rPr>
        <w:t xml:space="preserve">i vakaat. Julkinen talouden velkasuhde kasvoi vuonna 2018, ja vaarana on, että se kasvaa edelleen vuonna 2019 heikkojen talousnäkymien ja heikkenevän perusjäämän </w:t>
      </w:r>
      <w:r>
        <w:rPr>
          <w:noProof/>
          <w:lang w:val="en-GB" w:eastAsia="en-GB"/>
        </w:rPr>
        <w:drawing>
          <wp:anchor distT="0" distB="0" distL="114300" distR="114300" simplePos="0" relativeHeight="251651072" behindDoc="0" locked="0" layoutInCell="1" allowOverlap="1">
            <wp:simplePos x="0" y="0"/>
            <wp:positionH relativeFrom="column">
              <wp:posOffset>3320024</wp:posOffset>
            </wp:positionH>
            <wp:positionV relativeFrom="paragraph">
              <wp:posOffset>2296</wp:posOffset>
            </wp:positionV>
            <wp:extent cx="2513330" cy="2856230"/>
            <wp:effectExtent l="0" t="0" r="127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3330" cy="2856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vuoksi. Positiivista on se, että valtion joukkolainojen tuotot ovat laskeneet huomattavasti. </w:t>
      </w:r>
      <w:r>
        <w:rPr>
          <w:rFonts w:ascii="Times New Roman" w:hAnsi="Times New Roman"/>
          <w:noProof/>
        </w:rPr>
        <w:t xml:space="preserve">Pankkien taseiden korjaaminen on edistynyt merkittävästi järjestämättömien lainojen määrän pienentyessä, mutta luotonanto rahoitusalan ulkopuolisille yrityksille on edelleen vähäistä. Rahoitusalan haavoittuvuustekijät eivät ole poistuneet, etenkään kun on </w:t>
      </w:r>
      <w:r>
        <w:rPr>
          <w:rFonts w:ascii="Times New Roman" w:hAnsi="Times New Roman"/>
          <w:noProof/>
        </w:rPr>
        <w:t>kyse sellaisista pienistä ja keskisuurista pankeista, joilla on yhä runsaasti järjestämättömiä lainoja ja jotka ovat alttiimpia valtioriskille kuin suuremmat pankit. Työttömyys- ja työllisyystasot ovat kehittyneet suotuisasti. Erityisesti nuorten ja pitkäa</w:t>
      </w:r>
      <w:r>
        <w:rPr>
          <w:rFonts w:ascii="Times New Roman" w:hAnsi="Times New Roman"/>
          <w:noProof/>
        </w:rPr>
        <w:t xml:space="preserve">ikaistyöttömien työttömyysaste on kuitenkin edelleen korkea ja etenkin naisten osallistuminen työmarkkinoille on vieläkin vähäistä, mikä vaarantaa työllistettävyyden ja kasvun tulevaisuudessa. </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kysymykset, jot</w:t>
      </w:r>
      <w:r>
        <w:rPr>
          <w:rFonts w:ascii="Times New Roman" w:hAnsi="Times New Roman"/>
          <w:i/>
          <w:noProof/>
        </w:rPr>
        <w:t>ka liittyvät julkisen velan suureen määrään, tuottavuuden heikkoon kasvuun ja työmarkkinoiden heikkoon suorituskykyyn sekä pankkisektorin haavoittuvuustekijöihin, jotka osaltaan heikentävät potentiaalista kasvua, mikä puolestaan haittaa julkisen velan vähe</w:t>
      </w:r>
      <w:r>
        <w:rPr>
          <w:rFonts w:ascii="Times New Roman" w:hAnsi="Times New Roman"/>
          <w:i/>
          <w:noProof/>
        </w:rPr>
        <w:t>ntämistä. Komissio katsoo tämän vuoksi ja myöskin ottaen huomioon helmikuussa havaitut liialliset epätasapainot, että on asianmukaista selvittää tarkemmin, missä määrin makrotaloudessa on edelleen riskejä, sekä seurata, edistytäänkö liiallisten epätasapain</w:t>
      </w:r>
      <w:r>
        <w:rPr>
          <w:rFonts w:ascii="Times New Roman" w:hAnsi="Times New Roman"/>
          <w:i/>
          <w:noProof/>
        </w:rPr>
        <w:t>ojen purkamisessa.</w:t>
      </w:r>
    </w:p>
    <w:p w:rsidR="005C26C8" w:rsidRDefault="005C26C8">
      <w:pPr>
        <w:spacing w:after="200"/>
        <w:ind w:left="0"/>
        <w:rPr>
          <w:noProof/>
        </w:rPr>
      </w:pPr>
    </w:p>
    <w:p w:rsidR="005C26C8" w:rsidRDefault="00115404">
      <w:pPr>
        <w:spacing w:after="200"/>
        <w:ind w:left="0"/>
        <w:jc w:val="both"/>
        <w:rPr>
          <w:rFonts w:ascii="Times New Roman" w:hAnsi="Times New Roman"/>
          <w:b/>
          <w:noProof/>
        </w:rPr>
      </w:pPr>
      <w:r>
        <w:rPr>
          <w:noProof/>
          <w:lang w:val="en-GB" w:eastAsia="en-GB"/>
        </w:rPr>
        <w:drawing>
          <wp:anchor distT="0" distB="0" distL="114300" distR="114300" simplePos="0" relativeHeight="251652096" behindDoc="0" locked="0" layoutInCell="1" allowOverlap="1">
            <wp:simplePos x="0" y="0"/>
            <wp:positionH relativeFrom="column">
              <wp:posOffset>3320415</wp:posOffset>
            </wp:positionH>
            <wp:positionV relativeFrom="paragraph">
              <wp:posOffset>1149350</wp:posOffset>
            </wp:positionV>
            <wp:extent cx="2557780" cy="2681605"/>
            <wp:effectExtent l="0" t="0" r="0" b="444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57780" cy="2681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Kypros:</w:t>
      </w:r>
      <w:r>
        <w:rPr>
          <w:rFonts w:ascii="Times New Roman" w:hAnsi="Times New Roman"/>
          <w:noProof/>
        </w:rPr>
        <w:t xml:space="preserve"> Komissio päätteli helmikuussa 2019, että Kyproksella oli </w:t>
      </w:r>
      <w:r>
        <w:rPr>
          <w:rFonts w:ascii="Times New Roman" w:hAnsi="Times New Roman"/>
          <w:i/>
          <w:noProof/>
        </w:rPr>
        <w:t>liiallisia makrotalouden epätasapainoja</w:t>
      </w:r>
      <w:r>
        <w:rPr>
          <w:rFonts w:ascii="Times New Roman" w:hAnsi="Times New Roman"/>
          <w:noProof/>
        </w:rPr>
        <w:t xml:space="preserve">, jotka liittyivät erityisesti järjestämättömien lainojen erittäin suureen osuuteen ja yksityisen, julkisen ja ulkomaisen velan suureen määrään tilanteessa, jossa työttömyys oli edelleen suhteellisen korkealla ja potentiaalinen kasvu heikkoa. Ajan tasalle </w:t>
      </w:r>
      <w:r>
        <w:rPr>
          <w:rFonts w:ascii="Times New Roman" w:hAnsi="Times New Roman"/>
          <w:noProof/>
        </w:rPr>
        <w:t xml:space="preserve">saatetussa tulostaulussa seuraavat indikaattorit ylittävät edelleen ohjeelliset kynnysarvot: vaihtotase, ulkomainen nettovarallisuusasema, yksityisen sektorin velka, julkinen velka ja työttömyysaste. </w:t>
      </w:r>
    </w:p>
    <w:p w:rsidR="005C26C8" w:rsidRDefault="00115404">
      <w:pPr>
        <w:spacing w:after="200"/>
        <w:ind w:left="0"/>
        <w:jc w:val="both"/>
        <w:rPr>
          <w:rFonts w:ascii="Times New Roman" w:hAnsi="Times New Roman"/>
          <w:noProof/>
        </w:rPr>
      </w:pPr>
      <w:r>
        <w:rPr>
          <w:rFonts w:ascii="Times New Roman" w:hAnsi="Times New Roman"/>
          <w:noProof/>
        </w:rPr>
        <w:t xml:space="preserve">Vaihtotaseen alijäämä pysyi huomattavan suurena vuonna </w:t>
      </w:r>
      <w:r>
        <w:rPr>
          <w:rFonts w:ascii="Times New Roman" w:hAnsi="Times New Roman"/>
          <w:noProof/>
        </w:rPr>
        <w:t>2018, mikä johtui vahvasta kotimaisesta kysynnästä ja kotitalouksien negatiivisista säästöistä. Vaihtotaseen kehitys ei edistä varovaisen ulkomaisen nettovarallisuusaseman varmistamista, vaikka otettaisiin huomioon erillisyhtiöiden olemassaolo. Yksikkötyök</w:t>
      </w:r>
      <w:r>
        <w:rPr>
          <w:rFonts w:ascii="Times New Roman" w:hAnsi="Times New Roman"/>
          <w:noProof/>
        </w:rPr>
        <w:t xml:space="preserve">ustannusten kasvu on saatu hallintaan, ja vientimarkkinaosuudet olivat vakaat vuonna 2018. Sekä kotitalouksien että yritysten yksityinen velka on EU:n suurimpia, ja luottovirrat ovat edelleen positiivisia. Järjestämättömien lainojen osuus pankkisektorilla </w:t>
      </w:r>
      <w:r>
        <w:rPr>
          <w:rFonts w:ascii="Times New Roman" w:hAnsi="Times New Roman"/>
          <w:noProof/>
        </w:rPr>
        <w:t>supistui merkittävästi vuonna 2018, mutta se on edelleen hyvin korkea. Valtion tuki Cyprus Cooperative Bankin myynnin yhteydessä lisäsi kertaluonteisesti julkista velkaa vuonna 2018. Julkisen velan odotetaan tulevaisuudessa palaavan lasku-uralle kasvua tuk</w:t>
      </w:r>
      <w:r>
        <w:rPr>
          <w:rFonts w:ascii="Times New Roman" w:hAnsi="Times New Roman"/>
          <w:noProof/>
        </w:rPr>
        <w:t>evan julkisen talouden kehityksen jatkuessa. Työttömyys vähenee edelleen, ja laskusuuntauksen odotetaan jatkuvan talouden kasvaessa voimakkaasti.</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kysymykset, jotka liittyvät ulkoisen velan kestävyyteen, yksity</w:t>
      </w:r>
      <w:r>
        <w:rPr>
          <w:rFonts w:ascii="Times New Roman" w:hAnsi="Times New Roman"/>
          <w:i/>
          <w:noProof/>
        </w:rPr>
        <w:t>iseen ja julkiseen velkaan ja rahoitusalan haavoittuvuustekijöihin. Komissio katsoo tämän vuoksi ja myöskin ottaen huomioon helmikuussa havaitut liialliset epätasapainot, että on hyödyllistä selvittää tarkemmin, missä määrin makrotaloudessa on edelleen ris</w:t>
      </w:r>
      <w:r>
        <w:rPr>
          <w:rFonts w:ascii="Times New Roman" w:hAnsi="Times New Roman"/>
          <w:i/>
          <w:noProof/>
        </w:rPr>
        <w:t>kejä, sekä seurata, edistytäänkö liiallisten epätasapainojen purkamisessa.</w:t>
      </w:r>
    </w:p>
    <w:p w:rsidR="005C26C8" w:rsidRDefault="005C26C8">
      <w:pPr>
        <w:spacing w:after="200"/>
        <w:ind w:left="0"/>
        <w:jc w:val="both"/>
        <w:rPr>
          <w:i/>
          <w:noProof/>
        </w:rPr>
      </w:pPr>
    </w:p>
    <w:p w:rsidR="005C26C8" w:rsidRDefault="00115404">
      <w:pPr>
        <w:spacing w:after="200"/>
        <w:ind w:left="0"/>
        <w:jc w:val="both"/>
        <w:rPr>
          <w:rFonts w:ascii="Times New Roman" w:hAnsi="Times New Roman"/>
          <w:b/>
          <w:noProof/>
        </w:rPr>
      </w:pPr>
      <w:r>
        <w:rPr>
          <w:rFonts w:ascii="Times New Roman" w:hAnsi="Times New Roman"/>
          <w:b/>
          <w:noProof/>
        </w:rPr>
        <w:t>Latvia:</w:t>
      </w:r>
      <w:r>
        <w:rPr>
          <w:rFonts w:ascii="Times New Roman" w:hAnsi="Times New Roman"/>
          <w:noProof/>
        </w:rPr>
        <w:t xml:space="preserve"> Makrotalouden epätasapainoa koskevan menettelyn edellisellä kierroksella Latvialla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Ajan tasalle saatetussa tulostaulussa seuraavat</w:t>
      </w:r>
      <w:r>
        <w:rPr>
          <w:rFonts w:ascii="Times New Roman" w:hAnsi="Times New Roman"/>
          <w:noProof/>
        </w:rPr>
        <w:t xml:space="preserve"> indikaattorit ylittävät ohjeelliset kynnysarvot: ulkomainen nettovarallisuusasema, yksikkötyökustannusten kasvu ja asuntojen reaalihintojen nousu. </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60288" behindDoc="0" locked="0" layoutInCell="1" allowOverlap="1">
            <wp:simplePos x="0" y="0"/>
            <wp:positionH relativeFrom="column">
              <wp:posOffset>3232150</wp:posOffset>
            </wp:positionH>
            <wp:positionV relativeFrom="paragraph">
              <wp:posOffset>3810</wp:posOffset>
            </wp:positionV>
            <wp:extent cx="2604770" cy="3199130"/>
            <wp:effectExtent l="0" t="0" r="5080" b="127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4770" cy="319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 kääntyi jälleen hieman alijäämäiseksi vuonna 2018, mutta negatiivinen ulkomainen nettovarallisu</w:t>
      </w:r>
      <w:r>
        <w:rPr>
          <w:rFonts w:ascii="Times New Roman" w:hAnsi="Times New Roman"/>
          <w:noProof/>
        </w:rPr>
        <w:t>usasema, joka johtui pääasiassa julkisesta velasta ja suorista ulkomaisista sijoituksista, koheni edelleen suhteellisen nopeasti. Kustannuskilpailukykyä kuvaava indikaattori näyttää heikentyvän reaalisen efektiivisen valuuttakurssin vahvistuessa ja yksikkö</w:t>
      </w:r>
      <w:r>
        <w:rPr>
          <w:rFonts w:ascii="Times New Roman" w:hAnsi="Times New Roman"/>
          <w:noProof/>
        </w:rPr>
        <w:t>työkustannusten kasvaessa edelleen suhteellisen voimakkaasti palkkojen tasaisen nousun vuoksi. Palkkoihin kohdistuvan paineen odotetaan jatkuvan työvoiman vähenemisen vuoksi. Samaan aikaan vientimarkkinaosuuden kasvu on hidastunut, mutta kumulatiivinen kas</w:t>
      </w:r>
      <w:r>
        <w:rPr>
          <w:rFonts w:ascii="Times New Roman" w:hAnsi="Times New Roman"/>
          <w:noProof/>
        </w:rPr>
        <w:t>vu on edelleen positiivista. Asuntojen reaalihintojen nousu on dynaamista ja kiihtyi jonkin verran vuonna 2018, minkä vuoksi asuntomarkkinoihin kohdistuviin paineisiin on syytä kiinnittää huomiota. Asuntomarkkinoiden yliarvostuksesta ei kuitenkaan ole viel</w:t>
      </w:r>
      <w:r>
        <w:rPr>
          <w:rFonts w:ascii="Times New Roman" w:hAnsi="Times New Roman"/>
          <w:noProof/>
        </w:rPr>
        <w:t xml:space="preserve">ä selviä merkkejä. Yksityisen velan vähentäminen jatkuu luotonoton kasvun ollessa edelleen vaimeaa. Julkista velkaa puolestaan on vähän ja se vähenee maltillisesti. Työmarkkinoilla työttömyys laskee edelleen, ja työvoimaosuus on jatkanut kasvuaan. </w:t>
      </w:r>
    </w:p>
    <w:p w:rsidR="005C26C8" w:rsidRDefault="00115404">
      <w:pPr>
        <w:spacing w:after="200"/>
        <w:ind w:left="0"/>
        <w:jc w:val="both"/>
        <w:rPr>
          <w:rFonts w:ascii="Times New Roman" w:hAnsi="Times New Roman"/>
          <w:i/>
          <w:noProof/>
        </w:rPr>
      </w:pPr>
      <w:r>
        <w:rPr>
          <w:rFonts w:ascii="Times New Roman" w:hAnsi="Times New Roman"/>
          <w:i/>
          <w:noProof/>
        </w:rPr>
        <w:t>Talousp</w:t>
      </w:r>
      <w:r>
        <w:rPr>
          <w:rFonts w:ascii="Times New Roman" w:hAnsi="Times New Roman"/>
          <w:i/>
          <w:noProof/>
        </w:rPr>
        <w:t>oliittisissa päätelmissä esiin nousevat työvoiman tarjontaan liittyvät paineet ja kustannuskilpailukyky, mutta riskit näyttävät olevan hallinnassa. Komissio ei tässä vaiheessa ryhdy perusteellisiin jatkotutkimuksiin makrotalouden epätasapainoa koskevan men</w:t>
      </w:r>
      <w:r>
        <w:rPr>
          <w:rFonts w:ascii="Times New Roman" w:hAnsi="Times New Roman"/>
          <w:i/>
          <w:noProof/>
        </w:rPr>
        <w:t>ettelyn yhteydessä.</w:t>
      </w:r>
    </w:p>
    <w:p w:rsidR="005C26C8" w:rsidRDefault="00115404">
      <w:pPr>
        <w:spacing w:after="200"/>
        <w:ind w:left="0"/>
        <w:jc w:val="both"/>
        <w:rPr>
          <w:rFonts w:ascii="Times New Roman" w:hAnsi="Times New Roman"/>
          <w:b/>
          <w:noProof/>
        </w:rPr>
      </w:pPr>
      <w:r>
        <w:rPr>
          <w:rFonts w:ascii="Times New Roman" w:hAnsi="Times New Roman"/>
          <w:b/>
          <w:noProof/>
        </w:rPr>
        <w:br/>
        <w:t>Liettua:</w:t>
      </w:r>
      <w:r>
        <w:rPr>
          <w:rFonts w:ascii="Times New Roman" w:hAnsi="Times New Roman"/>
          <w:noProof/>
        </w:rPr>
        <w:t xml:space="preserve"> Makrotalouden epätasapainoa koskevan menettelyn edellisellä kierroksella Liettualla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Ajan tasalle saatetussa tulostaulussa seuraavat indikaattorit ylittävät ohjeelliset kynnysarvot: rea</w:t>
      </w:r>
      <w:r>
        <w:rPr>
          <w:rFonts w:ascii="Times New Roman" w:hAnsi="Times New Roman"/>
          <w:noProof/>
        </w:rPr>
        <w:t>alinen valuuttakurssi ja nimellisten yksikkötyökustannusten kasvu.</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64384" behindDoc="0" locked="0" layoutInCell="1" allowOverlap="1">
            <wp:simplePos x="0" y="0"/>
            <wp:positionH relativeFrom="column">
              <wp:posOffset>3260090</wp:posOffset>
            </wp:positionH>
            <wp:positionV relativeFrom="paragraph">
              <wp:posOffset>54575</wp:posOffset>
            </wp:positionV>
            <wp:extent cx="2471420" cy="2990215"/>
            <wp:effectExtent l="0" t="0" r="5080" b="63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1420" cy="2990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 on yleisesti ottaen tasapainossa, kun taas ulkomainen nettovarallisuusasema, joka perustuu pääasiassa julkiseen velkaan ja suoriin ulkomaisiin sijoituksiin, on parantunut edelle</w:t>
      </w:r>
      <w:r>
        <w:rPr>
          <w:rFonts w:ascii="Times New Roman" w:hAnsi="Times New Roman"/>
          <w:noProof/>
        </w:rPr>
        <w:t>en ja on nyt kynnysarvon rajoissa. Yksikkötyökustannukset ovat jatkaneet suhteellisen nopeaa kasvua palkkojen voimakkaan nousun vuoksi, joka johtuu kireistä työmarkkinoista ja joistakin sääntelymuutoksista, kuten vähimmäispalkkojen suhteellisen nopeasta ko</w:t>
      </w:r>
      <w:r>
        <w:rPr>
          <w:rFonts w:ascii="Times New Roman" w:hAnsi="Times New Roman"/>
          <w:noProof/>
        </w:rPr>
        <w:t>rottamisesta vuodesta 2016. Lisäksi reaalinen efektiivinen valuuttakurssi vahvistui suhteellisen voimakkaasti vuonna 2018 ja ylitti kynnysarvon. Tulevaisuudessa riskit näyttävät kuitenkin lieventyvän, koska nimellispalkkojen kasvu on hidastumassa ja tuotta</w:t>
      </w:r>
      <w:r>
        <w:rPr>
          <w:rFonts w:ascii="Times New Roman" w:hAnsi="Times New Roman"/>
          <w:noProof/>
        </w:rPr>
        <w:t>vuuden kasvu on edelleen tervettä. Vientimarkkinaosuuksien kasvu on jatkunut vakaana. Julkisen ja yksityisen velan määrät ovat edelleen suhteellisen vähäiset ja vakaat, ja luotonannon kasvu on positiivista. Asuntojen reaalihintojen nousu on ollut voimakast</w:t>
      </w:r>
      <w:r>
        <w:rPr>
          <w:rFonts w:ascii="Times New Roman" w:hAnsi="Times New Roman"/>
          <w:noProof/>
        </w:rPr>
        <w:t xml:space="preserve">a, mutta se pysyy tulostaulun kynnysarvon rajoissa. Työttömyys on pysynyt alhaisella tasolla. </w:t>
      </w:r>
    </w:p>
    <w:p w:rsidR="005C26C8" w:rsidRDefault="00115404">
      <w:pPr>
        <w:spacing w:after="200"/>
        <w:ind w:left="0"/>
        <w:jc w:val="both"/>
        <w:rPr>
          <w:rFonts w:ascii="Times New Roman" w:hAnsi="Times New Roman"/>
          <w:i/>
          <w:noProof/>
        </w:rPr>
      </w:pPr>
      <w:r>
        <w:rPr>
          <w:rFonts w:ascii="Times New Roman" w:hAnsi="Times New Roman"/>
          <w:i/>
          <w:noProof/>
        </w:rPr>
        <w:t xml:space="preserve">Talouspoliittisissa päätelmissä esiin nousevat kustannuskilpailukykyyn liittyvät kysymykset, mutta riskit näyttävät olevan tässä vaiheessa hallinnassa. Komissio </w:t>
      </w:r>
      <w:r>
        <w:rPr>
          <w:rFonts w:ascii="Times New Roman" w:hAnsi="Times New Roman"/>
          <w:i/>
          <w:noProof/>
        </w:rPr>
        <w:t>ei tässä vaiheessa ryhdy perusteellisiin jatkotutkimuksiin makrotalouden epätasapainoa koskevan menettelyn yhteydessä.</w:t>
      </w:r>
    </w:p>
    <w:p w:rsidR="005C26C8" w:rsidRDefault="00115404">
      <w:pPr>
        <w:spacing w:after="200"/>
        <w:ind w:left="0"/>
        <w:rPr>
          <w:noProof/>
        </w:rPr>
      </w:pPr>
      <w:r>
        <w:rPr>
          <w:noProof/>
        </w:rPr>
        <w:t xml:space="preserve"> </w:t>
      </w:r>
    </w:p>
    <w:p w:rsidR="005C26C8" w:rsidRDefault="00115404">
      <w:pPr>
        <w:spacing w:after="200"/>
        <w:ind w:left="0"/>
        <w:jc w:val="both"/>
        <w:rPr>
          <w:rFonts w:ascii="Times New Roman" w:hAnsi="Times New Roman"/>
          <w:b/>
          <w:noProof/>
        </w:rPr>
      </w:pPr>
      <w:r>
        <w:rPr>
          <w:rFonts w:ascii="Times New Roman" w:hAnsi="Times New Roman"/>
          <w:b/>
          <w:noProof/>
        </w:rPr>
        <w:t>Luxemburg:</w:t>
      </w:r>
      <w:r>
        <w:rPr>
          <w:rFonts w:ascii="Times New Roman" w:hAnsi="Times New Roman"/>
          <w:noProof/>
        </w:rPr>
        <w:t xml:space="preserve"> Makrotalouden epätasapainoa koskevan menettelyn edellisellä kierroksella Luxemburgilla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w:t>
      </w:r>
      <w:r>
        <w:rPr>
          <w:rFonts w:ascii="Times New Roman" w:hAnsi="Times New Roman"/>
          <w:i/>
          <w:noProof/>
        </w:rPr>
        <w:t>oja</w:t>
      </w:r>
      <w:r>
        <w:rPr>
          <w:rFonts w:ascii="Times New Roman" w:hAnsi="Times New Roman"/>
          <w:noProof/>
        </w:rPr>
        <w:t>. Ajan tasalle saatetussa tulostaulussa yksityisen sektorin velka ylittää ohjeellisen kynnysarvon.</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67456" behindDoc="0" locked="0" layoutInCell="1" allowOverlap="1">
            <wp:simplePos x="0" y="0"/>
            <wp:positionH relativeFrom="column">
              <wp:posOffset>3262589</wp:posOffset>
            </wp:positionH>
            <wp:positionV relativeFrom="paragraph">
              <wp:posOffset>64770</wp:posOffset>
            </wp:positionV>
            <wp:extent cx="2569210" cy="2802890"/>
            <wp:effectExtent l="0" t="0" r="254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9210" cy="2802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Ulkoiselle rahoitusasemalle ovat ominaista melko vakaat vaihtotaseen ylijäämät ja positiivinen ulkomainen nettovarallisuusasema. Vientimarkkinaosuuksien </w:t>
      </w:r>
      <w:r>
        <w:rPr>
          <w:rFonts w:ascii="Times New Roman" w:hAnsi="Times New Roman"/>
          <w:noProof/>
        </w:rPr>
        <w:t>kumulatiivinen kasvu on supistunut, kun taas yksikkötyökustannusten kasvu on ollut suhteellisen voimakasta. Asuntojen reaalihinnat ovat usean peräkkäisen vuoden ajan nousseet suhteellisen nopeasti, ja niihin on syytä kiinnittää erityistä huomiota. Asuntoje</w:t>
      </w:r>
      <w:r>
        <w:rPr>
          <w:rFonts w:ascii="Times New Roman" w:hAnsi="Times New Roman"/>
          <w:noProof/>
        </w:rPr>
        <w:t>n hintojen nousua vahvistavat dynaamiset työmarkkinat yhdessä suurten nettomääräisten maahanmuuttovirtojen ja suotuisten rahoitusehtojen kanssa, kun taas tarjonta on pysynyt suhteellisen rajallisena. Yrityssektorin suuri velkaantuneisuus liittyy pääasiassa</w:t>
      </w:r>
      <w:r>
        <w:rPr>
          <w:rFonts w:ascii="Times New Roman" w:hAnsi="Times New Roman"/>
          <w:noProof/>
        </w:rPr>
        <w:t xml:space="preserve"> rajat ylittäviin konsernilainoihin. Kotitalouksien velka, joka on enimmäkseen asuntovelkaa, on noussut suhteellisen korkealle tasolle asuntojen hintojen nousun vuoksi. Pankkisektorin vakaus lieventää rahoitusvakauteen kohdistuvia riskejä. Lisäksi työmarkk</w:t>
      </w:r>
      <w:r>
        <w:rPr>
          <w:rFonts w:ascii="Times New Roman" w:hAnsi="Times New Roman"/>
          <w:noProof/>
        </w:rPr>
        <w:t>inat ovat vahvat, sillä työpaikkojen luominen on vahvaa ja työttömyys on vakiintunut suhteellisen alhaiselle tasolle. Julkisen velan määrä on edelleen erittäin pieni.</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asuntojen hintojen nousuun ja kotitalouksi</w:t>
      </w:r>
      <w:r>
        <w:rPr>
          <w:rFonts w:ascii="Times New Roman" w:hAnsi="Times New Roman"/>
          <w:i/>
          <w:noProof/>
        </w:rPr>
        <w:t>en velkaan liittyvät kysymykset, mutta riskit näyttävät olevan tässä vaiheessa hallinnassa. Tästä syystä komissio ei tässä vaiheessa ryhdy perusteellisiin jatkotutkimuksiin makrotalouden epätasapainoa koskevan menettelyn yhteydessä.</w:t>
      </w:r>
    </w:p>
    <w:p w:rsidR="005C26C8" w:rsidRDefault="005C26C8">
      <w:pPr>
        <w:spacing w:after="200"/>
        <w:ind w:left="0"/>
        <w:rPr>
          <w:noProof/>
        </w:rPr>
      </w:pPr>
    </w:p>
    <w:p w:rsidR="005C26C8" w:rsidRDefault="00115404">
      <w:pPr>
        <w:spacing w:after="200"/>
        <w:ind w:left="0"/>
        <w:jc w:val="both"/>
        <w:rPr>
          <w:noProof/>
        </w:rPr>
      </w:pPr>
      <w:r>
        <w:rPr>
          <w:rFonts w:ascii="Times New Roman" w:hAnsi="Times New Roman"/>
          <w:b/>
          <w:noProof/>
        </w:rPr>
        <w:t>Unkari:</w:t>
      </w:r>
      <w:r>
        <w:rPr>
          <w:rFonts w:ascii="Times New Roman" w:hAnsi="Times New Roman"/>
          <w:noProof/>
        </w:rPr>
        <w:t xml:space="preserve"> Makrotalouden </w:t>
      </w:r>
      <w:r>
        <w:rPr>
          <w:rFonts w:ascii="Times New Roman" w:hAnsi="Times New Roman"/>
          <w:noProof/>
        </w:rPr>
        <w:t xml:space="preserve">epätasapainoa koskevan menettelyn edellisellä kierroksella Unkarilla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Ajan tasalle saatetussa tulostaulussa seuraavat indikaattorit ylittävät ohjeelliset kynnysarvot: ulkomainen nettovarallisuusasema, yksikkötyökust</w:t>
      </w:r>
      <w:r>
        <w:rPr>
          <w:rFonts w:ascii="Times New Roman" w:hAnsi="Times New Roman"/>
          <w:noProof/>
        </w:rPr>
        <w:t xml:space="preserve">annusten kasvu, asuntojen reaalihintojen nousu ja julkinen velka. </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49024" behindDoc="0" locked="0" layoutInCell="1" allowOverlap="1">
            <wp:simplePos x="0" y="0"/>
            <wp:positionH relativeFrom="column">
              <wp:posOffset>3128568</wp:posOffset>
            </wp:positionH>
            <wp:positionV relativeFrom="paragraph">
              <wp:posOffset>21736</wp:posOffset>
            </wp:positionV>
            <wp:extent cx="2703195" cy="287909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3195" cy="287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 xml:space="preserve">Negatiivinen ulkomainen nettovarallisuusasema on parantunut jatkuvasti, mutta vaihtotaseen ylijäämä pienenee tuonnin voimakkaan kasvun vuoksi. Kotimaisista kysyntäpaineista johtuviin </w:t>
      </w:r>
      <w:r>
        <w:rPr>
          <w:rFonts w:ascii="Times New Roman" w:hAnsi="Times New Roman"/>
          <w:noProof/>
        </w:rPr>
        <w:t>riskeihin on syytä kiinnittää huomiota. Yksikkötyökustannusten kasvu on ollut hyvin dynaamista, sillä tuottavuuden kasvu on suuria palkankorotuksia hitaampaa. Tähän ovat vaikuttaneet kireät työmarkkinat ja hallinnolliset toimenpiteet. Reaalisen efektiivise</w:t>
      </w:r>
      <w:r>
        <w:rPr>
          <w:rFonts w:ascii="Times New Roman" w:hAnsi="Times New Roman"/>
          <w:noProof/>
        </w:rPr>
        <w:t>n valuuttakurssin vahvistumista on tähän asti lieventänyt valuutan nimellisarvon asteittainen heikkeneminen. Autoteollisuudessa ja sen arvoketjussa esiintyneet tilapäiset häiriöt ovat kuitenkin pysäyttäneet vientimarkkinaosuuden kasvun viime vuosina, ja al</w:t>
      </w:r>
      <w:r>
        <w:rPr>
          <w:rFonts w:ascii="Times New Roman" w:hAnsi="Times New Roman"/>
          <w:noProof/>
        </w:rPr>
        <w:t>an merkittävä rooli voi muodostaa riskin pitkällä aikavälillä. Asuntojen reaalihinnat nousivat edelleen nopeasti. Uusi luotonanto on lisääntymässä, mutta yksityinen velka suhteessa BKT:hen pienenee edelleen aiemmin kertyneiden velkakantojen asteittaisen ku</w:t>
      </w:r>
      <w:r>
        <w:rPr>
          <w:rFonts w:ascii="Times New Roman" w:hAnsi="Times New Roman"/>
          <w:noProof/>
        </w:rPr>
        <w:t>olettamisen vuoksi. Julkinen velka vähenee vain hitaasti viime vuosien myötäsyklisen finanssipolitiikan virityksen vuoksi. Työttömyys väheni entisestään vuonna 2018, sillä työmarkkinat ovat pysyneet kireinä.</w:t>
      </w:r>
    </w:p>
    <w:p w:rsidR="005C26C8" w:rsidRDefault="00115404">
      <w:pPr>
        <w:spacing w:after="200"/>
        <w:ind w:left="0"/>
        <w:jc w:val="both"/>
        <w:rPr>
          <w:rFonts w:ascii="Times New Roman" w:hAnsi="Times New Roman"/>
          <w:noProof/>
        </w:rPr>
      </w:pPr>
      <w:r>
        <w:rPr>
          <w:rFonts w:ascii="Times New Roman" w:hAnsi="Times New Roman"/>
          <w:i/>
          <w:noProof/>
        </w:rPr>
        <w:t>Talouspoliittisissa päätelmissä esiin nousevat y</w:t>
      </w:r>
      <w:r>
        <w:rPr>
          <w:rFonts w:ascii="Times New Roman" w:hAnsi="Times New Roman"/>
          <w:i/>
          <w:noProof/>
        </w:rPr>
        <w:t>ksikkötyökustannuksiin, asuntomarkkinoihin ja autoteollisuudelle altistumisesta mahdollisesti aiheutuviin riskeihin liittyvät kysymykset. Lyhyen aikavälin riskit näyttävät kuitenkin olevan hallinnassa.</w:t>
      </w:r>
      <w:r>
        <w:rPr>
          <w:rFonts w:ascii="Times New Roman" w:hAnsi="Times New Roman"/>
          <w:noProof/>
        </w:rPr>
        <w:t xml:space="preserve"> </w:t>
      </w:r>
      <w:r>
        <w:rPr>
          <w:rFonts w:ascii="Times New Roman" w:hAnsi="Times New Roman"/>
          <w:i/>
          <w:noProof/>
        </w:rPr>
        <w:t>Tästä syystä komissio seuraa edelleen tilannetta mutta</w:t>
      </w:r>
      <w:r>
        <w:rPr>
          <w:rFonts w:ascii="Times New Roman" w:hAnsi="Times New Roman"/>
          <w:i/>
          <w:noProof/>
        </w:rPr>
        <w:t xml:space="preserve"> ei tässä vaiheessa katso tarpeelliseksi ryhtyä perusteellisiin jatkotutkimuksiin makrotalouden epätasapainoa koskevan menettelyn yhteydessä.</w:t>
      </w:r>
    </w:p>
    <w:p w:rsidR="005C26C8" w:rsidRDefault="005C26C8">
      <w:pPr>
        <w:spacing w:after="200"/>
        <w:ind w:left="0"/>
        <w:jc w:val="both"/>
        <w:rPr>
          <w:rFonts w:ascii="Times New Roman" w:hAnsi="Times New Roman"/>
          <w:b/>
          <w:noProof/>
        </w:rPr>
      </w:pPr>
    </w:p>
    <w:p w:rsidR="005C26C8" w:rsidRDefault="00115404">
      <w:pPr>
        <w:spacing w:after="200"/>
        <w:ind w:left="0"/>
        <w:jc w:val="both"/>
        <w:rPr>
          <w:rFonts w:ascii="Times New Roman" w:hAnsi="Times New Roman"/>
          <w:b/>
          <w:noProof/>
        </w:rPr>
      </w:pPr>
      <w:r>
        <w:rPr>
          <w:rFonts w:ascii="Times New Roman" w:hAnsi="Times New Roman"/>
          <w:b/>
          <w:noProof/>
        </w:rPr>
        <w:t xml:space="preserve">Malta: </w:t>
      </w:r>
      <w:r>
        <w:rPr>
          <w:rFonts w:ascii="Times New Roman" w:hAnsi="Times New Roman"/>
          <w:noProof/>
        </w:rPr>
        <w:t xml:space="preserve">Makrotalouden epätasapainoa koskevan menettelyn edellisellä kierroksella Maltalla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w:t>
      </w:r>
      <w:r>
        <w:rPr>
          <w:rFonts w:ascii="Times New Roman" w:hAnsi="Times New Roman"/>
          <w:i/>
          <w:noProof/>
        </w:rPr>
        <w:t>n epätasapainoja</w:t>
      </w:r>
      <w:r>
        <w:rPr>
          <w:rFonts w:ascii="Times New Roman" w:hAnsi="Times New Roman"/>
          <w:noProof/>
        </w:rPr>
        <w:t>. Ajan tasalle saatetussa tulostaulussa vaihtotaseen ylijäämää kuvaava indikaattori ylittää ohjeellisen kynnysarvon.</w:t>
      </w:r>
    </w:p>
    <w:p w:rsidR="005C26C8" w:rsidRDefault="00115404">
      <w:pPr>
        <w:pStyle w:val="Default"/>
        <w:spacing w:after="200" w:line="276" w:lineRule="auto"/>
        <w:ind w:left="0"/>
        <w:jc w:val="both"/>
        <w:rPr>
          <w:noProof/>
          <w:sz w:val="22"/>
          <w:szCs w:val="22"/>
        </w:rPr>
      </w:pPr>
      <w:r>
        <w:rPr>
          <w:noProof/>
          <w:lang w:val="en-GB"/>
        </w:rPr>
        <w:drawing>
          <wp:anchor distT="0" distB="0" distL="114300" distR="114300" simplePos="0" relativeHeight="251668480" behindDoc="0" locked="0" layoutInCell="1" allowOverlap="1">
            <wp:simplePos x="0" y="0"/>
            <wp:positionH relativeFrom="column">
              <wp:posOffset>3204845</wp:posOffset>
            </wp:positionH>
            <wp:positionV relativeFrom="paragraph">
              <wp:posOffset>-16029</wp:posOffset>
            </wp:positionV>
            <wp:extent cx="2665095" cy="2752725"/>
            <wp:effectExtent l="0" t="0" r="190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509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szCs w:val="22"/>
        </w:rPr>
        <w:t>Vaihtotaseen ylijäämä pysyi vuonna 2018 erittäin korkealla tasolla kuten vuonna 2017. Ulkomainen nettovarallisuusasema hei</w:t>
      </w:r>
      <w:r>
        <w:rPr>
          <w:noProof/>
          <w:sz w:val="22"/>
          <w:szCs w:val="22"/>
        </w:rPr>
        <w:t>kkeni hieman, mutta se on edelleen vahvasti positiivinen, mikä johtuu kansainvälisesti suuntautuneesta rahoitusliiketoiminnasta ja verkkopelaamiseen liittyvästä toiminnasta. Maltillinen palkkakehitys on tärkein syy nimellisten yksikkötyökustannusten vaimea</w:t>
      </w:r>
      <w:r>
        <w:rPr>
          <w:noProof/>
          <w:sz w:val="22"/>
          <w:szCs w:val="22"/>
        </w:rPr>
        <w:t>na jatkuvaan kasvuun. Reaalinen efektiivinen valuuttakurssi vahvistui hieman. Yksityisen sektorin velka supistui edelleen vuonna 2018 pääasiassa nimellisen BKT:n vahvan kasvun seurauksena. Luottovirta rahoitusalan ulkopuoliselle sektorille on kasvussa, mut</w:t>
      </w:r>
      <w:r>
        <w:rPr>
          <w:noProof/>
          <w:sz w:val="22"/>
          <w:szCs w:val="22"/>
        </w:rPr>
        <w:t>ta kotitalouksille suunnatut luotot pysyivät jokseenkin vakaina vuoteen 2018 asti. Julkinen velka suhteessa BKT:hen supistui edelleen. Asuntohintojen tasainen nousu kiihtyi hieman vuonna 2018, mutta vielä ei ole johdonmukaisia merkkejä yliarvostuksesta. Ra</w:t>
      </w:r>
      <w:r>
        <w:rPr>
          <w:noProof/>
          <w:sz w:val="22"/>
          <w:szCs w:val="22"/>
        </w:rPr>
        <w:t>hoitusalan velat vähenivät vuonna 2018, eikä pankkisektorilla ole selviä merkkejä epävakaudesta, kun otetaan huomioon nykyiset pääomapuskurit. Työmarkkinat toimivat edelleen hyvin ja työttömyys, myös pitkäaikaistyöttömyys, vähenee ja työvoimaosuudet kasvav</w:t>
      </w:r>
      <w:r>
        <w:rPr>
          <w:noProof/>
          <w:sz w:val="22"/>
          <w:szCs w:val="22"/>
        </w:rPr>
        <w:t xml:space="preserve">at. </w:t>
      </w:r>
    </w:p>
    <w:p w:rsidR="005C26C8" w:rsidRDefault="00115404">
      <w:pPr>
        <w:pStyle w:val="Default"/>
        <w:spacing w:after="200" w:line="276" w:lineRule="auto"/>
        <w:ind w:left="0"/>
        <w:jc w:val="both"/>
        <w:rPr>
          <w:noProof/>
          <w:sz w:val="22"/>
          <w:szCs w:val="22"/>
        </w:rPr>
      </w:pPr>
      <w:r>
        <w:rPr>
          <w:i/>
          <w:iCs/>
          <w:noProof/>
          <w:sz w:val="22"/>
          <w:szCs w:val="22"/>
        </w:rPr>
        <w:t>Talouspoliittisissa päätelmissä esiin nousevat erittäin ylijäämäinen vaihtotase ja suhteellisen dynaaminen asuntojen hintojen nousu, mutta riskit näyttävät tässä vaiheessa olevan hallinnassa. Yleisesti ottaen komissio ei tässä vaiheessa katso tarpeell</w:t>
      </w:r>
      <w:r>
        <w:rPr>
          <w:i/>
          <w:iCs/>
          <w:noProof/>
          <w:sz w:val="22"/>
          <w:szCs w:val="22"/>
        </w:rPr>
        <w:t>iseksi ryhtyä perusteellisiin jatkotutkimuksiin makrotalouden epätasapainoa koskevan menettelyn yhteydessä.</w:t>
      </w:r>
    </w:p>
    <w:p w:rsidR="005C26C8" w:rsidRDefault="005C26C8">
      <w:pPr>
        <w:pStyle w:val="Default"/>
        <w:spacing w:after="200" w:line="276" w:lineRule="auto"/>
        <w:ind w:left="0"/>
        <w:jc w:val="both"/>
        <w:rPr>
          <w:noProof/>
          <w:sz w:val="22"/>
          <w:szCs w:val="22"/>
        </w:rPr>
      </w:pPr>
    </w:p>
    <w:p w:rsidR="005C26C8" w:rsidRDefault="00115404">
      <w:pPr>
        <w:ind w:left="0"/>
        <w:jc w:val="both"/>
        <w:rPr>
          <w:rFonts w:ascii="Times New Roman" w:hAnsi="Times New Roman"/>
          <w:noProof/>
        </w:rPr>
      </w:pPr>
      <w:r>
        <w:rPr>
          <w:rFonts w:ascii="Times New Roman" w:hAnsi="Times New Roman"/>
          <w:b/>
          <w:noProof/>
        </w:rPr>
        <w:t>Alankomaat:</w:t>
      </w:r>
      <w:r>
        <w:rPr>
          <w:rFonts w:ascii="Times New Roman" w:hAnsi="Times New Roman"/>
          <w:noProof/>
        </w:rPr>
        <w:t xml:space="preserve"> Komissio päätteli helmikuussa 2019, että Alankomailla oli </w:t>
      </w:r>
      <w:r>
        <w:rPr>
          <w:rFonts w:ascii="Times New Roman" w:hAnsi="Times New Roman"/>
          <w:i/>
          <w:noProof/>
        </w:rPr>
        <w:t>makrotalouden epätasapainoja</w:t>
      </w:r>
      <w:r>
        <w:rPr>
          <w:rFonts w:ascii="Times New Roman" w:hAnsi="Times New Roman"/>
          <w:noProof/>
        </w:rPr>
        <w:t>, jotka liittyivät erityisesti yksityisen velan s</w:t>
      </w:r>
      <w:r>
        <w:rPr>
          <w:rFonts w:ascii="Times New Roman" w:hAnsi="Times New Roman"/>
          <w:noProof/>
        </w:rPr>
        <w:t xml:space="preserve">uureen määrään ja vaihtotaseen suureen ylijäämään. Ajan tasalle saatetussa tulostaulussa seuraavat indikaattorit ylittävät ohjeelliset kynnysarvot: vaihtotase, yksityisen sektorin velka ja asuntojen reaalihintojen nousu. </w:t>
      </w:r>
    </w:p>
    <w:p w:rsidR="005C26C8" w:rsidRDefault="00115404">
      <w:pPr>
        <w:rPr>
          <w:rFonts w:ascii="Times New Roman" w:hAnsi="Times New Roman"/>
          <w:b/>
          <w:noProof/>
        </w:rPr>
      </w:pPr>
      <w:r>
        <w:rPr>
          <w:noProof/>
          <w:lang w:val="en-GB" w:eastAsia="en-GB"/>
        </w:rPr>
        <w:drawing>
          <wp:anchor distT="0" distB="0" distL="114300" distR="114300" simplePos="0" relativeHeight="251655168" behindDoc="0" locked="0" layoutInCell="1" allowOverlap="1">
            <wp:simplePos x="0" y="0"/>
            <wp:positionH relativeFrom="column">
              <wp:posOffset>3253028</wp:posOffset>
            </wp:positionH>
            <wp:positionV relativeFrom="paragraph">
              <wp:posOffset>163865</wp:posOffset>
            </wp:positionV>
            <wp:extent cx="2611755" cy="30714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1755"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26C8" w:rsidRDefault="00115404">
      <w:pPr>
        <w:spacing w:after="200"/>
        <w:ind w:left="0"/>
        <w:jc w:val="both"/>
        <w:rPr>
          <w:rFonts w:ascii="Times New Roman" w:hAnsi="Times New Roman"/>
          <w:noProof/>
        </w:rPr>
      </w:pPr>
      <w:r>
        <w:rPr>
          <w:rFonts w:ascii="Times New Roman" w:hAnsi="Times New Roman"/>
          <w:noProof/>
        </w:rPr>
        <w:t>Vaihtotaseen ylijäämä on erittäi</w:t>
      </w:r>
      <w:r>
        <w:rPr>
          <w:rFonts w:ascii="Times New Roman" w:hAnsi="Times New Roman"/>
          <w:noProof/>
        </w:rPr>
        <w:t>n suuri ja pysyttelee edelleen selvästi ohjeellisen kynnysarvon yläpuolella. Kaikki talouden sektorit – kotitaloudet, julkisyhteisöt ja yritykset – vaikuttavat ylijäämään. Viime vuosina sen kasvu on johtunut pääasiassa rahoitusalan ulkopuolisista yrityksis</w:t>
      </w:r>
      <w:r>
        <w:rPr>
          <w:rFonts w:ascii="Times New Roman" w:hAnsi="Times New Roman"/>
          <w:noProof/>
        </w:rPr>
        <w:t>tä, joiden säästöylijäämä oli seurausta niiden melko hyvästä kannattavuudesta ja suhteellisesti tarkasteltuna matalasta kotimaisesta investointiasteesta. Yksikkötyökustannusten kasvu on ollut hillittyä, sillä palkkojen nousu on kiihtymisestä huolimatta ede</w:t>
      </w:r>
      <w:r>
        <w:rPr>
          <w:rFonts w:ascii="Times New Roman" w:hAnsi="Times New Roman"/>
          <w:noProof/>
        </w:rPr>
        <w:t>lleen maltillista ja tuottavuuden kasvu puolestaan on pysähtynyt. Yksityinen velka suhteessa BKT:hen supistuu edelleen vähitellen, mutta ylittää vieläkin selvästi tulostaulun kynnysarvon. Yritysten suuri velka johtuu pääasiassa monikansallisten yritysten k</w:t>
      </w:r>
      <w:r>
        <w:rPr>
          <w:rFonts w:ascii="Times New Roman" w:hAnsi="Times New Roman"/>
          <w:noProof/>
        </w:rPr>
        <w:t>onsernilainoista. Etenkin kotitalouksilla on runsaasti velkaa. Tämä johtuu pääasiassa omistusasuntojen kiinnelainojen suotuisasta verokohtelusta ja huonosti toimivista vuokramarkkinoista. Kotitalouksien velka suhteessa BKT:hen on laskusuunnassa, mutta nime</w:t>
      </w:r>
      <w:r>
        <w:rPr>
          <w:rFonts w:ascii="Times New Roman" w:hAnsi="Times New Roman"/>
          <w:noProof/>
        </w:rPr>
        <w:t>llinen velka kasvoi edelleen vuonna 2018, koska asuntomarkkinoiden vahva elpyminen kiihtyi entisestään. Tämän seurauksena asuntojen reaalihintojen nousu kiihtyi vuonna 2018 ja ylitti tulostaulun kynnysarvon. Julkisen sektorin velkasuhde on suhteellisen alh</w:t>
      </w:r>
      <w:r>
        <w:rPr>
          <w:rFonts w:ascii="Times New Roman" w:hAnsi="Times New Roman"/>
          <w:noProof/>
        </w:rPr>
        <w:t>ainen ja laskusuunnassa. Työttömyys on myös vähentynyt työllisyyden voimakkaan kasvun myötä.</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kysymykset, jotka liittyvät kotitalouksien suureen velkaan, joka on yhteydessä asuntomarkkinoihin, ja suureen kotima</w:t>
      </w:r>
      <w:r>
        <w:rPr>
          <w:rFonts w:ascii="Times New Roman" w:hAnsi="Times New Roman"/>
          <w:i/>
          <w:noProof/>
        </w:rPr>
        <w:t>iseen säästöylijäämään. Komissio katsoo tämän vuoksi ja myös ottaen huomioon helmikuussa havaitut epätasapainot, että on asianmukaista selvittää tarkemmin, jatkuvatko vai purkautuvatko epätasapainot.</w:t>
      </w:r>
    </w:p>
    <w:p w:rsidR="005C26C8" w:rsidRDefault="005C26C8">
      <w:pPr>
        <w:spacing w:after="200"/>
        <w:ind w:left="0"/>
        <w:jc w:val="both"/>
        <w:rPr>
          <w:rFonts w:ascii="Times New Roman" w:hAnsi="Times New Roman"/>
          <w:noProof/>
          <w:sz w:val="24"/>
          <w:szCs w:val="24"/>
        </w:rPr>
      </w:pPr>
    </w:p>
    <w:p w:rsidR="005C26C8" w:rsidRDefault="00115404">
      <w:pPr>
        <w:spacing w:after="200"/>
        <w:ind w:left="0"/>
        <w:jc w:val="both"/>
        <w:rPr>
          <w:rFonts w:ascii="Times New Roman" w:hAnsi="Times New Roman"/>
          <w:noProof/>
          <w:sz w:val="24"/>
          <w:szCs w:val="24"/>
        </w:rPr>
      </w:pPr>
      <w:r>
        <w:rPr>
          <w:noProof/>
          <w:lang w:val="en-GB" w:eastAsia="en-GB"/>
        </w:rPr>
        <w:drawing>
          <wp:anchor distT="0" distB="0" distL="114300" distR="114300" simplePos="0" relativeHeight="251657216" behindDoc="0" locked="0" layoutInCell="1" allowOverlap="1">
            <wp:simplePos x="0" y="0"/>
            <wp:positionH relativeFrom="column">
              <wp:posOffset>3209290</wp:posOffset>
            </wp:positionH>
            <wp:positionV relativeFrom="paragraph">
              <wp:posOffset>45797</wp:posOffset>
            </wp:positionV>
            <wp:extent cx="2708275" cy="30143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8275" cy="3014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Itävalta:</w:t>
      </w:r>
      <w:r>
        <w:rPr>
          <w:rFonts w:ascii="Times New Roman" w:hAnsi="Times New Roman"/>
          <w:noProof/>
        </w:rPr>
        <w:t xml:space="preserve"> Makrotalouden epätasapainoa koskevan menette</w:t>
      </w:r>
      <w:r>
        <w:rPr>
          <w:rFonts w:ascii="Times New Roman" w:hAnsi="Times New Roman"/>
          <w:noProof/>
        </w:rPr>
        <w:t xml:space="preserve">lyn edellisellä kierroksella Itävallalla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Ajan tasalle saatetussa tulostaulussa julkinen velka ylittää ohjeellisen kynnysarvon.</w:t>
      </w:r>
    </w:p>
    <w:p w:rsidR="005C26C8" w:rsidRDefault="00115404">
      <w:pPr>
        <w:spacing w:after="200"/>
        <w:ind w:left="0"/>
        <w:jc w:val="both"/>
        <w:rPr>
          <w:rFonts w:ascii="Times New Roman" w:hAnsi="Times New Roman"/>
          <w:noProof/>
        </w:rPr>
      </w:pPr>
      <w:r>
        <w:rPr>
          <w:rFonts w:ascii="Times New Roman" w:hAnsi="Times New Roman"/>
          <w:noProof/>
        </w:rPr>
        <w:t>Vaihtotaseen ylijäämä pysyi maltillisena ja jokseenkin vakaana vuonna 2018, ja ulkomain</w:t>
      </w:r>
      <w:r>
        <w:rPr>
          <w:rFonts w:ascii="Times New Roman" w:hAnsi="Times New Roman"/>
          <w:noProof/>
        </w:rPr>
        <w:t xml:space="preserve">en nettovarallisuusasema pysyi juuri ja juuri positiivisena. Vientimarkkinaosuudet kasvoivat jonkin verran. Yksikkötyökustannukset kasvoivat palkkojen noustessa työn tuottavuutta voimakkaammin, mutta ne pysyivät yleisesti ottaen suhteellisen maltillisina. </w:t>
      </w:r>
      <w:r>
        <w:rPr>
          <w:rFonts w:ascii="Times New Roman" w:hAnsi="Times New Roman"/>
          <w:noProof/>
        </w:rPr>
        <w:t>Asuntojen reaalihinnat jatkoivat nousuaan, mutta kasvu hidastui entisestään. Tämä edellyttää seurantaa, vaikka hintojen nousu ei näytä perustuvan luotonantoon. Sekä yritysten että kotitalouksien velkasuhteet supistuvat edelleen. Myös julkisen velan supistu</w:t>
      </w:r>
      <w:r>
        <w:rPr>
          <w:rFonts w:ascii="Times New Roman" w:hAnsi="Times New Roman"/>
          <w:noProof/>
        </w:rPr>
        <w:t>minen jatkui vahvan talouskasvun ja kansallistettujen rahoituslaitosten omaisuuserien käynnissä olevan purkamisen seurauksena. Pankkisektorin tilanne parani edelleen osittain myös Itävallan naapurimaiden elpymisen seurauksena. Työttömyysaste laski merkittä</w:t>
      </w:r>
      <w:r>
        <w:rPr>
          <w:rFonts w:ascii="Times New Roman" w:hAnsi="Times New Roman"/>
          <w:noProof/>
        </w:rPr>
        <w:t xml:space="preserve">västi suotuisan taloustilanteen ja työllisyyden voimakkaan kasvun myötä. </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asuntosektoriin liittyvät kysymykset, mutta riskit näyttävät olevan hallinnassa. Tästä syystä komissio ei tässä vaiheessa katso tarpeel</w:t>
      </w:r>
      <w:r>
        <w:rPr>
          <w:rFonts w:ascii="Times New Roman" w:hAnsi="Times New Roman"/>
          <w:i/>
          <w:noProof/>
        </w:rPr>
        <w:t>liseksi ryhtyä perusteellisiin jatkotutkimuksiin makrotalouden epätasapainoa koskevan menettelyn yhteydessä.</w:t>
      </w:r>
    </w:p>
    <w:p w:rsidR="005C26C8" w:rsidRDefault="005C26C8">
      <w:pPr>
        <w:spacing w:after="200"/>
        <w:ind w:left="0"/>
        <w:rPr>
          <w:noProof/>
        </w:rPr>
      </w:pPr>
    </w:p>
    <w:p w:rsidR="005C26C8" w:rsidRDefault="00115404">
      <w:pPr>
        <w:spacing w:after="200"/>
        <w:ind w:left="0"/>
        <w:jc w:val="both"/>
        <w:rPr>
          <w:rFonts w:ascii="Times New Roman" w:hAnsi="Times New Roman"/>
          <w:b/>
          <w:noProof/>
        </w:rPr>
      </w:pPr>
      <w:r>
        <w:rPr>
          <w:rFonts w:ascii="Times New Roman" w:hAnsi="Times New Roman"/>
          <w:b/>
          <w:noProof/>
        </w:rPr>
        <w:t>Puola</w:t>
      </w:r>
      <w:r>
        <w:rPr>
          <w:rFonts w:ascii="Times New Roman" w:hAnsi="Times New Roman"/>
          <w:noProof/>
        </w:rPr>
        <w:t xml:space="preserve">: Makrotalouden epätasapainoa koskevan menettelyn edellisellä kierroksella Puolalla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xml:space="preserve">. Ajan tasalle saatetussa tulostaulussa ulkomainen nettovarallisuusasema ylittää ohjeellisen kynnysarvon. </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59264" behindDoc="0" locked="0" layoutInCell="1" allowOverlap="1">
            <wp:simplePos x="0" y="0"/>
            <wp:positionH relativeFrom="column">
              <wp:posOffset>2994025</wp:posOffset>
            </wp:positionH>
            <wp:positionV relativeFrom="paragraph">
              <wp:posOffset>3844</wp:posOffset>
            </wp:positionV>
            <wp:extent cx="2846705" cy="30194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6705" cy="3019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 kääntyi pienestä ylijäämästä vuonna 2017 hienoiseen alijäämään vuonna 2018, kun taas negatiivinen ulkomainen nettovarallisuusasema supist</w:t>
      </w:r>
      <w:r>
        <w:rPr>
          <w:rFonts w:ascii="Times New Roman" w:hAnsi="Times New Roman"/>
          <w:noProof/>
        </w:rPr>
        <w:t>ui selvästi mutta pysyi kuitenkin kynnysarvon yläpuolella. Ulkoiset haavoittuvuustekijät pysyvät hallinnassa, koska suurin osa ulkomaisesta velasta on suoria ulkomaisia sijoituksia. Vientimarkkinaosuudet kasvoivat vuonna 2018. Nimelliset yksikkötyökustannu</w:t>
      </w:r>
      <w:r>
        <w:rPr>
          <w:rFonts w:ascii="Times New Roman" w:hAnsi="Times New Roman"/>
          <w:noProof/>
        </w:rPr>
        <w:t xml:space="preserve">kset nousivat verkkaiseen tahtiin, sillä tuottavuuden voimakas kasvu tasapainotti suuria palkankorotuksia. Asuntojen hintojen nousu kiihtyi vuonna 2018, mutta pysyi kuitenkin juuri kynnysarvon alapuolella. Yksityisen sektorin velka suhteessa BKT:hen pysyi </w:t>
      </w:r>
      <w:r>
        <w:rPr>
          <w:rFonts w:ascii="Times New Roman" w:hAnsi="Times New Roman"/>
          <w:noProof/>
        </w:rPr>
        <w:t>jokseenkin vakaana vuonna 2018. Julkisen talouden velka prosentteina suhteessa BKT:hen supistui edelleen tasolta, joka oli jo ennestään melko alhainen. Tämä oli seurausta nimellisen BKT:n nopeasta kasvusta ja julkisen sektorin pienestä alijäämästä. Pankkis</w:t>
      </w:r>
      <w:r>
        <w:rPr>
          <w:rFonts w:ascii="Times New Roman" w:hAnsi="Times New Roman"/>
          <w:noProof/>
        </w:rPr>
        <w:t>ektori on suhteellisen hyvin pääomitettu, likvidi ja kannattava, vaikka ulkomaanvaluutan määräisten lainojen supistuva mutta edelleen suuri määrä muodostaa vieläkin haavoittuvuustekijän. Työmarkkinatilanne säilyi suotuisana, minkä seurauksena työttömyysast</w:t>
      </w:r>
      <w:r>
        <w:rPr>
          <w:rFonts w:ascii="Times New Roman" w:hAnsi="Times New Roman"/>
          <w:noProof/>
        </w:rPr>
        <w:t>e laski edelleen hyvin alhaiselle tasolle.</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ulkomaiseen nettovarallisuusasemaan liittyvät kysymykset, mutta riskit ovat vähäisiä. Näin ollen komissio ei tässä vaiheessa katso tarpeelliseksi ryhtyä perusteellisi</w:t>
      </w:r>
      <w:r>
        <w:rPr>
          <w:rFonts w:ascii="Times New Roman" w:hAnsi="Times New Roman"/>
          <w:i/>
          <w:noProof/>
        </w:rPr>
        <w:t>in jatkotutkimuksiin makrotalouden epätasapainoa koskevan menettelyn yhteydessä.</w:t>
      </w:r>
    </w:p>
    <w:p w:rsidR="005C26C8" w:rsidRDefault="005C26C8">
      <w:pPr>
        <w:spacing w:after="200"/>
        <w:ind w:left="0"/>
        <w:rPr>
          <w:noProof/>
        </w:rPr>
      </w:pPr>
    </w:p>
    <w:p w:rsidR="005C26C8" w:rsidRDefault="005C26C8">
      <w:pPr>
        <w:rPr>
          <w:rFonts w:ascii="Times New Roman" w:hAnsi="Times New Roman"/>
          <w:b/>
          <w:noProof/>
        </w:rPr>
      </w:pPr>
    </w:p>
    <w:p w:rsidR="005C26C8" w:rsidRDefault="00115404">
      <w:pPr>
        <w:spacing w:after="200"/>
        <w:ind w:left="0"/>
        <w:jc w:val="both"/>
        <w:rPr>
          <w:rFonts w:ascii="Times New Roman" w:hAnsi="Times New Roman"/>
          <w:b/>
          <w:noProof/>
        </w:rPr>
      </w:pPr>
      <w:r>
        <w:rPr>
          <w:noProof/>
          <w:lang w:val="en-GB" w:eastAsia="en-GB"/>
        </w:rPr>
        <w:drawing>
          <wp:anchor distT="0" distB="0" distL="114300" distR="114300" simplePos="0" relativeHeight="251661312" behindDoc="0" locked="0" layoutInCell="1" allowOverlap="1">
            <wp:simplePos x="0" y="0"/>
            <wp:positionH relativeFrom="column">
              <wp:posOffset>3208578</wp:posOffset>
            </wp:positionH>
            <wp:positionV relativeFrom="paragraph">
              <wp:posOffset>30626</wp:posOffset>
            </wp:positionV>
            <wp:extent cx="2582545" cy="282321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2545" cy="2823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w:t>Portugali:</w:t>
      </w:r>
      <w:r>
        <w:rPr>
          <w:rFonts w:ascii="Times New Roman" w:hAnsi="Times New Roman"/>
          <w:noProof/>
        </w:rPr>
        <w:t xml:space="preserve"> Komissio päätteli helmikuussa 2019, että Portugalilla oli </w:t>
      </w:r>
      <w:r>
        <w:rPr>
          <w:rFonts w:ascii="Times New Roman" w:hAnsi="Times New Roman"/>
          <w:i/>
          <w:noProof/>
        </w:rPr>
        <w:t>makrotalouden epätasapainoja</w:t>
      </w:r>
      <w:r>
        <w:rPr>
          <w:rFonts w:ascii="Times New Roman" w:hAnsi="Times New Roman"/>
          <w:noProof/>
        </w:rPr>
        <w:t>, jotka liittyivät erityisesti suureen ulkomaiseen nettovelkaan, yksityisee</w:t>
      </w:r>
      <w:r>
        <w:rPr>
          <w:rFonts w:ascii="Times New Roman" w:hAnsi="Times New Roman"/>
          <w:noProof/>
        </w:rPr>
        <w:t>n ja julkiseen velkaan sekä järjestämättömien lainojen suureen osuuteen tilanteessa, jossa tuottavuuden kasvu on vähäistä. Ajan tasalle saatetussa tulostaulussa seuraavat indikaattorit ylittävät ohjeelliset kynnysarvot: ulkomainen nettovarallisuusasema, ju</w:t>
      </w:r>
      <w:r>
        <w:rPr>
          <w:rFonts w:ascii="Times New Roman" w:hAnsi="Times New Roman"/>
          <w:noProof/>
        </w:rPr>
        <w:t>lkinen velka, yksityinen velka ja asuntojen reaalihintojen nousu.</w:t>
      </w:r>
    </w:p>
    <w:p w:rsidR="005C26C8" w:rsidRDefault="00115404">
      <w:pPr>
        <w:spacing w:after="200"/>
        <w:ind w:left="0"/>
        <w:jc w:val="both"/>
        <w:rPr>
          <w:rFonts w:ascii="Times New Roman" w:hAnsi="Times New Roman"/>
          <w:noProof/>
        </w:rPr>
      </w:pPr>
      <w:r>
        <w:rPr>
          <w:rFonts w:ascii="Times New Roman" w:hAnsi="Times New Roman"/>
          <w:noProof/>
        </w:rPr>
        <w:t xml:space="preserve">Ulkoinen rahoitusasema on haavoittuva, koska ulkomainen nettovarallisuusasema on erittäin negatiivinen ja sopeutusvauhti hyvin hidas samalla kun vaihtotase on heikentynyt. Hintakilpailukyky </w:t>
      </w:r>
      <w:r>
        <w:rPr>
          <w:rFonts w:ascii="Times New Roman" w:hAnsi="Times New Roman"/>
          <w:noProof/>
        </w:rPr>
        <w:t>on heikentynyt hieman viime vuosina yksikkötyökustannusten nousun vuoksi. Samaan aikaan viejät kasvattavat edelleen markkinaosuuksiaan, joskin hidastuvaan tahtiin. Työn tuottavuus on edelleen alhainen, ja sen ennustetaan paranevan vain marginaalisesti tule</w:t>
      </w:r>
      <w:r>
        <w:rPr>
          <w:rFonts w:ascii="Times New Roman" w:hAnsi="Times New Roman"/>
          <w:noProof/>
        </w:rPr>
        <w:t>vina vuosina. Tämä haittaa euroalueen edistyneempien talouksien kiinnikuromista. Yksityisen sektorin velan vähentäminen jatkuu, mutta sekä yritysten että kotitalouksien velkaantumisasteet ovat suhteellisen korkeat. Julkinen velka on edelleen erittäin suuri</w:t>
      </w:r>
      <w:r>
        <w:rPr>
          <w:rFonts w:ascii="Times New Roman" w:hAnsi="Times New Roman"/>
          <w:noProof/>
        </w:rPr>
        <w:t>, mutta sen ennustetaan pysyvän asteittain laskevalla uralla. Pankkisektori on muuttumassa kestävämmäksi, vaikka järjestämättömien lainojen määrä on edelleen huolestuttava huolimatta niiden merkittävästä vähenemisestä vuosina 2017 ja 2018. Asuntojen hinnat</w:t>
      </w:r>
      <w:r>
        <w:rPr>
          <w:rFonts w:ascii="Times New Roman" w:hAnsi="Times New Roman"/>
          <w:noProof/>
        </w:rPr>
        <w:t xml:space="preserve"> nousevat edelleen voimakkaasti ja nousu on nopeutunut, erityisesti matkailuun liittyvän toiminnan vaikutuspiirissä olevilla markkinasegmenteillä. Asuntolainakanta on kuitenkin melko vakaa, ja rakennustoiminta on vähitellen kuromassa kiinni kysyntää. Työma</w:t>
      </w:r>
      <w:r>
        <w:rPr>
          <w:rFonts w:ascii="Times New Roman" w:hAnsi="Times New Roman"/>
          <w:noProof/>
        </w:rPr>
        <w:t>rkkinat ovat edelleen kohentuneet, ja työttömyysaste on nyt kynnysarvon alapuolella.</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kysymykset, jotka liittyvät varantomuuttujien epätasapainoon, erityisesti ulkomaiseen, julkiseen ja yksityiseen velkaan, pan</w:t>
      </w:r>
      <w:r>
        <w:rPr>
          <w:rFonts w:ascii="Times New Roman" w:hAnsi="Times New Roman"/>
          <w:i/>
          <w:noProof/>
        </w:rPr>
        <w:t>kkisektorin haavoittuvuustekijöihin sekä tuottavuuden heikkoon kasvuun. Komissio katsoo tämän vuoksi ja myös ottaen huomioon helmikuussa havaitut epätasapainot, että on asianmukaista selvittää tarkemmin, jatkuvatko vai purkautuvatko epätasapainot.</w:t>
      </w:r>
    </w:p>
    <w:p w:rsidR="005C26C8" w:rsidRDefault="005C26C8">
      <w:pPr>
        <w:spacing w:after="200"/>
        <w:ind w:left="0"/>
        <w:rPr>
          <w:b/>
          <w:noProof/>
        </w:rPr>
      </w:pPr>
    </w:p>
    <w:p w:rsidR="005C26C8" w:rsidRDefault="00115404">
      <w:pPr>
        <w:spacing w:after="200"/>
        <w:ind w:left="0"/>
        <w:jc w:val="both"/>
        <w:rPr>
          <w:rFonts w:ascii="Times New Roman" w:hAnsi="Times New Roman"/>
          <w:b/>
          <w:noProof/>
        </w:rPr>
      </w:pPr>
      <w:r>
        <w:rPr>
          <w:noProof/>
          <w:lang w:val="en-GB" w:eastAsia="en-GB"/>
        </w:rPr>
        <w:drawing>
          <wp:anchor distT="0" distB="0" distL="114300" distR="114300" simplePos="0" relativeHeight="251665408" behindDoc="0" locked="0" layoutInCell="1" allowOverlap="1">
            <wp:simplePos x="0" y="0"/>
            <wp:positionH relativeFrom="column">
              <wp:posOffset>3350260</wp:posOffset>
            </wp:positionH>
            <wp:positionV relativeFrom="paragraph">
              <wp:posOffset>1085215</wp:posOffset>
            </wp:positionV>
            <wp:extent cx="2472020" cy="2919891"/>
            <wp:effectExtent l="0" t="0" r="508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2020" cy="2919891"/>
                    </a:xfrm>
                    <a:prstGeom prst="rect">
                      <a:avLst/>
                    </a:prstGeom>
                    <a:noFill/>
                    <a:ln>
                      <a:noFill/>
                    </a:ln>
                  </pic:spPr>
                </pic:pic>
              </a:graphicData>
            </a:graphic>
          </wp:anchor>
        </w:drawing>
      </w:r>
      <w:r>
        <w:rPr>
          <w:rFonts w:ascii="Times New Roman" w:hAnsi="Times New Roman"/>
          <w:b/>
          <w:noProof/>
        </w:rPr>
        <w:t>Romania</w:t>
      </w:r>
      <w:r>
        <w:rPr>
          <w:rFonts w:ascii="Times New Roman" w:hAnsi="Times New Roman"/>
          <w:noProof/>
        </w:rPr>
        <w:t xml:space="preserve">: Komissio päätteli helmikuussa 2019, että Romanialla oli </w:t>
      </w:r>
      <w:r>
        <w:rPr>
          <w:rFonts w:ascii="Times New Roman" w:hAnsi="Times New Roman"/>
          <w:i/>
          <w:noProof/>
        </w:rPr>
        <w:t>makrotalouden epätasapainoja</w:t>
      </w:r>
      <w:r>
        <w:rPr>
          <w:rFonts w:ascii="Times New Roman" w:hAnsi="Times New Roman"/>
          <w:noProof/>
        </w:rPr>
        <w:t>, jotka liittyivät erityisesti kustannuskilpailukyvyn heikkenemisen riskiin, ulkoisen rahoitusaseman jatkuvaan heikkenemiseen ja rahoitusvakauteen kohdistuviin ris</w:t>
      </w:r>
      <w:r>
        <w:rPr>
          <w:rFonts w:ascii="Times New Roman" w:hAnsi="Times New Roman"/>
          <w:noProof/>
        </w:rPr>
        <w:t>keihin. Ajan tasalle saatetussa tulostaulussa seuraavat kaksi indikaattoria ylittävät ohjeelliset kynnysarvot: ulkomainen nettovarallisuusasema ja nimellisten yksikkötyökustannusten kasvu.</w:t>
      </w:r>
    </w:p>
    <w:p w:rsidR="005C26C8" w:rsidRDefault="00115404">
      <w:pPr>
        <w:spacing w:after="200"/>
        <w:ind w:left="0"/>
        <w:jc w:val="both"/>
        <w:rPr>
          <w:rFonts w:ascii="Times New Roman" w:hAnsi="Times New Roman"/>
          <w:noProof/>
        </w:rPr>
      </w:pPr>
      <w:r>
        <w:rPr>
          <w:rFonts w:ascii="Times New Roman" w:hAnsi="Times New Roman"/>
          <w:noProof/>
        </w:rPr>
        <w:t>Suuri vaihtotaseen alijäämä kasvoi edelleen vuonna 2018 runsaan tuo</w:t>
      </w:r>
      <w:r>
        <w:rPr>
          <w:rFonts w:ascii="Times New Roman" w:hAnsi="Times New Roman"/>
          <w:noProof/>
        </w:rPr>
        <w:t>nnin ja viennin kasvun hidastumisen vuoksi. Negatiivinen ulkomainen nettovarallisuusasema, joka koostuu pääasiassa suorista ulkomaisista sijoituksista, parani vuonna 2018 nimellisen BKT:n vahvan kasvun tukemana. Vientimenestys säilyi hyvänä vuonna 2018, ja</w:t>
      </w:r>
      <w:r>
        <w:rPr>
          <w:rFonts w:ascii="Times New Roman" w:hAnsi="Times New Roman"/>
          <w:noProof/>
        </w:rPr>
        <w:t xml:space="preserve"> vientimarkkinaosuudet kasvoivat edelleen. Yksikkötyökustannusten kasvu sen sijaan kiihtyi jyrkästi vuonna 2018 palkkojen voimakkaan nousun seurauksena etenkin julkisella sektorilla. Aiempien tietojen mukaan palkkojen nousu julkisella sektorilla todennäköi</w:t>
      </w:r>
      <w:r>
        <w:rPr>
          <w:rFonts w:ascii="Times New Roman" w:hAnsi="Times New Roman"/>
          <w:noProof/>
        </w:rPr>
        <w:t>sesti heijastuu yksityiselle sektorille, mikä voi johtaa kustannuskilpailukyvyn heikkenemiseen. Yksityistä velkaa on vähän ja sen määrä supistuu edelleen samalla kun yksityissektorille suuntautuvan luotonannon kasvu on vaimeaa. Liiketoimintaympäristöön vai</w:t>
      </w:r>
      <w:r>
        <w:rPr>
          <w:rFonts w:ascii="Times New Roman" w:hAnsi="Times New Roman"/>
          <w:noProof/>
        </w:rPr>
        <w:t>kuttavat toistuvat ja ennakoimattomat lainsäädännön muutokset, jotka hyväksytään usein ilman vaikutustenarviointia tai sidosryhmien kuulemista. Julkisen talouden velkasuhde on suhteellisen pieni, mutta se ei enää supistu. Asuntomarkkinoilla asuntojen reaal</w:t>
      </w:r>
      <w:r>
        <w:rPr>
          <w:rFonts w:ascii="Times New Roman" w:hAnsi="Times New Roman"/>
          <w:noProof/>
        </w:rPr>
        <w:t>ihintojen nousun hidastuminen jatkui vuonna 2018, ja nousu on edelleen maltillista. Pankit ovat hyvin pääomitettuja ja likvidejä. Aiemmasta lainsäädännöstä rahoitusvakaudelle aiheutuvat riskit näyttävät laantuneen, vaikka politiikan ja lainsäädännön epävak</w:t>
      </w:r>
      <w:r>
        <w:rPr>
          <w:rFonts w:ascii="Times New Roman" w:hAnsi="Times New Roman"/>
          <w:noProof/>
        </w:rPr>
        <w:t xml:space="preserve">aus on edelleen ongelma. Työttömyysaste laski vuonna 2018, mikä kuvastaa työmarkkinoiden jatkuvaa kiristymistä. Työvoimaosuus puolestaan parani edelleen, vaikka se onkin hyvin alhaisella tasolla. </w:t>
      </w:r>
    </w:p>
    <w:p w:rsidR="005C26C8" w:rsidRDefault="00115404">
      <w:pPr>
        <w:spacing w:after="200"/>
        <w:ind w:left="0"/>
        <w:jc w:val="both"/>
        <w:rPr>
          <w:rFonts w:ascii="Times New Roman" w:hAnsi="Times New Roman"/>
          <w:i/>
          <w:iCs/>
          <w:noProof/>
        </w:rPr>
      </w:pPr>
      <w:r>
        <w:rPr>
          <w:rFonts w:ascii="Times New Roman" w:hAnsi="Times New Roman"/>
          <w:i/>
          <w:iCs/>
          <w:noProof/>
        </w:rPr>
        <w:t>Talouspoliittisissa päätelmissä esiin nousevat voimakkaasti</w:t>
      </w:r>
      <w:r>
        <w:rPr>
          <w:rFonts w:ascii="Times New Roman" w:hAnsi="Times New Roman"/>
          <w:i/>
          <w:iCs/>
          <w:noProof/>
        </w:rPr>
        <w:t xml:space="preserve"> nouseviin yksikkötyökustannuksiin ja heikkenevään ulkoiseen rahoitusasemaan liittyvät kysymykset. Komissio katsoo tämän vuoksi ja myös ottaen huomioon helmikuussa havaitut epätasapainot, että on asianmukaista selvittää tarkemmin, jatkuvatko vai purkautuva</w:t>
      </w:r>
      <w:r>
        <w:rPr>
          <w:rFonts w:ascii="Times New Roman" w:hAnsi="Times New Roman"/>
          <w:i/>
          <w:iCs/>
          <w:noProof/>
        </w:rPr>
        <w:t>tko epätasapainot.</w:t>
      </w:r>
    </w:p>
    <w:p w:rsidR="005C26C8" w:rsidRDefault="005C26C8">
      <w:pPr>
        <w:spacing w:after="200"/>
        <w:ind w:left="0"/>
        <w:jc w:val="both"/>
        <w:rPr>
          <w:rFonts w:ascii="Times New Roman" w:hAnsi="Times New Roman"/>
          <w:i/>
          <w:iCs/>
          <w:noProof/>
        </w:rPr>
      </w:pPr>
    </w:p>
    <w:p w:rsidR="005C26C8" w:rsidRDefault="00115404">
      <w:pPr>
        <w:spacing w:after="200"/>
        <w:ind w:left="0"/>
        <w:jc w:val="both"/>
        <w:rPr>
          <w:rFonts w:ascii="Times New Roman" w:hAnsi="Times New Roman"/>
          <w:b/>
          <w:bCs/>
          <w:noProof/>
        </w:rPr>
      </w:pPr>
      <w:r>
        <w:rPr>
          <w:rFonts w:ascii="Times New Roman" w:hAnsi="Times New Roman"/>
          <w:b/>
          <w:bCs/>
          <w:noProof/>
        </w:rPr>
        <w:t xml:space="preserve">Slovenia: </w:t>
      </w:r>
      <w:r>
        <w:rPr>
          <w:rFonts w:ascii="Times New Roman" w:hAnsi="Times New Roman"/>
          <w:noProof/>
        </w:rPr>
        <w:t xml:space="preserve">Makrotalouden epätasapainoa koskevan menettelyn edellisellä kierroksella Slovenialla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Ajan tasalle saatetussa tulostaulussa seuraavat indikaattorit ylittävät ohjeelliset kynnysarvot: ju</w:t>
      </w:r>
      <w:r>
        <w:rPr>
          <w:rFonts w:ascii="Times New Roman" w:hAnsi="Times New Roman"/>
          <w:noProof/>
        </w:rPr>
        <w:t>lkisen sektorin velka ja asuntojen hintojen nousu.</w:t>
      </w:r>
    </w:p>
    <w:p w:rsidR="005C26C8" w:rsidRDefault="00115404">
      <w:pPr>
        <w:autoSpaceDE w:val="0"/>
        <w:autoSpaceDN w:val="0"/>
        <w:adjustRightInd w:val="0"/>
        <w:spacing w:after="200"/>
        <w:ind w:left="0"/>
        <w:jc w:val="both"/>
        <w:rPr>
          <w:rFonts w:ascii="Times New Roman" w:hAnsi="Times New Roman"/>
          <w:noProof/>
        </w:rPr>
      </w:pPr>
      <w:r>
        <w:rPr>
          <w:noProof/>
          <w:lang w:val="en-GB" w:eastAsia="en-GB"/>
        </w:rPr>
        <w:drawing>
          <wp:anchor distT="0" distB="0" distL="114300" distR="114300" simplePos="0" relativeHeight="251670528" behindDoc="0" locked="0" layoutInCell="1" allowOverlap="1">
            <wp:simplePos x="0" y="0"/>
            <wp:positionH relativeFrom="column">
              <wp:posOffset>3127375</wp:posOffset>
            </wp:positionH>
            <wp:positionV relativeFrom="paragraph">
              <wp:posOffset>41533</wp:posOffset>
            </wp:positionV>
            <wp:extent cx="2670810" cy="27324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0810" cy="2732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 on edelleen voimakkaasti ylijäämäinen, mikä osaltaan kaventaa negatiivista ulkomaista nettovarallisuusasemaa. Palkankorotukset ovat olleet suhteellisen pieniä ja työn tuottavuus on parantunut, mikä on johtanut yksikkötyökustannusten maltilliseen</w:t>
      </w:r>
      <w:r>
        <w:rPr>
          <w:rFonts w:ascii="Times New Roman" w:hAnsi="Times New Roman"/>
          <w:noProof/>
        </w:rPr>
        <w:t xml:space="preserve"> kasvuun samalla kun vientimarkkinaosuuksien kasvu on jatkunut. Yksityisen sektorin velkaa on melko vähän ja sen määrä on laskusuunnassa. Yksityiselle sektorille suuntautuvan luotonannon kasvu kääntyi positiiviseksi vuonna 2017, mutta se on edelleen vaimea</w:t>
      </w:r>
      <w:r>
        <w:rPr>
          <w:rFonts w:ascii="Times New Roman" w:hAnsi="Times New Roman"/>
          <w:noProof/>
        </w:rPr>
        <w:t>a. Investoinnit jäävät alle EU:n keskiarvon, erityisesti asuntorakentamisen osalta. Asuntojen hintojen nousu on edelleen voimakasta, sillä tarjonta on puutteellista. Tähän on syytä kiinnittää huomiota. Julkisen sektorin velkasuhde on korkea, mutta se on va</w:t>
      </w:r>
      <w:r>
        <w:rPr>
          <w:rFonts w:ascii="Times New Roman" w:hAnsi="Times New Roman"/>
          <w:noProof/>
        </w:rPr>
        <w:t>nkasti laskusuunnassa. Ennustetut ikääntymisestä aiheutuvat kustannukset aiheuttavat kuitenkin paineita julkisen talouden kestävyydelle keskipitkällä ja pitkällä aikavälillä. Pankkisektori on vakaa, ja järjestämättömien lainojen osuus on edelleen laskusuun</w:t>
      </w:r>
      <w:r>
        <w:rPr>
          <w:rFonts w:ascii="Times New Roman" w:hAnsi="Times New Roman"/>
          <w:noProof/>
        </w:rPr>
        <w:t xml:space="preserve">nassa. Työmarkkinoilla työttömyys vähenee edelleen, ja työvoimaosuus on ennätyksellisen korkea. </w:t>
      </w:r>
    </w:p>
    <w:p w:rsidR="005C26C8" w:rsidRDefault="00115404">
      <w:pPr>
        <w:autoSpaceDE w:val="0"/>
        <w:autoSpaceDN w:val="0"/>
        <w:adjustRightInd w:val="0"/>
        <w:spacing w:after="200"/>
        <w:ind w:left="0"/>
        <w:jc w:val="both"/>
        <w:rPr>
          <w:rFonts w:ascii="Times New Roman" w:hAnsi="Times New Roman"/>
          <w:i/>
          <w:noProof/>
        </w:rPr>
      </w:pPr>
      <w:r>
        <w:rPr>
          <w:rFonts w:ascii="Times New Roman" w:hAnsi="Times New Roman"/>
          <w:i/>
          <w:noProof/>
        </w:rPr>
        <w:t>Talouspoliittisissa päätelmissä esiin nousevat pääasiassa julkisen talouden kestävyyteen ja asuntojen hintojen nousuun liittyvät kysymykset, mutta riskit näytt</w:t>
      </w:r>
      <w:r>
        <w:rPr>
          <w:rFonts w:ascii="Times New Roman" w:hAnsi="Times New Roman"/>
          <w:i/>
          <w:noProof/>
        </w:rPr>
        <w:t>ävät olevan tässä vaiheessa hallinnassa. Tästä syystä komissio ei tässä vaiheessa katso tarpeelliseksi ryhtyä perusteellisiin jatkotutkimuksiin makrotalouden epätasapainoa koskevan menettelyn yhteydessä.</w:t>
      </w:r>
    </w:p>
    <w:p w:rsidR="005C26C8" w:rsidRDefault="005C26C8">
      <w:pPr>
        <w:rPr>
          <w:rFonts w:ascii="Times New Roman" w:hAnsi="Times New Roman"/>
          <w:b/>
          <w:noProof/>
        </w:rPr>
      </w:pPr>
    </w:p>
    <w:p w:rsidR="005C26C8" w:rsidRDefault="005C26C8">
      <w:pPr>
        <w:rPr>
          <w:rFonts w:ascii="Times New Roman" w:hAnsi="Times New Roman"/>
          <w:b/>
          <w:noProof/>
        </w:rPr>
      </w:pPr>
    </w:p>
    <w:p w:rsidR="005C26C8" w:rsidRDefault="00115404">
      <w:pPr>
        <w:ind w:left="0"/>
        <w:jc w:val="both"/>
        <w:rPr>
          <w:rFonts w:ascii="Times New Roman" w:hAnsi="Times New Roman"/>
          <w:b/>
          <w:noProof/>
        </w:rPr>
      </w:pPr>
      <w:r>
        <w:rPr>
          <w:rFonts w:ascii="Times New Roman" w:hAnsi="Times New Roman"/>
          <w:b/>
          <w:noProof/>
        </w:rPr>
        <w:t>Slovakia</w:t>
      </w:r>
      <w:r>
        <w:rPr>
          <w:rFonts w:ascii="Times New Roman" w:hAnsi="Times New Roman"/>
          <w:noProof/>
        </w:rPr>
        <w:t>: Makrotalouden epätasapainoa koskevan men</w:t>
      </w:r>
      <w:r>
        <w:rPr>
          <w:rFonts w:ascii="Times New Roman" w:hAnsi="Times New Roman"/>
          <w:noProof/>
        </w:rPr>
        <w:t xml:space="preserve">ettelyn edellisellä kierroksella Slovakialla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epätasapainoja</w:t>
      </w:r>
      <w:r>
        <w:rPr>
          <w:rFonts w:ascii="Times New Roman" w:hAnsi="Times New Roman"/>
          <w:noProof/>
        </w:rPr>
        <w:t>. Ajan tasalle saatetussa tulostaulussa seuraavat indikaattorit ylittävät ohjeelliset kynnysarvot: ulkomainen nettovarallisuusasema ja nimellisten yksikkötyökustannusten k</w:t>
      </w:r>
      <w:r>
        <w:rPr>
          <w:rFonts w:ascii="Times New Roman" w:hAnsi="Times New Roman"/>
          <w:noProof/>
        </w:rPr>
        <w:t>asvu.</w:t>
      </w:r>
    </w:p>
    <w:p w:rsidR="005C26C8" w:rsidRDefault="00115404">
      <w:pPr>
        <w:spacing w:after="200"/>
        <w:ind w:left="0"/>
        <w:jc w:val="both"/>
        <w:rPr>
          <w:rFonts w:ascii="Times New Roman" w:hAnsi="Times New Roman"/>
          <w:noProof/>
        </w:rPr>
      </w:pPr>
      <w:r>
        <w:rPr>
          <w:noProof/>
        </w:rPr>
        <w:br/>
      </w:r>
      <w:r>
        <w:rPr>
          <w:rFonts w:ascii="Times New Roman" w:hAnsi="Times New Roman"/>
          <w:noProof/>
        </w:rPr>
        <w:t>Vaihtotaseen alijäämä kasvoi jonkin verran vuonna 2018, mutta se on yhä maltillinen. Ulkomainen nettovarallisuusasema on erittäin negatiivinen mutta vakaa, ja riskit ovat vähäisiä, kun otetaan huomioon EU:hun suuntautuvien ulkomaisten suorien sijoit</w:t>
      </w:r>
      <w:r>
        <w:rPr>
          <w:rFonts w:ascii="Times New Roman" w:hAnsi="Times New Roman"/>
          <w:noProof/>
        </w:rPr>
        <w:t>usten suuri määrä, joka johtuu autoteollisuuden laajentumisesta ja rahoitusalasta. Autoteollisuudessa esiintyvät tilapäiset häiriöt ja alan merkittävä rooli voivat kuitenkin muodostaa riskin pitkällä aikavälillä. Vientimarkkinaosuudet kasvoivat jonkin verr</w:t>
      </w:r>
      <w:r>
        <w:rPr>
          <w:rFonts w:ascii="Times New Roman" w:hAnsi="Times New Roman"/>
          <w:noProof/>
        </w:rPr>
        <w:t>an, ja reaalinen efektiivinen valuuttakurssi vahvistui hieman vuosien ajan maltillisena jatkuneen kehityksen jälkeen. Nimellisten yksikkötyökustannusten kasvu kiihtyi huomattavasti seurauksena palkkojen voimakkaasta noususta erittäin kireillä työmarkkinoil</w:t>
      </w:r>
      <w:r>
        <w:rPr>
          <w:rFonts w:ascii="Times New Roman" w:hAnsi="Times New Roman"/>
          <w:noProof/>
        </w:rPr>
        <w:t xml:space="preserve">la ja </w:t>
      </w:r>
      <w:r>
        <w:rPr>
          <w:noProof/>
          <w:lang w:val="en-GB" w:eastAsia="en-GB"/>
        </w:rPr>
        <w:drawing>
          <wp:anchor distT="0" distB="0" distL="114300" distR="114300" simplePos="0" relativeHeight="251669504" behindDoc="0" locked="0" layoutInCell="1" allowOverlap="1">
            <wp:simplePos x="0" y="0"/>
            <wp:positionH relativeFrom="column">
              <wp:posOffset>3350260</wp:posOffset>
            </wp:positionH>
            <wp:positionV relativeFrom="paragraph">
              <wp:posOffset>63870</wp:posOffset>
            </wp:positionV>
            <wp:extent cx="2451100" cy="2881630"/>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51100" cy="2881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merkittävästä työvoimapulasta. Se ylittää nyt kynnysarvon. Asuntojen hinnat nousivat huomattavasti vuonna 2018, mutta yliarvostuksesta ei näy vielä merkkejä. Vilkkaat asuntomarkkinat ovat vaikuttaneet kotitalouksien velan jatkuvaan kasvuun, mutta ve</w:t>
      </w:r>
      <w:r>
        <w:rPr>
          <w:rFonts w:ascii="Times New Roman" w:hAnsi="Times New Roman"/>
          <w:noProof/>
        </w:rPr>
        <w:t xml:space="preserve">lan lähtötaso on kuitenkin suhteellisen alhainen. Suureksi osaksi ulkomaisessa omistuksessa oleva pankkisektori on hyvin pääomitettu. Kokonaistyöttömyysaste ja pitkäaikaistyöttömyysaste ovat laskeneet edelleen samalla kun työvoimaosuus on kasvanut. </w:t>
      </w:r>
    </w:p>
    <w:p w:rsidR="005C26C8" w:rsidRDefault="00115404">
      <w:pPr>
        <w:spacing w:after="200"/>
        <w:ind w:left="0"/>
        <w:jc w:val="both"/>
        <w:rPr>
          <w:rFonts w:ascii="Times New Roman" w:hAnsi="Times New Roman"/>
          <w:i/>
          <w:noProof/>
        </w:rPr>
      </w:pPr>
      <w:r>
        <w:rPr>
          <w:rFonts w:ascii="Times New Roman" w:hAnsi="Times New Roman"/>
          <w:i/>
          <w:noProof/>
        </w:rPr>
        <w:t>Talous</w:t>
      </w:r>
      <w:r>
        <w:rPr>
          <w:rFonts w:ascii="Times New Roman" w:hAnsi="Times New Roman"/>
          <w:i/>
          <w:noProof/>
        </w:rPr>
        <w:t>poliittisissa päätelmissä esiin nousevat ulkoiseen kestävyyteen, kotimaisiin palkkapaineisiin ja autoteollisuudelle altistumisesta mahdollisesti aiheutuviin riskeihin liittyvät kysymykset. Lyhyen aikavälin riskit näyttävät kuitenkin olevan hallinnassa.</w:t>
      </w:r>
      <w:r>
        <w:rPr>
          <w:rFonts w:ascii="Times New Roman" w:hAnsi="Times New Roman"/>
          <w:noProof/>
        </w:rPr>
        <w:t xml:space="preserve"> </w:t>
      </w:r>
      <w:r>
        <w:rPr>
          <w:rFonts w:ascii="Times New Roman" w:hAnsi="Times New Roman"/>
          <w:i/>
          <w:noProof/>
        </w:rPr>
        <w:t>Täs</w:t>
      </w:r>
      <w:r>
        <w:rPr>
          <w:rFonts w:ascii="Times New Roman" w:hAnsi="Times New Roman"/>
          <w:i/>
          <w:noProof/>
        </w:rPr>
        <w:t>tä syystä komissio ei tässä vaiheessa ryhdy perusteellisiin jatkotutkimuksiin makrotalouden epätasapainoa koskevan menettelyn yhteydessä.</w:t>
      </w:r>
    </w:p>
    <w:p w:rsidR="005C26C8" w:rsidRDefault="005C26C8">
      <w:pPr>
        <w:spacing w:after="200"/>
        <w:ind w:left="0"/>
        <w:rPr>
          <w:noProof/>
        </w:rPr>
      </w:pPr>
    </w:p>
    <w:p w:rsidR="005C26C8" w:rsidRDefault="00115404">
      <w:pPr>
        <w:spacing w:after="200"/>
        <w:ind w:left="0"/>
        <w:rPr>
          <w:rFonts w:ascii="Times New Roman" w:hAnsi="Times New Roman"/>
          <w:b/>
          <w:noProof/>
        </w:rPr>
      </w:pPr>
      <w:r>
        <w:rPr>
          <w:rFonts w:ascii="Times New Roman" w:hAnsi="Times New Roman"/>
          <w:b/>
          <w:noProof/>
        </w:rPr>
        <w:t>Suomi:</w:t>
      </w:r>
      <w:r>
        <w:rPr>
          <w:rFonts w:ascii="Times New Roman" w:hAnsi="Times New Roman"/>
          <w:noProof/>
        </w:rPr>
        <w:t xml:space="preserve"> Makrotalouden epätasapainoa koskevan menettelyn edellisellä kierroksella Suomella </w:t>
      </w:r>
      <w:r>
        <w:rPr>
          <w:rFonts w:ascii="Times New Roman" w:hAnsi="Times New Roman"/>
          <w:i/>
          <w:noProof/>
        </w:rPr>
        <w:t>ei</w:t>
      </w:r>
      <w:r>
        <w:rPr>
          <w:rFonts w:ascii="Times New Roman" w:hAnsi="Times New Roman"/>
          <w:noProof/>
        </w:rPr>
        <w:t xml:space="preserve"> havaittu </w:t>
      </w:r>
      <w:r>
        <w:rPr>
          <w:rFonts w:ascii="Times New Roman" w:hAnsi="Times New Roman"/>
          <w:i/>
          <w:noProof/>
        </w:rPr>
        <w:t>makrotalouden ep</w:t>
      </w:r>
      <w:r>
        <w:rPr>
          <w:rFonts w:ascii="Times New Roman" w:hAnsi="Times New Roman"/>
          <w:i/>
          <w:noProof/>
        </w:rPr>
        <w:t>ätasapainoja</w:t>
      </w:r>
      <w:r>
        <w:rPr>
          <w:rFonts w:ascii="Times New Roman" w:hAnsi="Times New Roman"/>
          <w:noProof/>
        </w:rPr>
        <w:t>. Ajan tasalle saatetussa tulostaulussa seuraavat indikaattorit ylittävät ohjeelliset kynnysarvot: yksityisen sektorin velka ja rahoitusalan kokonaisvastuiden muutos.</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58240" behindDoc="0" locked="0" layoutInCell="1" allowOverlap="1">
            <wp:simplePos x="0" y="0"/>
            <wp:positionH relativeFrom="column">
              <wp:posOffset>3217957</wp:posOffset>
            </wp:positionH>
            <wp:positionV relativeFrom="paragraph">
              <wp:posOffset>97943</wp:posOffset>
            </wp:positionV>
            <wp:extent cx="2587625" cy="2833370"/>
            <wp:effectExtent l="0" t="0" r="3175"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7625" cy="283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Vaihtotaseen alijäämä kasvoi vuonna 2018, kun kauppatase kääntyi negatiivise</w:t>
      </w:r>
      <w:r>
        <w:rPr>
          <w:rFonts w:ascii="Times New Roman" w:hAnsi="Times New Roman"/>
          <w:noProof/>
        </w:rPr>
        <w:t xml:space="preserve">ksi. Ulkomainen nettovarallisuusasema puolestaan on tasapainoinen. Vientimarkkinaosuudet elpyivät jo kolmatta peräkkäistä vuotta, mikä vähensi kumulatiivisia tappioita. Yksikkötyökustannukset kasvoivat vuonna 2018, ja reaalinen efektiivinen valuuttakurssi </w:t>
      </w:r>
      <w:r>
        <w:rPr>
          <w:rFonts w:ascii="Times New Roman" w:hAnsi="Times New Roman"/>
          <w:noProof/>
        </w:rPr>
        <w:t xml:space="preserve">vahvistui hieman. Yleisesti ottaen kehitys on kuitenkin pysynyt kurissa. Julkinen velka supistui entisestään, sillä BKT:n kasvu oli velan kasvua nopeampaa. Julkinen velka on nyt kynnysarvon alapuolella. Yksityinen velka on edelleen suuri, mutta se vähenee </w:t>
      </w:r>
      <w:r>
        <w:rPr>
          <w:rFonts w:ascii="Times New Roman" w:hAnsi="Times New Roman"/>
          <w:noProof/>
        </w:rPr>
        <w:t>hitaasti. Suotuisat luottoehdot ja alhaiset korot tukevat edelleen yksityisen luotonoton kasvua, vaikka luotonoton kasvu hidastuikin vuonna 2018. Kotitalouksien velkasuhde on suhteellisen suuri, ja se on edelleen lievällä kasvu-uralla. Asuntojen reaalihinn</w:t>
      </w:r>
      <w:r>
        <w:rPr>
          <w:rFonts w:ascii="Times New Roman" w:hAnsi="Times New Roman"/>
          <w:noProof/>
        </w:rPr>
        <w:t>at pysyivät vakaina vuonna 2018. Asuntolainojen vaimea kasvu ja uusien rakennuslupien väheneminen pienentävät kotitalouksien velan kestävyyteen kohdistuvia riskejä. Rahoitusala on hyvin pääomitettu, mikä rajoittaa rahoitusvakauteen kohdistuvia riskejä. Pan</w:t>
      </w:r>
      <w:r>
        <w:rPr>
          <w:rFonts w:ascii="Times New Roman" w:hAnsi="Times New Roman"/>
          <w:noProof/>
        </w:rPr>
        <w:t>kkialan kokonaisvarojen ja -velkojen suuri kasvu vuoden 2018 lopussa johtui siitä, että yksi pankki siirsi pääkonttorinsa Ruotsista Suomeen. Sekä työllisyys että työttömyys paranivat voimakkaasti vuonna 2018, mutta paraneminen todennäköisesti hidastuu. Pit</w:t>
      </w:r>
      <w:r>
        <w:rPr>
          <w:rFonts w:ascii="Times New Roman" w:hAnsi="Times New Roman"/>
          <w:noProof/>
        </w:rPr>
        <w:t>käaikais- ja nuorisotyöttömyysasteet laskivat vuonna 2018.</w:t>
      </w:r>
    </w:p>
    <w:p w:rsidR="005C26C8" w:rsidRDefault="00115404">
      <w:pPr>
        <w:spacing w:after="200"/>
        <w:ind w:left="0"/>
        <w:jc w:val="both"/>
        <w:rPr>
          <w:rFonts w:ascii="Times New Roman" w:hAnsi="Times New Roman"/>
          <w:i/>
          <w:noProof/>
        </w:rPr>
      </w:pPr>
      <w:r>
        <w:rPr>
          <w:rFonts w:ascii="Times New Roman" w:hAnsi="Times New Roman"/>
          <w:i/>
          <w:noProof/>
        </w:rPr>
        <w:t>Talouspoliittisissa päätelmissä esiin nousevat yksityisen sektorin velkaan liittyvät sitkeät haasteet, mutta riskit ovat edelleen vähäisiä. Komissio ei tässä vaiheessa katso tarpeelliseksi ryhtyä p</w:t>
      </w:r>
      <w:r>
        <w:rPr>
          <w:rFonts w:ascii="Times New Roman" w:hAnsi="Times New Roman"/>
          <w:i/>
          <w:noProof/>
        </w:rPr>
        <w:t xml:space="preserve">erusteellisiin jatkotutkimuksiin makrotalouden epätasapainoa koskevan menettelyn yhteydessä. </w:t>
      </w:r>
    </w:p>
    <w:p w:rsidR="005C26C8" w:rsidRDefault="005C26C8">
      <w:pPr>
        <w:rPr>
          <w:rFonts w:ascii="Times New Roman" w:hAnsi="Times New Roman"/>
          <w:b/>
          <w:bCs/>
          <w:noProof/>
        </w:rPr>
      </w:pPr>
    </w:p>
    <w:p w:rsidR="005C26C8" w:rsidRDefault="00115404">
      <w:pPr>
        <w:spacing w:after="200"/>
        <w:ind w:left="0"/>
        <w:jc w:val="both"/>
        <w:rPr>
          <w:rFonts w:ascii="Times New Roman" w:hAnsi="Times New Roman"/>
          <w:b/>
          <w:bCs/>
          <w:noProof/>
        </w:rPr>
      </w:pPr>
      <w:r>
        <w:rPr>
          <w:rFonts w:ascii="Times New Roman" w:hAnsi="Times New Roman"/>
          <w:b/>
          <w:bCs/>
          <w:noProof/>
        </w:rPr>
        <w:t>Ruotsi:</w:t>
      </w:r>
      <w:r>
        <w:rPr>
          <w:rFonts w:ascii="Times New Roman" w:hAnsi="Times New Roman"/>
          <w:noProof/>
        </w:rPr>
        <w:t xml:space="preserve"> Komissio päätteli maaliskuussa 2019, että Ruotsilla oli </w:t>
      </w:r>
      <w:r>
        <w:rPr>
          <w:rFonts w:ascii="Times New Roman" w:hAnsi="Times New Roman"/>
          <w:i/>
          <w:noProof/>
        </w:rPr>
        <w:t>makrotalouden epätasapainoja</w:t>
      </w:r>
      <w:r>
        <w:rPr>
          <w:rFonts w:ascii="Times New Roman" w:hAnsi="Times New Roman"/>
          <w:noProof/>
        </w:rPr>
        <w:t>, jotka liittyivät erityisesti asuntojen hintojen yliarvostukseen, jo</w:t>
      </w:r>
      <w:r>
        <w:rPr>
          <w:rFonts w:ascii="Times New Roman" w:hAnsi="Times New Roman"/>
          <w:noProof/>
        </w:rPr>
        <w:t>hon yhdistyy kotitalouksien velan jatkuva lisääntyminen. Ajan tasalle saatetussa tulostaulussa seuraavat indikaattorit ylittävät ohjeelliset kynnysarvot: yksityisen sektorin velka ja vientimarkkinaosuudet.</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71552" behindDoc="0" locked="0" layoutInCell="1" allowOverlap="1">
            <wp:simplePos x="0" y="0"/>
            <wp:positionH relativeFrom="column">
              <wp:posOffset>3225165</wp:posOffset>
            </wp:positionH>
            <wp:positionV relativeFrom="paragraph">
              <wp:posOffset>635</wp:posOffset>
            </wp:positionV>
            <wp:extent cx="2521585" cy="2722880"/>
            <wp:effectExtent l="0" t="0" r="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1585"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Vaihtotaseen ylijäämän laskeva suuntaus jatkui vu</w:t>
      </w:r>
      <w:r>
        <w:rPr>
          <w:rFonts w:ascii="Times New Roman" w:hAnsi="Times New Roman"/>
          <w:noProof/>
        </w:rPr>
        <w:t>onna 2018, kun taas ulkomainen nettovarallisuusasema kasvoi ja on nyt selvästi positiivinen. Vientimarkkinaosuuksien menetykset kasvoivat vuonna 2018, ja indikaattori on nyt kynnysarvon yläpuolella. Nimellisten yksikkötyökustannusten kasvu on kiihtynyt, ku</w:t>
      </w:r>
      <w:r>
        <w:rPr>
          <w:rFonts w:ascii="Times New Roman" w:hAnsi="Times New Roman"/>
          <w:noProof/>
        </w:rPr>
        <w:t>n taas reaalinen efektiivinen valuuttakurssi on heikentynyt kruunun arvon alenemisen vuoksi. Yksityisen sektorin velka on suuri, ja se muodostuu pääasiassa asuntolainoihin liittyvästä kotitalouksien velasta. Vuonna 2018 kotitalouksien velka kasvoi edelleen</w:t>
      </w:r>
      <w:r>
        <w:rPr>
          <w:rFonts w:ascii="Times New Roman" w:hAnsi="Times New Roman"/>
          <w:noProof/>
        </w:rPr>
        <w:t xml:space="preserve"> hieman. Asuntojen hinnat laskivat vuoden 2017 lopussa, mutta pysyivät vakaina vuonna 2018, mikä merkitsee vuositasolla negatiivista kasvua vuonna 2018. Asuntojen hinnat ovat kaiken kaikkiaan erittäin korkeita, ja yliarvostuksesta on merkkejä. Asuntojen hi</w:t>
      </w:r>
      <w:r>
        <w:rPr>
          <w:rFonts w:ascii="Times New Roman" w:hAnsi="Times New Roman"/>
          <w:noProof/>
        </w:rPr>
        <w:t>nnat ja kotitalouksien velkaantuneisuus viittaavat makrotalouden vakauteen kohdistuviin riskeihin. Omistusasumisen suotuisa verokohtelu, hyvin alhaiset asuntolainakorot ja asuntoluottomarkkinoiden erityispiirteet sekä tarjontapuolen rajoitukset nostavat as</w:t>
      </w:r>
      <w:r>
        <w:rPr>
          <w:rFonts w:ascii="Times New Roman" w:hAnsi="Times New Roman"/>
          <w:noProof/>
        </w:rPr>
        <w:t>untojen hintoja ja kasvattavat kotitalouksien velkaantuneisuutta. Pankkijärjestelmän riskit vaikuttavat olevan hallinnassa, sillä varojen laatu ja sektorin kannattavuus sekä kotitalouksien taloudellinen tilanne on yleisesti ottaen hyvä. Lisäksi makrovakaus</w:t>
      </w:r>
      <w:r>
        <w:rPr>
          <w:rFonts w:ascii="Times New Roman" w:hAnsi="Times New Roman"/>
          <w:noProof/>
        </w:rPr>
        <w:t xml:space="preserve">politiikkaa on tiukennettu. Vuonna 2018 työmarkkinat kohentuivat edelleen ja työttömyys väheni, mutta viimeaikainen kehitys osoittaa tilanteen heikentyvän. </w:t>
      </w:r>
    </w:p>
    <w:p w:rsidR="005C26C8" w:rsidRDefault="00115404">
      <w:pPr>
        <w:spacing w:after="200"/>
        <w:ind w:left="0"/>
        <w:jc w:val="both"/>
        <w:rPr>
          <w:rFonts w:ascii="Times New Roman" w:hAnsi="Times New Roman"/>
          <w:i/>
          <w:iCs/>
          <w:noProof/>
        </w:rPr>
      </w:pPr>
      <w:r>
        <w:rPr>
          <w:rFonts w:ascii="Times New Roman" w:hAnsi="Times New Roman"/>
          <w:i/>
          <w:iCs/>
          <w:noProof/>
        </w:rPr>
        <w:t>Talouspoliittisissa päätelmissä esiin nousevat suureen yksityiseen velkaan ja asuntosektoriin liitt</w:t>
      </w:r>
      <w:r>
        <w:rPr>
          <w:rFonts w:ascii="Times New Roman" w:hAnsi="Times New Roman"/>
          <w:i/>
          <w:iCs/>
          <w:noProof/>
        </w:rPr>
        <w:t>yvät kysymykset. Komissio katsoo tämän vuoksi ja myös ottaen huomioon helmikuussa havaitut epätasapainot, että on asianmukaista selvittää tarkemmin, jatkuvatko vai purkautuvatko epätasapainot.</w:t>
      </w:r>
    </w:p>
    <w:p w:rsidR="005C26C8" w:rsidRDefault="00115404">
      <w:pPr>
        <w:spacing w:after="200"/>
        <w:ind w:left="0"/>
        <w:jc w:val="both"/>
        <w:rPr>
          <w:rFonts w:ascii="Times New Roman" w:hAnsi="Times New Roman"/>
          <w:b/>
          <w:bCs/>
          <w:noProof/>
        </w:rPr>
      </w:pPr>
      <w:r>
        <w:rPr>
          <w:rFonts w:ascii="Times New Roman" w:hAnsi="Times New Roman"/>
          <w:b/>
          <w:bCs/>
          <w:noProof/>
        </w:rPr>
        <w:br/>
      </w:r>
    </w:p>
    <w:p w:rsidR="005C26C8" w:rsidRDefault="00115404">
      <w:pPr>
        <w:spacing w:after="200"/>
        <w:ind w:left="0"/>
        <w:jc w:val="both"/>
        <w:rPr>
          <w:rFonts w:ascii="Times New Roman" w:hAnsi="Times New Roman"/>
          <w:noProof/>
        </w:rPr>
      </w:pPr>
      <w:r>
        <w:rPr>
          <w:rFonts w:ascii="Times New Roman" w:hAnsi="Times New Roman"/>
          <w:b/>
          <w:bCs/>
          <w:noProof/>
        </w:rPr>
        <w:t>Yhdistynyt kuningaskunta</w:t>
      </w:r>
      <w:r>
        <w:rPr>
          <w:rFonts w:ascii="Times New Roman" w:hAnsi="Times New Roman"/>
          <w:noProof/>
        </w:rPr>
        <w:t xml:space="preserve">: Makrotalouden epätasapainoa koskevan menettelyn edellisellä kierroksella Yhdistyneellä kuningaskunnalla </w:t>
      </w:r>
      <w:r>
        <w:rPr>
          <w:rFonts w:ascii="Times New Roman" w:hAnsi="Times New Roman"/>
          <w:i/>
          <w:iCs/>
          <w:noProof/>
        </w:rPr>
        <w:t>ei</w:t>
      </w:r>
      <w:r>
        <w:rPr>
          <w:rFonts w:ascii="Times New Roman" w:hAnsi="Times New Roman"/>
          <w:noProof/>
        </w:rPr>
        <w:t xml:space="preserve"> havaittu </w:t>
      </w:r>
      <w:r>
        <w:rPr>
          <w:rFonts w:ascii="Times New Roman" w:hAnsi="Times New Roman"/>
          <w:i/>
          <w:iCs/>
          <w:noProof/>
        </w:rPr>
        <w:t>makrotalouden epätasapainoja</w:t>
      </w:r>
      <w:r>
        <w:rPr>
          <w:rFonts w:ascii="Times New Roman" w:hAnsi="Times New Roman"/>
          <w:noProof/>
        </w:rPr>
        <w:t>. Ajan tasalle saatetussa tulostaulussa seuraavat indikaattorit ylittävät ohjeelliset kynnysarvot: vaihtotasee</w:t>
      </w:r>
      <w:r>
        <w:rPr>
          <w:rFonts w:ascii="Times New Roman" w:hAnsi="Times New Roman"/>
          <w:noProof/>
        </w:rPr>
        <w:t>n alijäämä, reaalinen efektiivinen valuuttakurssi sekä yksityinen ja julkinen velka.</w:t>
      </w:r>
    </w:p>
    <w:p w:rsidR="005C26C8" w:rsidRDefault="00115404">
      <w:pPr>
        <w:spacing w:after="200"/>
        <w:ind w:left="0"/>
        <w:jc w:val="both"/>
        <w:rPr>
          <w:rFonts w:ascii="Times New Roman" w:hAnsi="Times New Roman"/>
          <w:noProof/>
        </w:rPr>
      </w:pPr>
      <w:r>
        <w:rPr>
          <w:noProof/>
          <w:lang w:val="en-GB" w:eastAsia="en-GB"/>
        </w:rPr>
        <w:drawing>
          <wp:anchor distT="0" distB="0" distL="114300" distR="114300" simplePos="0" relativeHeight="251662336" behindDoc="0" locked="0" layoutInCell="1" allowOverlap="1">
            <wp:simplePos x="0" y="0"/>
            <wp:positionH relativeFrom="column">
              <wp:posOffset>2998470</wp:posOffset>
            </wp:positionH>
            <wp:positionV relativeFrom="paragraph">
              <wp:posOffset>13970</wp:posOffset>
            </wp:positionV>
            <wp:extent cx="2840355" cy="283337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40355" cy="2833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rPr>
        <w:t>Jo ennestään huomattava vaihtotaseen alijäämä kasvoi vuonna 2018 ja aiheutti mittavia ulkoisia rahoitustarpeita. Palvelukaupan ylijäämä tasoitti vain osittain tavarakaupa</w:t>
      </w:r>
      <w:r>
        <w:rPr>
          <w:rFonts w:ascii="Times New Roman" w:hAnsi="Times New Roman"/>
          <w:noProof/>
        </w:rPr>
        <w:t>n suurta alijäämää ja tulonsiirtojen ja sijoitustulojen pienempää alijäämää. Jatkuvista vaihtotaseen alijäämistä huolimatta ulkomainen nettovarallisuusasema on lähellä tasapainoa, mikä on osittain myös vuonna 2016 tapahtuneen Englannin punnan heikkenemisen</w:t>
      </w:r>
      <w:r>
        <w:rPr>
          <w:rFonts w:ascii="Times New Roman" w:hAnsi="Times New Roman"/>
          <w:noProof/>
        </w:rPr>
        <w:t xml:space="preserve"> ansiota. Kaupan nettomääräinen reaktio reaalisen efektiivisen valuuttakurssin heikkenemiseen ja siihen liittyvään hintakilpailukyvyn paranemiseen on kuitenkin ollut pettymys, ja vientimarkkinaosuudet ovat viime aikoina pienentyneet. Kriisin jälkeisen malt</w:t>
      </w:r>
      <w:r>
        <w:rPr>
          <w:rFonts w:ascii="Times New Roman" w:hAnsi="Times New Roman"/>
          <w:noProof/>
        </w:rPr>
        <w:t>illisen velkavivun purkamisen jälkeen yksityisen sektorin velkasuhde on nyt vakiintunut korkealle tasolle. Erityisesti kotitalouksien velan määrä on yhä suuri, ja sitä on edelleen seurattava tiiviisti. Asuntojen reaalihinnat ovat tasoittuneet, vaikkakin ko</w:t>
      </w:r>
      <w:r>
        <w:rPr>
          <w:rFonts w:ascii="Times New Roman" w:hAnsi="Times New Roman"/>
          <w:noProof/>
        </w:rPr>
        <w:t xml:space="preserve">rkealle tasolle. Julkisen velan määrä on suuri ja pitkälti vakaa. Työttömyys on edelleen alhaisella tasolla työllisyyden voimakkaan kasvun ansiosta, mutta investoinnit ja työn tuottavuus ovat edelleen heikkoja. </w:t>
      </w:r>
    </w:p>
    <w:p w:rsidR="005C26C8" w:rsidRDefault="00115404">
      <w:pPr>
        <w:spacing w:after="200"/>
        <w:ind w:left="0"/>
        <w:jc w:val="both"/>
        <w:rPr>
          <w:rFonts w:ascii="Times New Roman" w:hAnsi="Times New Roman"/>
          <w:i/>
          <w:iCs/>
          <w:noProof/>
        </w:rPr>
      </w:pPr>
      <w:r>
        <w:rPr>
          <w:rFonts w:ascii="Times New Roman" w:hAnsi="Times New Roman"/>
          <w:i/>
          <w:iCs/>
          <w:noProof/>
        </w:rPr>
        <w:t>Talouspoliittisissa päätelmissä esiin nousee joitakin kysymyksiä, jotka liittyvät talouden ulkoiseen puoleen ja yksityiseen velkaan. Niistä näyttää aiheutuvan riskejä, jotka uhkaavat vakautta lyhyellä aikavälillä vain vähän. Komissio ei tässä vaiheessa kat</w:t>
      </w:r>
      <w:r>
        <w:rPr>
          <w:rFonts w:ascii="Times New Roman" w:hAnsi="Times New Roman"/>
          <w:i/>
          <w:iCs/>
          <w:noProof/>
        </w:rPr>
        <w:t xml:space="preserve">so tarpeelliseksi ryhtyä perusteellisiin jatkotutkimuksiin makrotalouden epätasapainoa koskevan menettelyn yhteydessä. </w:t>
      </w:r>
    </w:p>
    <w:p w:rsidR="005C26C8" w:rsidRDefault="005C26C8">
      <w:pPr>
        <w:spacing w:after="160" w:line="259" w:lineRule="auto"/>
        <w:ind w:left="0"/>
        <w:jc w:val="both"/>
        <w:rPr>
          <w:rFonts w:ascii="Times New Roman" w:hAnsi="Times New Roman"/>
          <w:i/>
          <w:iCs/>
          <w:noProof/>
        </w:rPr>
      </w:pPr>
    </w:p>
    <w:p w:rsidR="005C26C8" w:rsidRDefault="005C26C8">
      <w:pPr>
        <w:ind w:left="0"/>
        <w:rPr>
          <w:noProof/>
        </w:rPr>
      </w:pPr>
    </w:p>
    <w:p w:rsidR="005C26C8" w:rsidRDefault="005C26C8">
      <w:pPr>
        <w:spacing w:before="120" w:after="120"/>
        <w:ind w:left="0"/>
        <w:jc w:val="both"/>
        <w:rPr>
          <w:rFonts w:ascii="Times New Roman" w:hAnsi="Times New Roman" w:cs="Times New Roman"/>
          <w:b/>
          <w:noProof/>
        </w:rPr>
        <w:sectPr w:rsidR="005C26C8">
          <w:headerReference w:type="even" r:id="rId70"/>
          <w:headerReference w:type="default" r:id="rId71"/>
          <w:footerReference w:type="even" r:id="rId72"/>
          <w:footerReference w:type="default" r:id="rId73"/>
          <w:headerReference w:type="first" r:id="rId74"/>
          <w:footerReference w:type="first" r:id="rId75"/>
          <w:pgSz w:w="11906" w:h="16838" w:code="9"/>
          <w:pgMar w:top="1560" w:right="1274" w:bottom="1134" w:left="1417" w:header="709" w:footer="709" w:gutter="0"/>
          <w:pgNumType w:start="1"/>
          <w:cols w:space="720"/>
          <w:docGrid w:linePitch="360"/>
        </w:sectPr>
      </w:pPr>
    </w:p>
    <w:p w:rsidR="005C26C8" w:rsidRDefault="005C26C8">
      <w:pPr>
        <w:spacing w:before="120" w:after="120"/>
        <w:ind w:left="0"/>
        <w:jc w:val="both"/>
        <w:rPr>
          <w:rFonts w:ascii="Times New Roman" w:hAnsi="Times New Roman" w:cs="Times New Roman"/>
          <w:b/>
          <w:noProof/>
        </w:rPr>
      </w:pPr>
    </w:p>
    <w:p w:rsidR="005C26C8" w:rsidRDefault="00115404">
      <w:pPr>
        <w:spacing w:before="120" w:after="120"/>
        <w:ind w:left="0"/>
        <w:jc w:val="both"/>
        <w:rPr>
          <w:rFonts w:ascii="Times New Roman" w:hAnsi="Times New Roman" w:cs="Times New Roman"/>
          <w:b/>
          <w:noProof/>
        </w:rPr>
      </w:pPr>
      <w:r>
        <w:rPr>
          <w:noProof/>
          <w:lang w:val="en-GB" w:eastAsia="en-GB"/>
        </w:rPr>
        <w:drawing>
          <wp:inline distT="0" distB="0" distL="0" distR="0">
            <wp:extent cx="8981440" cy="519069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81440" cy="5190697"/>
                    </a:xfrm>
                    <a:prstGeom prst="rect">
                      <a:avLst/>
                    </a:prstGeom>
                    <a:noFill/>
                    <a:ln>
                      <a:noFill/>
                    </a:ln>
                  </pic:spPr>
                </pic:pic>
              </a:graphicData>
            </a:graphic>
          </wp:inline>
        </w:drawing>
      </w:r>
    </w:p>
    <w:p w:rsidR="005C26C8" w:rsidRDefault="00115404">
      <w:pPr>
        <w:spacing w:before="120" w:after="120"/>
        <w:ind w:left="0"/>
        <w:jc w:val="both"/>
        <w:rPr>
          <w:rFonts w:ascii="Times New Roman" w:hAnsi="Times New Roman" w:cs="Times New Roman"/>
          <w:b/>
          <w:noProof/>
        </w:rPr>
      </w:pPr>
      <w:r>
        <w:rPr>
          <w:noProof/>
          <w:lang w:val="en-GB" w:eastAsia="en-GB"/>
        </w:rPr>
        <w:drawing>
          <wp:inline distT="0" distB="0" distL="0" distR="0">
            <wp:extent cx="8981440" cy="52296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81440" cy="5229608"/>
                    </a:xfrm>
                    <a:prstGeom prst="rect">
                      <a:avLst/>
                    </a:prstGeom>
                    <a:noFill/>
                    <a:ln>
                      <a:noFill/>
                    </a:ln>
                  </pic:spPr>
                </pic:pic>
              </a:graphicData>
            </a:graphic>
          </wp:inline>
        </w:drawing>
      </w:r>
    </w:p>
    <w:p w:rsidR="005C26C8" w:rsidRDefault="00115404">
      <w:pPr>
        <w:spacing w:before="120" w:after="120"/>
        <w:ind w:left="0"/>
        <w:jc w:val="both"/>
        <w:rPr>
          <w:rFonts w:ascii="Times New Roman" w:hAnsi="Times New Roman" w:cs="Times New Roman"/>
          <w:b/>
          <w:noProof/>
        </w:rPr>
      </w:pPr>
      <w:r>
        <w:rPr>
          <w:noProof/>
          <w:lang w:val="en-GB" w:eastAsia="en-GB"/>
        </w:rPr>
        <w:drawing>
          <wp:inline distT="0" distB="0" distL="0" distR="0">
            <wp:extent cx="8981440" cy="573248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81440" cy="5732488"/>
                    </a:xfrm>
                    <a:prstGeom prst="rect">
                      <a:avLst/>
                    </a:prstGeom>
                    <a:noFill/>
                    <a:ln>
                      <a:noFill/>
                    </a:ln>
                  </pic:spPr>
                </pic:pic>
              </a:graphicData>
            </a:graphic>
          </wp:inline>
        </w:drawing>
      </w:r>
    </w:p>
    <w:sectPr w:rsidR="005C26C8">
      <w:headerReference w:type="even" r:id="rId79"/>
      <w:headerReference w:type="default" r:id="rId80"/>
      <w:footerReference w:type="even" r:id="rId81"/>
      <w:footerReference w:type="default" r:id="rId82"/>
      <w:headerReference w:type="first" r:id="rId83"/>
      <w:footerReference w:type="first" r:id="rId84"/>
      <w:pgSz w:w="16838" w:h="11906" w:orient="landscape" w:code="9"/>
      <w:pgMar w:top="1417" w:right="1560" w:bottom="1274"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6C8" w:rsidRDefault="00115404">
      <w:pPr>
        <w:spacing w:line="240" w:lineRule="auto"/>
      </w:pPr>
      <w:r>
        <w:separator/>
      </w:r>
    </w:p>
  </w:endnote>
  <w:endnote w:type="continuationSeparator" w:id="0">
    <w:p w:rsidR="005C26C8" w:rsidRDefault="00115404">
      <w:pPr>
        <w:spacing w:line="240" w:lineRule="auto"/>
      </w:pPr>
      <w:r>
        <w:continuationSeparator/>
      </w:r>
    </w:p>
  </w:endnote>
  <w:endnote w:type="continuationNotice" w:id="1">
    <w:p w:rsidR="005C26C8" w:rsidRDefault="005C26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115404">
    <w:pPr>
      <w:pStyle w:val="FooterCoverPage"/>
      <w:rPr>
        <w:rFonts w:ascii="Arial" w:hAnsi="Arial" w:cs="Arial"/>
        <w:b/>
        <w:sz w:val="48"/>
      </w:rPr>
    </w:pPr>
    <w:r>
      <w:rPr>
        <w:rFonts w:ascii="Arial" w:hAnsi="Arial" w:cs="Arial"/>
        <w:b/>
        <w:sz w:val="48"/>
      </w:rPr>
      <w:t>FI</w:t>
    </w:r>
    <w:r>
      <w:rPr>
        <w:rFonts w:ascii="Arial" w:hAnsi="Arial" w:cs="Arial"/>
        <w:b/>
        <w:sz w:val="48"/>
      </w:rPr>
      <w:tab/>
    </w:r>
    <w:r>
      <w:rPr>
        <w:rFonts w:ascii="Arial" w:hAnsi="Arial" w:cs="Arial"/>
        <w:b/>
        <w:sz w:val="48"/>
      </w:rPr>
      <w:tab/>
    </w:r>
    <w:r>
      <w:tab/>
    </w:r>
    <w:r>
      <w:rPr>
        <w:rFonts w:ascii="Arial" w:hAnsi="Arial" w:cs="Arial"/>
        <w:b/>
        <w:sz w:val="48"/>
      </w:rPr>
      <w:t>FI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11540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5C26C8" w:rsidRDefault="005C26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743791"/>
      <w:docPartObj>
        <w:docPartGallery w:val="Page Numbers (Bottom of Page)"/>
        <w:docPartUnique/>
      </w:docPartObj>
    </w:sdtPr>
    <w:sdtEndPr>
      <w:rPr>
        <w:noProof/>
      </w:rPr>
    </w:sdtEndPr>
    <w:sdtContent>
      <w:p w:rsidR="005C26C8" w:rsidRDefault="00115404">
        <w:pPr>
          <w:pStyle w:val="Footer"/>
          <w:jc w:val="center"/>
        </w:pPr>
        <w:r>
          <w:fldChar w:fldCharType="begin"/>
        </w:r>
        <w:r>
          <w:instrText xml:space="preserve"> PAGE   \* MERGEFORMAT </w:instrText>
        </w:r>
        <w:r>
          <w:fldChar w:fldCharType="separate"/>
        </w:r>
        <w:r>
          <w:rPr>
            <w:noProof/>
          </w:rPr>
          <w:t>48</w:t>
        </w:r>
        <w:r>
          <w:fldChar w:fldCharType="end"/>
        </w:r>
      </w:p>
    </w:sdtContent>
  </w:sdt>
  <w:p w:rsidR="005C26C8" w:rsidRDefault="005C26C8">
    <w:pPr>
      <w:pStyle w:val="Footer"/>
      <w:jc w:val="center"/>
      <w:rPr>
        <w:rFonts w:ascii="Arial" w:hAnsi="Arial" w:cs="Arial"/>
        <w:sz w:val="18"/>
        <w:lang w:val="es-ES"/>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11540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5C26C8" w:rsidRDefault="005C26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483309"/>
      <w:docPartObj>
        <w:docPartGallery w:val="Page Numbers (Bottom of Page)"/>
        <w:docPartUnique/>
      </w:docPartObj>
    </w:sdtPr>
    <w:sdtEndPr>
      <w:rPr>
        <w:noProof/>
      </w:rPr>
    </w:sdtEndPr>
    <w:sdtContent>
      <w:p w:rsidR="005C26C8" w:rsidRDefault="00115404">
        <w:pPr>
          <w:pStyle w:val="Footer"/>
          <w:jc w:val="center"/>
        </w:pPr>
        <w:r>
          <w:fldChar w:fldCharType="begin"/>
        </w:r>
        <w:r>
          <w:instrText xml:space="preserve"> PAGE   \* MERGEFORMAT </w:instrText>
        </w:r>
        <w:r>
          <w:fldChar w:fldCharType="separate"/>
        </w:r>
        <w:r>
          <w:rPr>
            <w:noProof/>
          </w:rPr>
          <w:t>62</w:t>
        </w:r>
        <w:r>
          <w:fldChar w:fldCharType="end"/>
        </w:r>
      </w:p>
    </w:sdtContent>
  </w:sdt>
  <w:p w:rsidR="005C26C8" w:rsidRDefault="005C26C8">
    <w:pPr>
      <w:pStyle w:val="Footer"/>
      <w:jc w:val="center"/>
      <w:rPr>
        <w:rFonts w:ascii="Arial" w:hAnsi="Arial" w:cs="Arial"/>
        <w:b/>
        <w:sz w:val="48"/>
        <w:lang w:val="es-ES"/>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6C8" w:rsidRDefault="00115404">
      <w:pPr>
        <w:spacing w:line="240" w:lineRule="auto"/>
        <w:ind w:left="0"/>
      </w:pPr>
      <w:r>
        <w:separator/>
      </w:r>
    </w:p>
  </w:footnote>
  <w:footnote w:type="continuationSeparator" w:id="0">
    <w:p w:rsidR="005C26C8" w:rsidRDefault="00115404">
      <w:pPr>
        <w:spacing w:line="240" w:lineRule="auto"/>
      </w:pPr>
      <w:r>
        <w:continuationSeparator/>
      </w:r>
    </w:p>
  </w:footnote>
  <w:footnote w:type="continuationNotice" w:id="1">
    <w:p w:rsidR="005C26C8" w:rsidRDefault="005C26C8">
      <w:pPr>
        <w:spacing w:line="240" w:lineRule="auto"/>
      </w:pPr>
    </w:p>
  </w:footnote>
  <w:footnote w:id="2">
    <w:p w:rsidR="005C26C8" w:rsidRDefault="00115404">
      <w:pPr>
        <w:spacing w:line="240" w:lineRule="auto"/>
        <w:ind w:left="0"/>
        <w:jc w:val="both"/>
      </w:pPr>
      <w:r>
        <w:rPr>
          <w:rStyle w:val="FootnoteReference"/>
        </w:rPr>
        <w:footnoteRef/>
      </w:r>
      <w:r>
        <w:t xml:space="preserve"> [</w:t>
      </w:r>
      <w:r>
        <w:rPr>
          <w:rFonts w:ascii="Times New Roman" w:hAnsi="Times New Roman"/>
          <w:sz w:val="20"/>
          <w:szCs w:val="20"/>
        </w:rPr>
        <w:t>Siinä tapauksessa, että Yhdistynyt kuningaskunta eroaa unionista Ison-Britannian ja Pohjois-Irlannin yhdistyneen kuningaskunnan eroamisesta Euroopan unionista ja Euroopan atomienergiayhteisöstä tehdyn sopimuksen (’erosopimus’, EUVL C 384 I, 12.11</w:t>
      </w:r>
      <w:r>
        <w:rPr>
          <w:rFonts w:ascii="Times New Roman" w:hAnsi="Times New Roman"/>
          <w:sz w:val="20"/>
          <w:szCs w:val="20"/>
        </w:rPr>
        <w:t>.2019, s. 1) perusteella, unionin lainsäädäntöä sovelletaan edelleen Yhdistyneeseen kuningaskuntaan ja Yhdistyneessä kuningaskunnassa erosopimuksella vahvistetun siirtymäkauden ajan.]</w:t>
      </w:r>
    </w:p>
  </w:footnote>
  <w:footnote w:id="3">
    <w:p w:rsidR="005C26C8" w:rsidRDefault="00115404">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Tähän kertomukseen liittyy </w:t>
      </w:r>
      <w:r>
        <w:rPr>
          <w:rFonts w:ascii="Times New Roman" w:hAnsi="Times New Roman"/>
          <w:i/>
        </w:rPr>
        <w:t>tilastoliite</w:t>
      </w:r>
      <w:r>
        <w:rPr>
          <w:rFonts w:ascii="Times New Roman" w:hAnsi="Times New Roman"/>
        </w:rPr>
        <w:t>, jonka sisältämiä kattavia til</w:t>
      </w:r>
      <w:r>
        <w:rPr>
          <w:rFonts w:ascii="Times New Roman" w:hAnsi="Times New Roman"/>
        </w:rPr>
        <w:t xml:space="preserve">astotietoja on käytetty kertomusta laadittaessa. </w:t>
      </w:r>
    </w:p>
  </w:footnote>
  <w:footnote w:id="4">
    <w:p w:rsidR="005C26C8" w:rsidRDefault="00115404">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Ks. asetuksen (EU) N:o 1176/2011 5 artikla.</w:t>
      </w:r>
    </w:p>
  </w:footnote>
  <w:footnote w:id="5">
    <w:p w:rsidR="005C26C8" w:rsidRDefault="00115404">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Jean-Claude Junckerin, Donald Tuskin, Jeroen Dijsselbloemin, Mario Draghin ja Martin Schulzin 22. kesäkuuta 2015 antamassa kertomuksessa talous- ja rahaliiton v</w:t>
      </w:r>
      <w:r>
        <w:rPr>
          <w:rFonts w:ascii="Times New Roman" w:hAnsi="Times New Roman"/>
        </w:rPr>
        <w:t>iimeistelystä ehdotettiin, että makrotalouden epätasapainojen vaikutuksiin euroalueella olisi kiinnitettävä enemmän huomiota. Riippuvuuksien merkitys ja epätasapainojen systeemiset vaikutukset on otettu huomioon asetuksessa (EU) N:o 1176/2011, jonka määrit</w:t>
      </w:r>
      <w:r>
        <w:rPr>
          <w:rFonts w:ascii="Times New Roman" w:hAnsi="Times New Roman"/>
        </w:rPr>
        <w:t>elmän mukaan ”epätasapaino tarkoittaa mitä tahansa sellaiseen makrotalouden kehitykseen johtavaa suuntausta, joka vaikuttaa tai voi vaikuttaa kielteisesti jäsenvaltion talouden, talous- ja rahaliiton tai koko unionin moitteettomaan toimintaan”.</w:t>
      </w:r>
    </w:p>
  </w:footnote>
  <w:footnote w:id="6">
    <w:p w:rsidR="005C26C8" w:rsidRDefault="00115404">
      <w:pPr>
        <w:pStyle w:val="FootnoteText"/>
        <w:ind w:left="0"/>
        <w:jc w:val="both"/>
      </w:pPr>
      <w:r>
        <w:rPr>
          <w:rStyle w:val="FootnoteReference"/>
        </w:rPr>
        <w:footnoteRef/>
      </w:r>
      <w:r>
        <w:t xml:space="preserve"> World Tra</w:t>
      </w:r>
      <w:r>
        <w:t xml:space="preserve">de Uncertainty -indeksi osoittaa työmarkkinoiden epävarmuuden lisääntyneen huomattavasti Euroopan suurissa talouksissa ja myös muilla merkittävillä talousalueilla. </w:t>
      </w:r>
      <w:hyperlink r:id="rId1" w:history="1">
        <w:r>
          <w:rPr>
            <w:rStyle w:val="Hyperlink"/>
            <w:color w:val="0D0D0D" w:themeColor="text1" w:themeTint="F2"/>
          </w:rPr>
          <w:t>https://www.policyuncer</w:t>
        </w:r>
        <w:r>
          <w:rPr>
            <w:rStyle w:val="Hyperlink"/>
            <w:color w:val="0D0D0D" w:themeColor="text1" w:themeTint="F2"/>
          </w:rPr>
          <w:t>tainty.com/wui_quarterly.html</w:t>
        </w:r>
      </w:hyperlink>
    </w:p>
  </w:footnote>
  <w:footnote w:id="7">
    <w:p w:rsidR="005C26C8" w:rsidRDefault="00115404">
      <w:pPr>
        <w:pStyle w:val="FootnoteText"/>
        <w:ind w:left="0"/>
        <w:jc w:val="both"/>
      </w:pPr>
      <w:r>
        <w:rPr>
          <w:rStyle w:val="FootnoteReference"/>
        </w:rPr>
        <w:footnoteRef/>
      </w:r>
      <w:r>
        <w:t xml:space="preserve"> Ks. myös Kansainvälinen valuuttarahasto, </w:t>
      </w:r>
      <w:r>
        <w:rPr>
          <w:i/>
        </w:rPr>
        <w:t>World Economic Outlook</w:t>
      </w:r>
      <w:r>
        <w:t xml:space="preserve">, lokakuu 2019; Euroopan komissio (2019), </w:t>
      </w:r>
      <w:r>
        <w:rPr>
          <w:i/>
        </w:rPr>
        <w:t>European Economic Forecast</w:t>
      </w:r>
      <w:r>
        <w:t xml:space="preserve"> – syksy 2019, Institutional Paper 115, marraskuu 2019.</w:t>
      </w:r>
    </w:p>
  </w:footnote>
  <w:footnote w:id="8">
    <w:p w:rsidR="005C26C8" w:rsidRDefault="00115404">
      <w:pPr>
        <w:pStyle w:val="FootnoteText"/>
        <w:ind w:left="0"/>
        <w:jc w:val="both"/>
      </w:pPr>
      <w:r>
        <w:rPr>
          <w:rStyle w:val="FootnoteReference"/>
        </w:rPr>
        <w:footnoteRef/>
      </w:r>
      <w:r>
        <w:t xml:space="preserve"> Ks. myös Kansainvälinen järjestelyp</w:t>
      </w:r>
      <w:r>
        <w:t xml:space="preserve">ankki (BIS): </w:t>
      </w:r>
      <w:r>
        <w:rPr>
          <w:i/>
        </w:rPr>
        <w:t>Annual Economic Report</w:t>
      </w:r>
      <w:r>
        <w:t xml:space="preserve">, kesäkuu 2019; ja Kansainvälinen valuuttarahasto: </w:t>
      </w:r>
      <w:r>
        <w:rPr>
          <w:i/>
        </w:rPr>
        <w:t>Global Financial Stability Report</w:t>
      </w:r>
      <w:r>
        <w:t>, huhtikuu 2019.</w:t>
      </w:r>
    </w:p>
  </w:footnote>
  <w:footnote w:id="9">
    <w:p w:rsidR="005C26C8" w:rsidRDefault="00115404">
      <w:pPr>
        <w:pStyle w:val="FootnoteText"/>
        <w:ind w:left="0"/>
        <w:jc w:val="both"/>
      </w:pPr>
      <w:r>
        <w:rPr>
          <w:rStyle w:val="FootnoteReference"/>
        </w:rPr>
        <w:footnoteRef/>
      </w:r>
      <w:r>
        <w:t xml:space="preserve"> Tekstikehyksessä 1 tarkastellaan työllisyyden ja sosiaalisen tilanteen viimeaikaista kehitystä EU:ssa.</w:t>
      </w:r>
    </w:p>
  </w:footnote>
  <w:footnote w:id="10">
    <w:p w:rsidR="005C26C8" w:rsidRDefault="00115404">
      <w:pPr>
        <w:pStyle w:val="FootnoteText"/>
        <w:ind w:left="0"/>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Asetuksen (EU</w:t>
      </w:r>
      <w:r>
        <w:rPr>
          <w:rFonts w:ascii="Times New Roman" w:hAnsi="Times New Roman"/>
        </w:rPr>
        <w:t>) N:o 1176/2011 6 artikla.</w:t>
      </w:r>
    </w:p>
  </w:footnote>
  <w:footnote w:id="11">
    <w:p w:rsidR="005C26C8" w:rsidRDefault="00115404">
      <w:pPr>
        <w:pStyle w:val="FootnoteText"/>
        <w:ind w:left="0"/>
        <w:jc w:val="both"/>
        <w:rPr>
          <w:rFonts w:ascii="Times New Roman" w:hAnsi="Times New Roman" w:cs="Times New Roman"/>
        </w:rPr>
      </w:pPr>
      <w:r>
        <w:rPr>
          <w:rFonts w:ascii="Times New Roman" w:hAnsi="Times New Roman" w:cs="Times New Roman"/>
          <w:vertAlign w:val="superscript"/>
        </w:rPr>
        <w:footnoteRef/>
      </w:r>
      <w:r>
        <w:t>Ks. Talouspolitiikan EU-ohjausjakso 2019:</w:t>
      </w:r>
      <w:r>
        <w:rPr>
          <w:rFonts w:ascii="Times New Roman" w:hAnsi="Times New Roman"/>
        </w:rPr>
        <w:t xml:space="preserve"> rakenneuudistusten edistymisen arviointi, makrotalouden epätasapainojen ehkäiseminen ja korjaaminen sekä asetuksen (EU) N:o 1176/2011 nojalla tehtyjen perusteellisten tarkastelujen tulok</w:t>
      </w:r>
      <w:r>
        <w:rPr>
          <w:rFonts w:ascii="Times New Roman" w:hAnsi="Times New Roman"/>
        </w:rPr>
        <w:t xml:space="preserve">set (COM(2019) 150 final, 27.2.2019). </w:t>
      </w:r>
    </w:p>
  </w:footnote>
  <w:footnote w:id="12">
    <w:p w:rsidR="005C26C8" w:rsidRDefault="00115404">
      <w:pPr>
        <w:spacing w:line="240" w:lineRule="auto"/>
        <w:ind w:left="0"/>
        <w:jc w:val="both"/>
        <w:rPr>
          <w:i/>
        </w:rPr>
      </w:pPr>
      <w:r>
        <w:rPr>
          <w:rStyle w:val="FootnoteReference"/>
          <w:sz w:val="20"/>
          <w:szCs w:val="20"/>
        </w:rPr>
        <w:footnoteRef/>
      </w:r>
      <w:r>
        <w:rPr>
          <w:sz w:val="20"/>
          <w:szCs w:val="20"/>
        </w:rPr>
        <w:t xml:space="preserve"> </w:t>
      </w:r>
      <w:r>
        <w:rPr>
          <w:rFonts w:ascii="Times New Roman" w:hAnsi="Times New Roman"/>
          <w:sz w:val="20"/>
          <w:szCs w:val="20"/>
        </w:rPr>
        <w:t xml:space="preserve">Euroopan järjestelmäriskikomitea antoi syyskuussa 2019 maakohtaisia varoituksia ja suosituksia asuntokiinteistösektorin keskipitkän aikavälin haavoittuvuustekijöistä yhdeksälle jäsenvaltiolle: suosituksen saivat </w:t>
      </w:r>
      <w:r>
        <w:rPr>
          <w:rFonts w:ascii="Times New Roman" w:hAnsi="Times New Roman"/>
          <w:sz w:val="20"/>
          <w:szCs w:val="20"/>
        </w:rPr>
        <w:t>Alankomaat, Belgia, Luxemburg, Ruotsi, Suomi ja Tanska ja varoituksen Ranska, Saksa ja Tšekki. Kaikki ensin mainitut maat olivat saaneet Euroopan järjestelmäriskikomitealta varoituksen jo marraskuussa 2016, samoin kuin Itävalta ja Yhdistynyt kuningaskunta.</w:t>
      </w:r>
      <w:r>
        <w:rPr>
          <w:rFonts w:ascii="Times New Roman" w:hAnsi="Times New Roman"/>
          <w:sz w:val="20"/>
          <w:szCs w:val="20"/>
        </w:rPr>
        <w:t xml:space="preserve"> Makrotalouden epätasapainoa koskevasta menettelystä annetun asetuksen (asetus (EU) N:o 1176/2011) mukaan komission on otettava huomioon Euroopan järjestelmäriskikomitean varoitukset ja suositukset jäsenvaltioille, joista on tehty perusteellinen tarkastelu</w:t>
      </w:r>
      <w:r>
        <w:rPr>
          <w:rFonts w:ascii="Times New Roman" w:hAnsi="Times New Roman"/>
          <w:sz w:val="20"/>
          <w:szCs w:val="20"/>
        </w:rPr>
        <w:t>.</w:t>
      </w:r>
    </w:p>
  </w:footnote>
  <w:footnote w:id="13">
    <w:p w:rsidR="005C26C8" w:rsidRDefault="00115404">
      <w:pPr>
        <w:pStyle w:val="FootnoteText"/>
        <w:ind w:left="0"/>
        <w:jc w:val="both"/>
      </w:pPr>
      <w:r>
        <w:rPr>
          <w:rStyle w:val="FootnoteReference"/>
        </w:rPr>
        <w:footnoteRef/>
      </w:r>
      <w:r>
        <w:t xml:space="preserve"> Tässä mainitut ja käytetyt luvut viittaavat ”kausivaihtelusta puhdistettuun” euroalueen vaihtotaseeseen suhteessa muuhun maailmaan (euroalueen maksutasetilastojen mukaan). Tämän perusteella euroalueen yhteenlaskettu vaihtotase oli 3,1 prosenttia suhtee</w:t>
      </w:r>
      <w:r>
        <w:t>ssa BKT:hen vuonna 2018, mikä on yhtenevää jäsenvaltioiden vaihtotaseita koskevan kertomuksen kanssa (nk. ”yhteisön käsitteen” mukaan). Jäsenvaltioiden suhdannekorjaamattomien vaihtotaseiden yhteenlaskettu arvo on kuitenkin 4 prosenttia suhteessa euroaluee</w:t>
      </w:r>
      <w:r>
        <w:t>n BKT:hen (maksutasetilastojen mukaan) ja 3,8 prosenttia suhteessa BKT:hen (kansantalouden tilinpitoa koskevien tilastojen mukaan). Tämä johtuu siitä, että kansallisten tilastoviranomaisten ilmoittamat euroalueen vaihtotaseita koskevat tiedot ovat epäsymme</w:t>
      </w:r>
      <w:r>
        <w:t xml:space="preserve">trisiä. Sekä maksutasetilastoihin että kansantalouden tilinpitoa koskeviin tilastoihin perustuvia euroalueen vaihtotasetta koskevia lukuja tarkistettiin lokakuussa 2019. Tämä ei juuri vaikuttanut vuoden 2018 lukuihin, mutta vuosien 2009–2015 vaihtotasetta </w:t>
      </w:r>
      <w:r>
        <w:t>koskevia lukuja tarkistettiin pitkälti alaspäin.</w:t>
      </w:r>
    </w:p>
  </w:footnote>
  <w:footnote w:id="14">
    <w:p w:rsidR="005C26C8" w:rsidRDefault="00115404">
      <w:pPr>
        <w:pStyle w:val="FootnoteText"/>
        <w:ind w:left="0"/>
        <w:jc w:val="both"/>
      </w:pPr>
      <w:r>
        <w:rPr>
          <w:rStyle w:val="FootnoteReference"/>
        </w:rPr>
        <w:footnoteRef/>
      </w:r>
      <w:r>
        <w:t xml:space="preserve"> Kansainvälisen valuuttarahaston vuonna 2019 laatiman ulkoista sektoria koskevan raportin (</w:t>
      </w:r>
      <w:r>
        <w:rPr>
          <w:i/>
        </w:rPr>
        <w:t>External Sector Report 2018</w:t>
      </w:r>
      <w:r>
        <w:t>) mukaan euroalueen norminmukainen vaihtotase olisi noin 1,6 prosenttia suhteessa BKT:he</w:t>
      </w:r>
      <w:r>
        <w:t>n.</w:t>
      </w:r>
    </w:p>
  </w:footnote>
  <w:footnote w:id="15">
    <w:p w:rsidR="005C26C8" w:rsidRDefault="00115404">
      <w:pPr>
        <w:pStyle w:val="FootnoteText"/>
        <w:ind w:left="0"/>
        <w:jc w:val="both"/>
      </w:pPr>
      <w:r>
        <w:rPr>
          <w:rStyle w:val="FootnoteReference"/>
        </w:rPr>
        <w:footnoteRef/>
      </w:r>
      <w:r>
        <w:t xml:space="preserve"> Huom. Määritelmän mukaan BKT:n ja kotimaisen kysynnän erotuksen pitäisi olla yhtä kuin kauppatase. Luvut eivät kuitenkaan ole aivan yhdenmukaisia euroalueen sisäiseen raportointiin liittyvän epäsymmetrian vuoksi (ks. alaviite </w:t>
      </w:r>
      <w:r>
        <w:fldChar w:fldCharType="begin"/>
      </w:r>
      <w:r>
        <w:instrText xml:space="preserve"> NOTEREF _Ref24022562 \h </w:instrText>
      </w:r>
      <w:r>
        <w:instrText xml:space="preserve"> \* MERGEFORMAT </w:instrText>
      </w:r>
      <w:r>
        <w:fldChar w:fldCharType="separate"/>
      </w:r>
      <w:r>
        <w:t>12</w:t>
      </w:r>
      <w:r>
        <w:fldChar w:fldCharType="end"/>
      </w:r>
      <w:r>
        <w:t>).</w:t>
      </w:r>
    </w:p>
  </w:footnote>
  <w:footnote w:id="16">
    <w:p w:rsidR="005C26C8" w:rsidRDefault="00115404">
      <w:pPr>
        <w:pStyle w:val="FootnoteText"/>
        <w:ind w:left="0"/>
        <w:jc w:val="both"/>
        <w:rPr>
          <w:lang w:val="en-US"/>
        </w:rPr>
      </w:pPr>
      <w:r>
        <w:rPr>
          <w:rStyle w:val="FootnoteReference"/>
        </w:rPr>
        <w:footnoteRef/>
      </w:r>
      <w:r>
        <w:rPr>
          <w:lang w:val="en-US"/>
        </w:rPr>
        <w:t xml:space="preserve"> Mm. EKP, </w:t>
      </w:r>
      <w:r>
        <w:rPr>
          <w:i/>
          <w:lang w:val="en-US"/>
        </w:rPr>
        <w:t>Financial Stability Review</w:t>
      </w:r>
      <w:r>
        <w:rPr>
          <w:lang w:val="en-US"/>
        </w:rPr>
        <w:t>, toukokuu 2018, toukokuu 2019.</w:t>
      </w:r>
    </w:p>
  </w:footnote>
  <w:footnote w:id="17">
    <w:p w:rsidR="005C26C8" w:rsidRDefault="00115404">
      <w:pPr>
        <w:pStyle w:val="FootnoteText"/>
        <w:ind w:left="0"/>
        <w:jc w:val="both"/>
      </w:pPr>
      <w:r>
        <w:rPr>
          <w:rStyle w:val="FootnoteReference"/>
        </w:rPr>
        <w:footnoteRef/>
      </w:r>
      <w:r>
        <w:t xml:space="preserve"> Työllisyyttä ja kilpailukykyä koskeva verohyvitys (CICE) korvattiin Ranskassa työnantajien sosiaa</w:t>
      </w:r>
      <w:r>
        <w:t>liturvamaksujen pysyvällä alennuksella vuoden 2019 ensimmäisellä vuosineljänneksellä. Tämä alensi merkittävästi Ranskan työvoimakustannuksia, mikä näkyy yksikkötyökustannusten muutoksena niiden maiden ryhmässä, joissa ulkomainen nettovarallisuusasema on ke</w:t>
      </w:r>
      <w:r>
        <w:t>skitasoa (kuvio 5).</w:t>
      </w:r>
    </w:p>
  </w:footnote>
  <w:footnote w:id="18">
    <w:p w:rsidR="005C26C8" w:rsidRDefault="00115404">
      <w:pPr>
        <w:pStyle w:val="FootnoteText"/>
        <w:ind w:left="0"/>
        <w:jc w:val="both"/>
      </w:pPr>
      <w:r>
        <w:rPr>
          <w:rStyle w:val="FootnoteReference"/>
        </w:rPr>
        <w:footnoteRef/>
      </w:r>
      <w:r>
        <w:t xml:space="preserve"> Kuviossa 6 maat on asetettu järjestykseen vaihtotaseen perusteella. </w:t>
      </w:r>
    </w:p>
  </w:footnote>
  <w:footnote w:id="19">
    <w:p w:rsidR="005C26C8" w:rsidRDefault="00115404">
      <w:pPr>
        <w:pStyle w:val="FootnoteText"/>
        <w:ind w:left="0"/>
        <w:jc w:val="both"/>
      </w:pPr>
      <w:r>
        <w:rPr>
          <w:rStyle w:val="FootnoteReference"/>
        </w:rPr>
        <w:footnoteRef/>
      </w:r>
      <w:r>
        <w:t xml:space="preserve"> Näyttö perustuu maatalouden, valmistusteollisuuden, kaupan, liikenteen ja viestintäpalvelujen osuuteen talouden kokonaisarvonlisäyksestä. Indikaattorissa ei oteta huomioon sitä, että palveluilla käydään yhä enemmän kauppaa ja että ne tuottavat kasvavan os</w:t>
      </w:r>
      <w:r>
        <w:t>uuden talouden kokonaisarvonlisäyksestä.</w:t>
      </w:r>
    </w:p>
  </w:footnote>
  <w:footnote w:id="20">
    <w:p w:rsidR="005C26C8" w:rsidRDefault="00115404">
      <w:pPr>
        <w:pStyle w:val="FootnoteText"/>
        <w:ind w:left="0"/>
        <w:jc w:val="both"/>
        <w:rPr>
          <w:rFonts w:ascii="Times New Roman" w:hAnsi="Times New Roman" w:cs="Times New Roman"/>
        </w:rPr>
      </w:pPr>
      <w:r>
        <w:rPr>
          <w:rStyle w:val="FootnoteReference"/>
          <w:rFonts w:ascii="Times New Roman" w:eastAsia="SimSun" w:hAnsi="Times New Roman" w:cs="Times New Roman"/>
        </w:rPr>
        <w:footnoteRef/>
      </w:r>
      <w:r>
        <w:rPr>
          <w:rFonts w:ascii="Times New Roman" w:hAnsi="Times New Roman"/>
        </w:rPr>
        <w:t>Tulostaulun sisällön loogisesta perustasta ja tulostaulun tulkinnasta ks. Euroopan komission vuonna 2016 laatima, makrotalouden epätasapainomenettelyä koskeva tiivistelmä (</w:t>
      </w:r>
      <w:r>
        <w:rPr>
          <w:rFonts w:ascii="Times New Roman" w:hAnsi="Times New Roman"/>
          <w:i/>
        </w:rPr>
        <w:t>The Macroeconomic Imbalance Procedure</w:t>
      </w:r>
      <w:r>
        <w:rPr>
          <w:rFonts w:ascii="Times New Roman" w:hAnsi="Times New Roman"/>
        </w:rPr>
        <w:t xml:space="preserve">. </w:t>
      </w:r>
      <w:r>
        <w:rPr>
          <w:rFonts w:ascii="Times New Roman" w:hAnsi="Times New Roman"/>
          <w:i/>
          <w:iCs/>
        </w:rPr>
        <w:t>Rat</w:t>
      </w:r>
      <w:r>
        <w:rPr>
          <w:rFonts w:ascii="Times New Roman" w:hAnsi="Times New Roman"/>
          <w:i/>
          <w:iCs/>
        </w:rPr>
        <w:t>ionale, process, application: a compendium</w:t>
      </w:r>
      <w:r>
        <w:rPr>
          <w:rFonts w:ascii="Times New Roman" w:hAnsi="Times New Roman"/>
        </w:rPr>
        <w:t>, European Economy, Institutional Paper 039, marraskuu 2016.</w:t>
      </w:r>
    </w:p>
  </w:footnote>
  <w:footnote w:id="21">
    <w:p w:rsidR="005C26C8" w:rsidRDefault="00115404">
      <w:pPr>
        <w:pStyle w:val="FootnoteText"/>
        <w:ind w:left="0"/>
        <w:jc w:val="both"/>
        <w:rPr>
          <w:rFonts w:ascii="Times New Roman" w:hAnsi="Times New Roman" w:cs="Times New Roman"/>
          <w:sz w:val="18"/>
          <w:szCs w:val="18"/>
        </w:rPr>
      </w:pPr>
      <w:r>
        <w:rPr>
          <w:rStyle w:val="FootnoteReference"/>
          <w:rFonts w:ascii="Times New Roman" w:eastAsia="SimSun" w:hAnsi="Times New Roman" w:cs="Times New Roman"/>
        </w:rPr>
        <w:footnoteRef/>
      </w:r>
      <w:r>
        <w:t>Tulostaulun indikaattoreista ja niiden ohjeellisista kynnysarvoista on tarkempi selvitys liitteen taulukossa 1.1.</w:t>
      </w:r>
      <w:r>
        <w:rPr>
          <w:rFonts w:ascii="Times New Roman" w:hAnsi="Times New Roman"/>
        </w:rPr>
        <w:t xml:space="preserve"> Lisäindikaattorit esitetään taulukossa</w:t>
      </w:r>
      <w:r>
        <w:rPr>
          <w:rFonts w:ascii="Times New Roman" w:hAnsi="Times New Roman"/>
        </w:rPr>
        <w:t xml:space="preserve"> 2.1. Kuten kuvioon 9 liitetyssä huomautuksessa todetaan, tulostaulun tietojen kehityksen tulkinta perustuu kunkin varoitusmekanismia koskevan kertomuksen laatimishetkellä saatavilla olleisiin tietoihin. Tämän varoitusmekanismia koskevan kertomuksen tietoj</w:t>
      </w:r>
      <w:r>
        <w:rPr>
          <w:rFonts w:ascii="Times New Roman" w:hAnsi="Times New Roman"/>
        </w:rPr>
        <w:t>en koontipäivä oli 25. lokakuuta 2019.</w:t>
      </w:r>
    </w:p>
  </w:footnote>
  <w:footnote w:id="22">
    <w:p w:rsidR="005C26C8" w:rsidRDefault="00115404">
      <w:pPr>
        <w:pStyle w:val="FootnoteText"/>
        <w:ind w:left="0"/>
        <w:jc w:val="both"/>
        <w:rPr>
          <w:rFonts w:ascii="Times New Roman" w:hAnsi="Times New Roman" w:cs="Times New Roman"/>
        </w:rPr>
      </w:pPr>
      <w:r>
        <w:rPr>
          <w:rStyle w:val="FootnoteReference"/>
          <w:rFonts w:ascii="Times New Roman" w:hAnsi="Times New Roman" w:cs="Times New Roman"/>
        </w:rPr>
        <w:footnoteRef/>
      </w:r>
      <w:r>
        <w:t xml:space="preserve"> Perustekijöiden mukaiset (norminmukaiset) vaihtotaseet on johdettu redusoiduilla regressiomalleilla, jotka kattavat säästöjen ja investointien tasapainon kannalta tärkeimmät vaikutustekijät, kuten perustekijät, poli</w:t>
      </w:r>
      <w:r>
        <w:t>tiikkatekijät ja rahoitusalan maailmanlaajuisen tilanteen.</w:t>
      </w:r>
      <w:r>
        <w:rPr>
          <w:rFonts w:ascii="Times New Roman" w:hAnsi="Times New Roman"/>
        </w:rPr>
        <w:t xml:space="preserve"> Ks. L. Coutinho ym. (2018), </w:t>
      </w:r>
      <w:r>
        <w:rPr>
          <w:rFonts w:ascii="Times New Roman" w:hAnsi="Times New Roman"/>
          <w:i/>
        </w:rPr>
        <w:t>Methodologies for the assessment of current account benchmarks</w:t>
      </w:r>
      <w:r>
        <w:rPr>
          <w:rFonts w:ascii="Times New Roman" w:hAnsi="Times New Roman"/>
        </w:rPr>
        <w:t>, European Economy, Discussion Paper 86/2018, jossa kuvaillaan tässä varoitusmekanismia koskevassa kertomuk</w:t>
      </w:r>
      <w:r>
        <w:rPr>
          <w:rFonts w:ascii="Times New Roman" w:hAnsi="Times New Roman"/>
        </w:rPr>
        <w:t xml:space="preserve">sessa perustekijöiden mukaisen vaihtotaseen laskennassa käytettyä menetelmää. Menetelmä vastaa ulkoisen tasapainon arviointia koskevassa Kansainvälisen valuuttarahaston valmisteluasiakirjassa selostettua menetelmää (S. Phillips ym. (2013), </w:t>
      </w:r>
      <w:r>
        <w:rPr>
          <w:rFonts w:ascii="Times New Roman" w:hAnsi="Times New Roman"/>
          <w:i/>
        </w:rPr>
        <w:t>The External Bal</w:t>
      </w:r>
      <w:r>
        <w:rPr>
          <w:rFonts w:ascii="Times New Roman" w:hAnsi="Times New Roman"/>
          <w:i/>
        </w:rPr>
        <w:t>ance Assessment (EBA) Methodology</w:t>
      </w:r>
      <w:r>
        <w:rPr>
          <w:rFonts w:ascii="Times New Roman" w:hAnsi="Times New Roman"/>
        </w:rPr>
        <w:t>, IMF Working Paper, 13/272).</w:t>
      </w:r>
    </w:p>
  </w:footnote>
  <w:footnote w:id="23">
    <w:p w:rsidR="005C26C8" w:rsidRDefault="00115404">
      <w:pPr>
        <w:pStyle w:val="FootnoteText"/>
        <w:ind w:left="0"/>
        <w:jc w:val="both"/>
        <w:rPr>
          <w:rFonts w:ascii="Times New Roman" w:hAnsi="Times New Roman" w:cs="Times New Roman"/>
          <w:lang w:val="en-US"/>
        </w:rPr>
      </w:pPr>
      <w:r>
        <w:rPr>
          <w:rStyle w:val="FootnoteReference"/>
          <w:rFonts w:ascii="Times New Roman" w:hAnsi="Times New Roman" w:cs="Times New Roman"/>
        </w:rPr>
        <w:footnoteRef/>
      </w:r>
      <w:r>
        <w:t xml:space="preserve"> Suhdannekorjatussa vaihtotaseessa otetaan huomioon suhdanteen vaikutus mukauttamalla vaihtotasetta kotimaisen tuotantokuilun ja kauppakumppanimaiden tuotantokuilun perusteella, ks. </w:t>
      </w:r>
      <w:r>
        <w:rPr>
          <w:lang w:val="en-US"/>
        </w:rPr>
        <w:t xml:space="preserve">M. Salto ja A. Turrini (2010), </w:t>
      </w:r>
      <w:r>
        <w:rPr>
          <w:i/>
          <w:lang w:val="en-US"/>
        </w:rPr>
        <w:t>Comparing alternative methodologies for real exchange rate assessment</w:t>
      </w:r>
      <w:r>
        <w:rPr>
          <w:lang w:val="en-US"/>
        </w:rPr>
        <w:t>, European Economy, Discussion Paper 427/2010.</w:t>
      </w:r>
    </w:p>
  </w:footnote>
  <w:footnote w:id="24">
    <w:p w:rsidR="005C26C8" w:rsidRDefault="00115404">
      <w:pPr>
        <w:pStyle w:val="FootnoteText"/>
        <w:ind w:left="0"/>
        <w:jc w:val="both"/>
      </w:pPr>
      <w:r>
        <w:rPr>
          <w:rStyle w:val="FootnoteReference"/>
        </w:rPr>
        <w:footnoteRef/>
      </w:r>
      <w:r>
        <w:t xml:space="preserve"> Kyproksen vaihtotasetta koskevia tietoja on tarkistettu viime vuoden varoitusmekanismia koskevan kertomukse</w:t>
      </w:r>
      <w:r>
        <w:t>n jälkeen, ja sen perusteella vaihtotaseen alijäämä jäi alemman kynnysarvon alapuolelle vuotta 2017 edeltävien kolmen vuoden ajan, toisin kuin viime vuonna.</w:t>
      </w:r>
    </w:p>
  </w:footnote>
  <w:footnote w:id="25">
    <w:p w:rsidR="005C26C8" w:rsidRDefault="00115404">
      <w:pPr>
        <w:pStyle w:val="FootnoteText"/>
        <w:ind w:left="0"/>
        <w:jc w:val="both"/>
        <w:rPr>
          <w:lang w:val="en-US"/>
        </w:rPr>
      </w:pPr>
      <w:r>
        <w:rPr>
          <w:rStyle w:val="FootnoteReference"/>
        </w:rPr>
        <w:footnoteRef/>
      </w:r>
      <w:r>
        <w:t xml:space="preserve"> Ulkomaista nettovarallisuusasemaa koskevien maakohtaisten varovaisuuskynnysarvojen määrittämisest</w:t>
      </w:r>
      <w:r>
        <w:t xml:space="preserve">ä ks. alaviite </w:t>
      </w:r>
      <w:r>
        <w:rPr>
          <w:rFonts w:cstheme="minorHAnsi"/>
        </w:rPr>
        <w:fldChar w:fldCharType="begin"/>
      </w:r>
      <w:r>
        <w:rPr>
          <w:rFonts w:cstheme="minorHAnsi"/>
        </w:rPr>
        <w:instrText xml:space="preserve"> NOTEREF _Ref21014141 \h  \* MERGEFORMAT </w:instrText>
      </w:r>
      <w:r>
        <w:rPr>
          <w:rFonts w:cstheme="minorHAnsi"/>
        </w:rPr>
      </w:r>
      <w:r>
        <w:rPr>
          <w:rFonts w:cstheme="minorHAnsi"/>
        </w:rPr>
        <w:fldChar w:fldCharType="separate"/>
      </w:r>
      <w:r>
        <w:rPr>
          <w:rFonts w:cstheme="minorHAnsi"/>
        </w:rPr>
        <w:t>25</w:t>
      </w:r>
      <w:r>
        <w:rPr>
          <w:rFonts w:cstheme="minorHAnsi"/>
        </w:rPr>
        <w:fldChar w:fldCharType="end"/>
      </w:r>
      <w:r>
        <w:t>.</w:t>
      </w:r>
      <w:r>
        <w:rPr>
          <w:rFonts w:ascii="Times New Roman" w:hAnsi="Times New Roman"/>
        </w:rPr>
        <w:t xml:space="preserve"> </w:t>
      </w:r>
      <w:r>
        <w:t>Kuilu toteutuneiden vaihtotaseiden ja niiden vaihtotaseiden välillä, jotka tarvittaisiin ulkomaisen nettovarallisuusaseman vakaut</w:t>
      </w:r>
      <w:r>
        <w:t>tamiseen, riippuu ratkaisevasti tarkasteluajanjakson pituudesta. Esimerkiksi Kreikassa ulkomaisen nettovarallisuusaseman vakauttaminen tulostaulun kynnysarvon (–35 prosenttia suhteessa BKT:hen) ylittävälle tasolle edellyttäisi 20 vuoden aikajänteellä lähes</w:t>
      </w:r>
      <w:r>
        <w:t xml:space="preserve"> 1 prosentin ylijäämää suhteessa BKT:hen; ks. </w:t>
      </w:r>
      <w:r>
        <w:rPr>
          <w:lang w:val="en-US"/>
        </w:rPr>
        <w:t xml:space="preserve">Euroopan komissio (2019), </w:t>
      </w:r>
      <w:r>
        <w:rPr>
          <w:i/>
          <w:iCs/>
          <w:lang w:val="en-US"/>
        </w:rPr>
        <w:t>Enhanced Surveillance Report: Greece, November 2019</w:t>
      </w:r>
      <w:r>
        <w:rPr>
          <w:lang w:val="en-US"/>
        </w:rPr>
        <w:t>, European Economy, Institutional Paper 116, marraskuu 2019.</w:t>
      </w:r>
    </w:p>
  </w:footnote>
  <w:footnote w:id="26">
    <w:p w:rsidR="005C26C8" w:rsidRDefault="00115404">
      <w:pPr>
        <w:pStyle w:val="FootnoteText"/>
        <w:ind w:left="0"/>
        <w:jc w:val="both"/>
      </w:pPr>
      <w:r>
        <w:rPr>
          <w:rStyle w:val="FootnoteReference"/>
        </w:rPr>
        <w:footnoteRef/>
      </w:r>
      <w:r>
        <w:t xml:space="preserve"> </w:t>
      </w:r>
      <w:r>
        <w:rPr>
          <w:rFonts w:ascii="Times New Roman" w:hAnsi="Times New Roman"/>
        </w:rPr>
        <w:t>Perustekijöiden mukainen ulkomainen nettovarallisuusasema (ns. norminm</w:t>
      </w:r>
      <w:r>
        <w:rPr>
          <w:rFonts w:ascii="Times New Roman" w:hAnsi="Times New Roman"/>
        </w:rPr>
        <w:t xml:space="preserve">ukainen ulkomainen nettovarallisuusasema) saadaan norminmukaisten vaihtotaseiden kasautuessa ajan mittaan (ks. myös alaviite </w:t>
      </w:r>
      <w:r>
        <w:rPr>
          <w:rFonts w:ascii="Times New Roman" w:hAnsi="Times New Roman" w:cs="Times New Roman"/>
        </w:rPr>
        <w:fldChar w:fldCharType="begin"/>
      </w:r>
      <w:r>
        <w:rPr>
          <w:rFonts w:ascii="Times New Roman" w:hAnsi="Times New Roman" w:cs="Times New Roman"/>
        </w:rPr>
        <w:instrText xml:space="preserve"> NOTEREF _Ref20488444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rPr>
        <w:t>). Ulkomaisen nettova</w:t>
      </w:r>
      <w:r>
        <w:rPr>
          <w:rFonts w:ascii="Times New Roman" w:hAnsi="Times New Roman"/>
        </w:rPr>
        <w:t>rallisuusaseman varovaisuuskynnysarvot määritetään maksimoimalla signaalien voimakkuus ennustettaessa maksutasekriisiä. Laskennassa otetaan huomioon maakohtaiset tiedot, jotka esitetään asukasta kohden laskettuna tulotasona. Ulkomaisen nettovarallisuusasem</w:t>
      </w:r>
      <w:r>
        <w:rPr>
          <w:rFonts w:ascii="Times New Roman" w:hAnsi="Times New Roman"/>
        </w:rPr>
        <w:t xml:space="preserve">an laskennassa käytetyn menetelmän osalta ks. A. Turrini ja S. Zeugner (2019), </w:t>
      </w:r>
      <w:r>
        <w:rPr>
          <w:rFonts w:ascii="Times New Roman" w:hAnsi="Times New Roman"/>
          <w:i/>
        </w:rPr>
        <w:t>Benchmarks for Net International Investment Positions</w:t>
      </w:r>
      <w:r>
        <w:rPr>
          <w:rFonts w:ascii="Times New Roman" w:hAnsi="Times New Roman"/>
        </w:rPr>
        <w:t>, European Economy, Discussion Paper, 097/2019.</w:t>
      </w:r>
    </w:p>
  </w:footnote>
  <w:footnote w:id="27">
    <w:p w:rsidR="005C26C8" w:rsidRDefault="00115404">
      <w:pPr>
        <w:pStyle w:val="FootnoteText"/>
        <w:ind w:left="0"/>
        <w:jc w:val="both"/>
      </w:pPr>
      <w:r>
        <w:rPr>
          <w:rStyle w:val="FootnoteReference"/>
        </w:rPr>
        <w:footnoteRef/>
      </w:r>
      <w:r>
        <w:t xml:space="preserve"> NENDI on ulkomaisen nettovarallisuusaseman osa, joka ei sisällä oman pääom</w:t>
      </w:r>
      <w:r>
        <w:t>an ehtoisia osia, eli suorien ulkomaisten sijoitusten (FDI) muodossa annettavaa omaa pääomaa ja kantaosakkeita ja suorina ulkomaisina sijoituksina annettavia yritysten sisäisiä valtioiden rajat ylittäviä velkoja. Se on ulkomainen nettovarallisuusasema ilma</w:t>
      </w:r>
      <w:r>
        <w:t xml:space="preserve">n maksukyvyttömyysriskittömiä instrumentteja. Ks. myös Euroopan komission valmisteluasiakirja </w:t>
      </w:r>
      <w:r>
        <w:rPr>
          <w:i/>
        </w:rPr>
        <w:t>Envisaged revision of selected auxiliary indicators of the MIP scoreboard</w:t>
      </w:r>
      <w:r>
        <w:t xml:space="preserve">, tekninen huomautus; </w:t>
      </w:r>
      <w:hyperlink r:id="rId2" w:history="1">
        <w:r>
          <w:rPr>
            <w:rStyle w:val="Hyperlink"/>
          </w:rPr>
          <w:t>https://ec.europa.eu/info/business-economy-euro/economic-and-fiscal-policy-coordination/eu-economic-governance-mon</w:t>
        </w:r>
        <w:r>
          <w:rPr>
            <w:rStyle w:val="Hyperlink"/>
          </w:rPr>
          <w:t>itoring-prevention-correction/macroeconomic-imbalance-procedure/scoreboard_en</w:t>
        </w:r>
      </w:hyperlink>
      <w:r>
        <w:t xml:space="preserve">. </w:t>
      </w:r>
    </w:p>
  </w:footnote>
  <w:footnote w:id="28">
    <w:p w:rsidR="005C26C8" w:rsidRDefault="00115404">
      <w:pPr>
        <w:pStyle w:val="FootnoteText"/>
        <w:ind w:left="0"/>
        <w:jc w:val="both"/>
      </w:pPr>
      <w:r>
        <w:rPr>
          <w:rStyle w:val="FootnoteReference"/>
        </w:rPr>
        <w:footnoteRef/>
      </w:r>
      <w:r>
        <w:t xml:space="preserve"> Kun tietoja tarkastellaan institutionaalisten sektoreiden mukaan jaoteltuina, julkisen talouden ulkomainen nettovarallisuusasema kattaa Kreikan erittäin negatiivisen ulkomais</w:t>
      </w:r>
      <w:r>
        <w:t>en nettovarallisuusaseman kokonaan – koska julkinen velka on pitkälti ulkomaisessa omistuksessa, ja olennaisen tärkeää on, että omistajiin kuuluu myös julkisia luotonantajia – kun taas muiden talouden sektoreiden eli kotitalouksien, rahoitusalan ulkopuolis</w:t>
      </w:r>
      <w:r>
        <w:t>ten yritysten ja rahoituslaitosten ulkomainen nettovarallisuusasema on positiivinen. Espanjassa, Kyproksessa ja Portugalissa julkisen talouden ulkomainen nettovarallisuusasema kattaa suuren osan talouden ulkomaisesta nettovarallisuusasemasta, mutta myös mu</w:t>
      </w:r>
      <w:r>
        <w:t>illa talouden sektoreilla ulkomainen nettovarallisuusasema on selvästi negatiivinen.</w:t>
      </w:r>
    </w:p>
  </w:footnote>
  <w:footnote w:id="29">
    <w:p w:rsidR="005C26C8" w:rsidRDefault="00115404">
      <w:pPr>
        <w:pStyle w:val="FootnoteText"/>
        <w:ind w:left="0"/>
        <w:jc w:val="both"/>
      </w:pPr>
      <w:r>
        <w:rPr>
          <w:rStyle w:val="FootnoteReference"/>
        </w:rPr>
        <w:footnoteRef/>
      </w:r>
      <w:r>
        <w:t xml:space="preserve"> Vaihtotaseen kehitys vastaa näissä maissa ulkoisen rahoitusaseman vakautta, lukuun ottamatta Romaniaa, missä vaihtotaseen heikkenemisen odotettu jatkuminen johtaa todenn</w:t>
      </w:r>
      <w:r>
        <w:t xml:space="preserve">äköisesti myös ulkomaisen nettovarallisuusaseman heikkenemiseen. </w:t>
      </w:r>
    </w:p>
  </w:footnote>
  <w:footnote w:id="30">
    <w:p w:rsidR="005C26C8" w:rsidRDefault="00115404">
      <w:pPr>
        <w:pStyle w:val="FootnoteText"/>
        <w:ind w:left="0"/>
        <w:jc w:val="both"/>
      </w:pPr>
      <w:r>
        <w:rPr>
          <w:rStyle w:val="FootnoteReference"/>
        </w:rPr>
        <w:footnoteRef/>
      </w:r>
      <w:r>
        <w:t xml:space="preserve"> NENDIn merkitys vaihtelee huomattavasti näissä maissa, mikä kuvastaa myös niiden rahoituskeskusten merkitystä, kuten Luxemburgissa ja Maltassa, tai pankkien ja monikansallisten yritysten p</w:t>
      </w:r>
      <w:r>
        <w:t>ääkonttoreiden ulkomaisen velan merkitystä, kuten Alankomaissa.</w:t>
      </w:r>
    </w:p>
  </w:footnote>
  <w:footnote w:id="31">
    <w:p w:rsidR="005C26C8" w:rsidRDefault="00115404">
      <w:pPr>
        <w:pStyle w:val="FootnoteText"/>
        <w:ind w:left="0"/>
        <w:jc w:val="both"/>
        <w:rPr>
          <w:lang w:val="en-US"/>
        </w:rPr>
      </w:pPr>
      <w:r>
        <w:rPr>
          <w:rStyle w:val="FootnoteReference"/>
        </w:rPr>
        <w:footnoteRef/>
      </w:r>
      <w:r>
        <w:rPr>
          <w:lang w:val="en-US"/>
        </w:rPr>
        <w:t xml:space="preserve"> Esimerkiksi G. Brunello ja P. Wruuck: ”Skill mismatch in Europe: A survey of the literature”, IZA Discussion Paper Series 12346, 2019; A. Kiss ja A. Vandeplas, ”Measuring skills mismatch”. DG EMPL Analytical webnote 7/2015, Euroopan komissio, 2015; Euroop</w:t>
      </w:r>
      <w:r>
        <w:rPr>
          <w:lang w:val="en-US"/>
        </w:rPr>
        <w:t>an komissio (2018), ”Labour Market and Wage Developments in Europe; Annual Reviews 2018 and 2019”.</w:t>
      </w:r>
    </w:p>
  </w:footnote>
  <w:footnote w:id="32">
    <w:p w:rsidR="005C26C8" w:rsidRDefault="00115404">
      <w:pPr>
        <w:pStyle w:val="FootnoteText"/>
        <w:ind w:left="0"/>
        <w:jc w:val="both"/>
      </w:pPr>
      <w:r>
        <w:rPr>
          <w:rStyle w:val="FootnoteReference"/>
        </w:rPr>
        <w:footnoteRef/>
      </w:r>
      <w:r>
        <w:t xml:space="preserve"> Vaikka marginaalin supistuminen estää kustannuskilpailukykyä vaikuttamasta kaupan ehtoihin, mikä puolestaan hillitsee vaikutusta kauppavirtoihin aloilla, j</w:t>
      </w:r>
      <w:r>
        <w:t>oille on ominaista tuotteiden eriyttäminen ja markkinaehtoinen hinnoittelu, jatkuvasti heikentynyt kannattavuus merkitsisi ajan myötä avoimen sektorin kaventumista.</w:t>
      </w:r>
    </w:p>
  </w:footnote>
  <w:footnote w:id="33">
    <w:p w:rsidR="005C26C8" w:rsidRDefault="00115404">
      <w:pPr>
        <w:pStyle w:val="FootnoteText"/>
        <w:ind w:left="0"/>
        <w:jc w:val="both"/>
      </w:pPr>
      <w:r>
        <w:rPr>
          <w:rStyle w:val="FootnoteReference"/>
        </w:rPr>
        <w:footnoteRef/>
      </w:r>
      <w:r>
        <w:t xml:space="preserve"> Nämä tekijät otetaan huomioon Euroopan komission yhteistyössä talouspoliittisen komitean </w:t>
      </w:r>
      <w:r>
        <w:t xml:space="preserve">LIME-työryhmän kanssa kehittämissä maakohtaisissa vertailuarvoissa (Euroopan komissio, Benchmarks for the assessment of private debt, selvitys talouspoliittiselle komitealle, ARES (2017) 4970814) ja niiden päivityksissä. </w:t>
      </w:r>
      <w:r>
        <w:rPr>
          <w:i/>
        </w:rPr>
        <w:t>Perustekijöihin perustuvien vertail</w:t>
      </w:r>
      <w:r>
        <w:rPr>
          <w:i/>
        </w:rPr>
        <w:t>uarvojen</w:t>
      </w:r>
      <w:r>
        <w:t xml:space="preserve"> avulla voidaan arvioida yksityistä velkaa suhteessa arvoihin, jotka voidaan selittää talouden perustekijöiden perusteella ja jotka on johdettu regressioista, joissa otetaan huomioon luotonannon kasvun tärkeimmät tekijät ja tietty alkuperäinen velk</w:t>
      </w:r>
      <w:r>
        <w:t xml:space="preserve">akanta. </w:t>
      </w:r>
      <w:r>
        <w:rPr>
          <w:i/>
        </w:rPr>
        <w:t>Varovaisuuskynnysarvot</w:t>
      </w:r>
      <w:r>
        <w:t xml:space="preserve"> edustavat velkatasoa, jonka ylittyessä pankkikriisin todennäköisyys on suhteellisen suuri. Kyseiset tasot perustuvat signaalien maksimointiin pankkikriisien ennustamisessa minimoimalla huomaamatta jäävien kriisien ja väärien </w:t>
      </w:r>
      <w:r>
        <w:t xml:space="preserve">hälytysten todennäköisyys ja sisällyttämällä siihen maakohtaiset tiedot pankkien pääomatilanteesta, julkisesta velasta ja talouskehityksen tasosta. </w:t>
      </w:r>
    </w:p>
  </w:footnote>
  <w:footnote w:id="34">
    <w:p w:rsidR="005C26C8" w:rsidRDefault="00115404">
      <w:pPr>
        <w:pStyle w:val="FootnoteText"/>
        <w:ind w:left="0"/>
        <w:jc w:val="both"/>
      </w:pPr>
      <w:r>
        <w:rPr>
          <w:rStyle w:val="FootnoteReference"/>
        </w:rPr>
        <w:footnoteRef/>
      </w:r>
      <w:r>
        <w:t xml:space="preserve"> Irlannissa nettoluottovirrat olivat negatiivisia ja olosuhteet nimellisen BKT:n kasvulle suotuisat, mutta</w:t>
      </w:r>
      <w:r>
        <w:t xml:space="preserve"> positiiviset arvostusmuutokset olivat näitä vaikutuksia suurempia, minkä vuoksi velkaantumisen purkaminen (konsolidoimattomien tietojen perusteella) epäonnistui vuoden 2018 ensimmäisen neljänneksen ja vuoden 2019 ensimmäisen neljänneksen välisenä aikana. </w:t>
      </w:r>
      <w:r>
        <w:t>Tämä saattaa johtua monikansallisten yritysten toiminnasta.</w:t>
      </w:r>
    </w:p>
  </w:footnote>
  <w:footnote w:id="35">
    <w:p w:rsidR="005C26C8" w:rsidRDefault="00115404">
      <w:pPr>
        <w:pStyle w:val="FootnoteText"/>
        <w:ind w:left="0"/>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Tämä kasvu tapahtui Suomessa vuonna 2018 samaan aikaan, kun yksi pankki siirsi päätoimipaikkansa Ruotsista Suomeen</w:t>
      </w:r>
      <w:r>
        <w:t>.</w:t>
      </w:r>
    </w:p>
  </w:footnote>
  <w:footnote w:id="36">
    <w:p w:rsidR="005C26C8" w:rsidRDefault="00115404">
      <w:pPr>
        <w:pStyle w:val="FootnoteText"/>
        <w:ind w:left="0"/>
        <w:jc w:val="both"/>
      </w:pPr>
      <w:r>
        <w:rPr>
          <w:rStyle w:val="FootnoteReference"/>
        </w:rPr>
        <w:footnoteRef/>
      </w:r>
      <w:r>
        <w:t xml:space="preserve"> Euroalueen pankkien luotonantoa koskevan tutkimuksen mukaan, ks. EKP, Econom</w:t>
      </w:r>
      <w:r>
        <w:t>ic Bulletin, elokuu 2019.</w:t>
      </w:r>
    </w:p>
  </w:footnote>
  <w:footnote w:id="37">
    <w:p w:rsidR="005C26C8" w:rsidRDefault="00115404">
      <w:pPr>
        <w:pStyle w:val="FootnoteText"/>
        <w:ind w:left="0"/>
        <w:jc w:val="both"/>
      </w:pPr>
      <w:r>
        <w:rPr>
          <w:rStyle w:val="FootnoteReference"/>
        </w:rPr>
        <w:footnoteRef/>
      </w:r>
      <w:r>
        <w:t xml:space="preserve"> Tulostaulun lisäindikaattoreihin sisältyvät järjestämättömät lainat määritellään bruttomääräisten järjestämättömien lainojen ja ennakkojen kokonaismäärän prosenttiosuudeksi bruttomääräisten lainojen ja ennakkojen kokonaismääräst</w:t>
      </w:r>
      <w:r>
        <w:t>ä (bruttomääräinen kirjanpitoarvo) raportointisektorilla ”kotimaiset pankkiryhmittymät ja itsenäiset pankit, ulkomaisessa määräysvallassa olevat tytäryhtiöt ja ulkomaisessa määräysvallassa olevat sivukonttorit, kaikki laitokset”. Arvot annetaan liitteen ta</w:t>
      </w:r>
      <w:r>
        <w:t>ulukossa 2.1. Järjestämättömien lainojen osuuksia koskevat yhdenmukaistetut tiedot ovat käytettävissä vasta vuodesta 2014 alkaen. Tämän vuoksi vuotta 2008 ja ”kasvua huippuvuoteen” koskevien tietojen osalta kuviossa 23 esitetään bruttomääräisten järjestämä</w:t>
      </w:r>
      <w:r>
        <w:t xml:space="preserve">ttömien velkainstrumenttien osuus kaikista bruttomääräisistä velkainstrumenteista. Kyseinen osuus on saatavilla pidempinä aikasarjoina, ja sillä viitataan lainojen lisäksi myös muihin pankkialan hallussa oleviin velkainstrumentteihin. Viimeksi mainittu on </w:t>
      </w:r>
      <w:r>
        <w:t>tyypillisesti hieman pienempi kuin järjestämättömien lainojen osuus johtuen pitkälti suuremmasta nimittäjästä, eli bruttovelkainstrumenttien kokonaismäärä on suurempi kuin lainojen kokonaismäärä. Näiden kahden osuuden suurin ero on tällä hetkellä 4 prosent</w:t>
      </w:r>
      <w:r>
        <w:t>tiyksikköä (Kreikassa), kun useimmissa maissa se on alle 1 prosenttiyksikön.</w:t>
      </w:r>
    </w:p>
  </w:footnote>
  <w:footnote w:id="38">
    <w:p w:rsidR="005C26C8" w:rsidRDefault="00115404">
      <w:pPr>
        <w:pStyle w:val="FootnoteText"/>
        <w:ind w:left="0"/>
        <w:jc w:val="both"/>
        <w:rPr>
          <w:rStyle w:val="FootnoteReference"/>
          <w:rFonts w:ascii="Times New Roman" w:hAnsi="Times New Roman" w:cs="Times New Roman"/>
          <w:sz w:val="22"/>
          <w:szCs w:val="22"/>
          <w:lang w:val="en-US"/>
        </w:rPr>
      </w:pPr>
      <w:r>
        <w:rPr>
          <w:rStyle w:val="FootnoteReference"/>
          <w:rFonts w:ascii="Times New Roman" w:hAnsi="Times New Roman" w:cs="Times New Roman"/>
        </w:rPr>
        <w:footnoteRef/>
      </w:r>
      <w:r>
        <w:rPr>
          <w:rStyle w:val="FootnoteReference"/>
          <w:rFonts w:ascii="Times New Roman" w:hAnsi="Times New Roman"/>
          <w:lang w:val="en-US"/>
        </w:rPr>
        <w:t xml:space="preserve"> </w:t>
      </w:r>
      <w:r>
        <w:rPr>
          <w:rFonts w:ascii="Times New Roman" w:hAnsi="Times New Roman"/>
          <w:lang w:val="en-US"/>
        </w:rPr>
        <w:t xml:space="preserve">EKP, Financial Stability Review, toukokuu 2019. </w:t>
      </w:r>
    </w:p>
  </w:footnote>
  <w:footnote w:id="39">
    <w:p w:rsidR="005C26C8" w:rsidRDefault="00115404">
      <w:pPr>
        <w:pStyle w:val="FootnoteText"/>
        <w:ind w:left="0"/>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 xml:space="preserve">Asuntojen hintojen vertailuarvojen avulla voidaan arvioida asuntojen hintojen yli- tai aliarvostuksen laajuutta maakohtaisten </w:t>
      </w:r>
      <w:r>
        <w:rPr>
          <w:rFonts w:ascii="Times New Roman" w:hAnsi="Times New Roman"/>
        </w:rPr>
        <w:t>ominaispiirteiden perusteella. Synteettiset arvostusten erot perustuvat eroon, joka on saatu eri vertailuarvoista: i) hinta-tulosuhteen poikkeama pitkän aikavälin keskiarvostaan; ii) hinta-vuokrasuhteen poikkeama pitkän aikavälin keskiarvostaan; iii) poikk</w:t>
      </w:r>
      <w:r>
        <w:rPr>
          <w:rFonts w:ascii="Times New Roman" w:hAnsi="Times New Roman"/>
        </w:rPr>
        <w:t>eama regressioihin perustuvista vertailuarvoista, joissa otetaan huomioon kysyntään ja tarjontaan liittyvät talouden perustekijät (ks. N. Philiponnet ja A. Turrini (2017), ”Assessing House Price Developments in the EU”, Euroopan komission keskusteluasiakir</w:t>
      </w:r>
      <w:r>
        <w:rPr>
          <w:rFonts w:ascii="Times New Roman" w:hAnsi="Times New Roman"/>
        </w:rPr>
        <w:t xml:space="preserve">ja 048, toukokuu 2017). Regressioon perustuvien vertailuarvojen laskennassa sykliset selittävät muuttujat suodatetaan HP-filtterillä niiden volatiliteetin hillitsemiseksi. </w:t>
      </w:r>
    </w:p>
  </w:footnote>
  <w:footnote w:id="40">
    <w:p w:rsidR="005C26C8" w:rsidRDefault="00115404">
      <w:pPr>
        <w:pStyle w:val="FootnoteText"/>
        <w:ind w:left="0"/>
        <w:jc w:val="both"/>
        <w:rPr>
          <w:lang w:val="en-US"/>
        </w:rPr>
      </w:pPr>
      <w:r>
        <w:rPr>
          <w:rStyle w:val="FootnoteReference"/>
        </w:rPr>
        <w:footnoteRef/>
      </w:r>
      <w:r>
        <w:t xml:space="preserve"> Hinta-arviot saadaan kansantalouden tilinpidon ja väestölaskennan tietojen perust</w:t>
      </w:r>
      <w:r>
        <w:t xml:space="preserve">eella tai, jos niitä ei ole saatavilla, kiinteistönvälittäjien verkkosivuilla julkaistujen tietojen perusteella. </w:t>
      </w:r>
      <w:r>
        <w:rPr>
          <w:lang w:val="en-US"/>
        </w:rPr>
        <w:t>Ks. J. C. Bricongne et al. (2019),”Assessing House Prices: Insights from "Houselev", a Dataset of Price Level Estimates”, European Economy, Dis</w:t>
      </w:r>
      <w:r>
        <w:rPr>
          <w:lang w:val="en-US"/>
        </w:rPr>
        <w:t xml:space="preserve">cussion Paper No. 101, heinäkuu 2019. </w:t>
      </w:r>
    </w:p>
  </w:footnote>
  <w:footnote w:id="41">
    <w:p w:rsidR="005C26C8" w:rsidRDefault="00115404">
      <w:pPr>
        <w:pStyle w:val="FootnoteText"/>
        <w:ind w:left="0"/>
        <w:rPr>
          <w:lang w:val="en-US"/>
        </w:rPr>
      </w:pPr>
      <w:r>
        <w:rPr>
          <w:rStyle w:val="FootnoteReference"/>
        </w:rPr>
        <w:footnoteRef/>
      </w:r>
      <w:r>
        <w:rPr>
          <w:lang w:val="en-US"/>
        </w:rPr>
        <w:t xml:space="preserve"> Euroopan komissio (2019), Employment and Social Developments in Europe, Annual Review 2019, 4 luku.</w:t>
      </w:r>
    </w:p>
  </w:footnote>
  <w:footnote w:id="42">
    <w:p w:rsidR="005C26C8" w:rsidRDefault="00115404">
      <w:pPr>
        <w:pStyle w:val="FootnoteText"/>
        <w:ind w:left="0"/>
        <w:jc w:val="both"/>
      </w:pPr>
      <w:r>
        <w:rPr>
          <w:rStyle w:val="FootnoteReference"/>
        </w:rPr>
        <w:footnoteRef/>
      </w:r>
      <w:r>
        <w:t xml:space="preserve"> Rakennusinvestoinnit ovat kasvaneet nopeammin vuodesta 2015 lähtien kaikkialla EU:ssa, ja kasvuvauhti on ollut no</w:t>
      </w:r>
      <w:r>
        <w:t>peinta siellä, missä asuntojen hintojen nousu on voimakkaampaa. Myös rakennusluvat ovat lisääntymässä useimmissa EU-maissa. Useat viime aikoina eri puolilla EU:ta käyttöön otetut makrovakauspolitiikat ovat saattaneet vaikuttaa asuntojen hintojen nousuvauht</w:t>
      </w:r>
      <w:r>
        <w:t>iin. Tämä koskee erityisesti luototusasteiden ylärajoja ja velanhoitokulujen ja tulojen suhdetta. Asuntoverotusta on uudistettu viime vuosina useissa EU:n jäsenvaltioissa erityisesti asuntolainojen verohuojennusten laajuuden rajoittamiseksi.</w:t>
      </w:r>
    </w:p>
  </w:footnote>
  <w:footnote w:id="43">
    <w:p w:rsidR="005C26C8" w:rsidRDefault="00115404">
      <w:pPr>
        <w:pStyle w:val="FootnoteText"/>
        <w:ind w:left="0"/>
        <w:jc w:val="both"/>
      </w:pPr>
      <w:r>
        <w:rPr>
          <w:rStyle w:val="FootnoteReference"/>
        </w:rPr>
        <w:footnoteRef/>
      </w:r>
      <w:r>
        <w:t xml:space="preserve"> Useimmissa e</w:t>
      </w:r>
      <w:r>
        <w:t>uroalueen maissa asuntojen hintojen nousun nopeutuminen kriisin jälkeen tapahtui ennen asuntolainojen kasvun nopeutumista. Ks. esim. Euroopan komissio, ”Euro-area housing markets: Ongoing trends, challenges, and policy responses”, selvitys talouspoliittise</w:t>
      </w:r>
      <w:r>
        <w:t>lle komitealle – euroalue, Ares(2019)922432, helmikuu 2019; ja Euroopan komissio, ”Euro-area housing markets: Ongoing trends, challenges, and policy responses”, tekninen muistio euroryhmälle, helmikuu 2019:</w:t>
      </w:r>
    </w:p>
    <w:p w:rsidR="005C26C8" w:rsidRDefault="00115404">
      <w:pPr>
        <w:pStyle w:val="FootnoteText"/>
        <w:ind w:left="0"/>
        <w:jc w:val="both"/>
      </w:pPr>
      <w:hyperlink r:id="rId3" w:history="1">
        <w:r>
          <w:rPr>
            <w:rStyle w:val="Hyperlink"/>
          </w:rPr>
          <w:t>https://www.consilium.europa.eu/media/38387/housing-note-eg-26-02-2019-technical-note.pdf</w:t>
        </w:r>
      </w:hyperlink>
    </w:p>
  </w:footnote>
  <w:footnote w:id="44">
    <w:p w:rsidR="005C26C8" w:rsidRDefault="00115404">
      <w:pPr>
        <w:pStyle w:val="FootnoteText"/>
        <w:ind w:left="0"/>
        <w:jc w:val="both"/>
      </w:pPr>
      <w:r>
        <w:rPr>
          <w:rStyle w:val="FootnoteReference"/>
        </w:rPr>
        <w:footnoteRef/>
      </w:r>
      <w:r>
        <w:t xml:space="preserve"> </w:t>
      </w:r>
      <w:r>
        <w:rPr>
          <w:rFonts w:ascii="Times New Roman" w:hAnsi="Times New Roman"/>
          <w:i/>
          <w:sz w:val="18"/>
        </w:rPr>
        <w:t>Köyhyysriskin tai sosiaalisen syrjäytymisen riskin alaisen väestön osuutta koskeva indikaattori</w:t>
      </w:r>
      <w:r>
        <w:rPr>
          <w:rFonts w:ascii="Times New Roman" w:hAnsi="Times New Roman"/>
          <w:sz w:val="18"/>
        </w:rPr>
        <w:t xml:space="preserve"> kuvaa sella</w:t>
      </w:r>
      <w:r>
        <w:rPr>
          <w:rFonts w:ascii="Times New Roman" w:hAnsi="Times New Roman"/>
          <w:sz w:val="18"/>
        </w:rPr>
        <w:t xml:space="preserve">isten henkilöiden osuutta, jotka ovat haavoittuvassa asemassa vähintään yhden seuraavassa luetellun sosiaalisen indikaattorin perusteella: 1) </w:t>
      </w:r>
      <w:r>
        <w:rPr>
          <w:rFonts w:ascii="Times New Roman" w:hAnsi="Times New Roman"/>
          <w:i/>
          <w:sz w:val="18"/>
        </w:rPr>
        <w:t>köyhyysriski</w:t>
      </w:r>
      <w:r>
        <w:rPr>
          <w:rFonts w:ascii="Times New Roman" w:hAnsi="Times New Roman"/>
          <w:sz w:val="18"/>
        </w:rPr>
        <w:t>, jolla mitataan tuloköyhyyttä suhteessa kansalliseen tulonjakoon ja joka lasketaan sellaisten henkilö</w:t>
      </w:r>
      <w:r>
        <w:rPr>
          <w:rFonts w:ascii="Times New Roman" w:hAnsi="Times New Roman"/>
          <w:sz w:val="18"/>
        </w:rPr>
        <w:t xml:space="preserve">iden osuutena, joiden käytettävissä olevat tulot (mukautettuina kotitalouden koostumuksen perusteella) ovat alle 60 prosenttia kansallisesta mediaanitulosta; 2) </w:t>
      </w:r>
      <w:r>
        <w:rPr>
          <w:rFonts w:ascii="Times New Roman" w:hAnsi="Times New Roman"/>
          <w:i/>
          <w:sz w:val="18"/>
        </w:rPr>
        <w:t>vakava aineellinen puute</w:t>
      </w:r>
      <w:r>
        <w:rPr>
          <w:rFonts w:ascii="Times New Roman" w:hAnsi="Times New Roman"/>
          <w:sz w:val="18"/>
        </w:rPr>
        <w:t xml:space="preserve">, joka kattaa resurssien puutteeseen liittyvät indikaattorit ja jolla mitataan sellaisten ihmisten osuutta, joiden elämässä toteutuu vähintään neljä puutetekijää yhdeksästä, koska heillä ei ole varaa tietyntyyppisiin hankintoihin; 3) </w:t>
      </w:r>
      <w:r>
        <w:rPr>
          <w:rFonts w:ascii="Times New Roman" w:hAnsi="Times New Roman"/>
          <w:i/>
          <w:sz w:val="18"/>
        </w:rPr>
        <w:t>hyvin alhaisen työssäk</w:t>
      </w:r>
      <w:r>
        <w:rPr>
          <w:rFonts w:ascii="Times New Roman" w:hAnsi="Times New Roman"/>
          <w:i/>
          <w:sz w:val="18"/>
        </w:rPr>
        <w:t>äyntiasteen kotitalouksissa asuvilla</w:t>
      </w:r>
      <w:r>
        <w:rPr>
          <w:rFonts w:ascii="Times New Roman" w:hAnsi="Times New Roman"/>
          <w:sz w:val="18"/>
        </w:rPr>
        <w:t xml:space="preserve"> tarkoitetaan 0–59-vuotiaita henkilöitä kotitalouksissa, joissa aikuiset (18–59-vuotiaat) ovat edeltävän vuoden aikana työskennelleet alle 20 prosenttia koko työpotentiaalistaan. Näissä mittausvälineissä käytettyjen tiet</w:t>
      </w:r>
      <w:r>
        <w:rPr>
          <w:rFonts w:ascii="Times New Roman" w:hAnsi="Times New Roman"/>
          <w:sz w:val="18"/>
        </w:rPr>
        <w:t>ojen osalta tulojen viitejakso on tietty 12 kuukauden jakso, kuten edellinen kalenteri- tai verovuosi, jota kaikkien maiden tiedot koskevat lukuun ottamatta Yhdistynyttä kuningaskuntaa, jonka osalta tulojen viitejakso on tutkimuksen tekovuosi, ja Irlantia,</w:t>
      </w:r>
      <w:r>
        <w:rPr>
          <w:rFonts w:ascii="Times New Roman" w:hAnsi="Times New Roman"/>
          <w:sz w:val="18"/>
        </w:rPr>
        <w:t xml:space="preserve"> jossa tutkimus on jatkuva ja jossa tulotiedot kerätään tutkimusta edeltäneiltä 12 kuukaudelta.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
      <w:jc w:val="center"/>
    </w:pPr>
  </w:p>
  <w:p w:rsidR="005C26C8" w:rsidRDefault="005C26C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
      <w:jc w:val="center"/>
    </w:pPr>
  </w:p>
  <w:p w:rsidR="005C26C8" w:rsidRDefault="005C26C8"/>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6C8" w:rsidRDefault="005C26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 w15:restartNumberingAfterBreak="0">
    <w:nsid w:val="05537B24"/>
    <w:multiLevelType w:val="hybridMultilevel"/>
    <w:tmpl w:val="E8326410"/>
    <w:lvl w:ilvl="0" w:tplc="D6A04EA0">
      <w:start w:val="1"/>
      <w:numFmt w:val="decimal"/>
      <w:lvlText w:val="%1."/>
      <w:lvlJc w:val="left"/>
      <w:pPr>
        <w:ind w:left="634" w:hanging="492"/>
      </w:pPr>
      <w:rPr>
        <w:rFonts w:ascii="Times New Roman" w:eastAsiaTheme="minorHAnsi" w:hAnsi="Times New Roman" w:hint="default"/>
      </w:rPr>
    </w:lvl>
    <w:lvl w:ilvl="1" w:tplc="080C0019" w:tentative="1">
      <w:start w:val="1"/>
      <w:numFmt w:val="lowerLetter"/>
      <w:lvlText w:val="%2."/>
      <w:lvlJc w:val="left"/>
      <w:pPr>
        <w:ind w:left="1307" w:hanging="360"/>
      </w:pPr>
    </w:lvl>
    <w:lvl w:ilvl="2" w:tplc="080C001B" w:tentative="1">
      <w:start w:val="1"/>
      <w:numFmt w:val="lowerRoman"/>
      <w:lvlText w:val="%3."/>
      <w:lvlJc w:val="right"/>
      <w:pPr>
        <w:ind w:left="2027" w:hanging="180"/>
      </w:pPr>
    </w:lvl>
    <w:lvl w:ilvl="3" w:tplc="080C000F" w:tentative="1">
      <w:start w:val="1"/>
      <w:numFmt w:val="decimal"/>
      <w:lvlText w:val="%4."/>
      <w:lvlJc w:val="left"/>
      <w:pPr>
        <w:ind w:left="2747" w:hanging="360"/>
      </w:pPr>
    </w:lvl>
    <w:lvl w:ilvl="4" w:tplc="080C0019" w:tentative="1">
      <w:start w:val="1"/>
      <w:numFmt w:val="lowerLetter"/>
      <w:lvlText w:val="%5."/>
      <w:lvlJc w:val="left"/>
      <w:pPr>
        <w:ind w:left="3467" w:hanging="360"/>
      </w:pPr>
    </w:lvl>
    <w:lvl w:ilvl="5" w:tplc="080C001B" w:tentative="1">
      <w:start w:val="1"/>
      <w:numFmt w:val="lowerRoman"/>
      <w:lvlText w:val="%6."/>
      <w:lvlJc w:val="right"/>
      <w:pPr>
        <w:ind w:left="4187" w:hanging="180"/>
      </w:pPr>
    </w:lvl>
    <w:lvl w:ilvl="6" w:tplc="080C000F" w:tentative="1">
      <w:start w:val="1"/>
      <w:numFmt w:val="decimal"/>
      <w:lvlText w:val="%7."/>
      <w:lvlJc w:val="left"/>
      <w:pPr>
        <w:ind w:left="4907" w:hanging="360"/>
      </w:pPr>
    </w:lvl>
    <w:lvl w:ilvl="7" w:tplc="080C0019" w:tentative="1">
      <w:start w:val="1"/>
      <w:numFmt w:val="lowerLetter"/>
      <w:lvlText w:val="%8."/>
      <w:lvlJc w:val="left"/>
      <w:pPr>
        <w:ind w:left="5627" w:hanging="360"/>
      </w:pPr>
    </w:lvl>
    <w:lvl w:ilvl="8" w:tplc="080C001B" w:tentative="1">
      <w:start w:val="1"/>
      <w:numFmt w:val="lowerRoman"/>
      <w:lvlText w:val="%9."/>
      <w:lvlJc w:val="right"/>
      <w:pPr>
        <w:ind w:left="6347" w:hanging="180"/>
      </w:pPr>
    </w:lvl>
  </w:abstractNum>
  <w:abstractNum w:abstractNumId="2"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655F25"/>
    <w:multiLevelType w:val="hybridMultilevel"/>
    <w:tmpl w:val="C9765E5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D791B"/>
    <w:multiLevelType w:val="hybridMultilevel"/>
    <w:tmpl w:val="94F0558A"/>
    <w:lvl w:ilvl="0" w:tplc="080C000F">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6"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75802"/>
    <w:multiLevelType w:val="hybridMultilevel"/>
    <w:tmpl w:val="071066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57F4DE3"/>
    <w:multiLevelType w:val="hybridMultilevel"/>
    <w:tmpl w:val="2BD6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25B56"/>
    <w:multiLevelType w:val="hybridMultilevel"/>
    <w:tmpl w:val="B49093F2"/>
    <w:lvl w:ilvl="0" w:tplc="08090001">
      <w:start w:val="1"/>
      <w:numFmt w:val="bullet"/>
      <w:lvlText w:val=""/>
      <w:lvlJc w:val="left"/>
      <w:pPr>
        <w:ind w:left="360" w:hanging="360"/>
      </w:pPr>
      <w:rPr>
        <w:rFonts w:ascii="Symbol" w:hAnsi="Symbol" w:hint="default"/>
      </w:rPr>
    </w:lvl>
    <w:lvl w:ilvl="1" w:tplc="080C0001">
      <w:start w:val="1"/>
      <w:numFmt w:val="bullet"/>
      <w:lvlText w:val=""/>
      <w:lvlJc w:val="left"/>
      <w:pPr>
        <w:ind w:left="1080" w:hanging="360"/>
      </w:pPr>
      <w:rPr>
        <w:rFonts w:ascii="Symbol" w:hAnsi="Symbol"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E67030"/>
    <w:multiLevelType w:val="hybridMultilevel"/>
    <w:tmpl w:val="733885B0"/>
    <w:lvl w:ilvl="0" w:tplc="0409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1C3C70C6"/>
    <w:multiLevelType w:val="hybridMultilevel"/>
    <w:tmpl w:val="1C541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D4055"/>
    <w:multiLevelType w:val="hybridMultilevel"/>
    <w:tmpl w:val="85AE05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40D058C"/>
    <w:multiLevelType w:val="hybridMultilevel"/>
    <w:tmpl w:val="13B2F428"/>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49F6702"/>
    <w:multiLevelType w:val="hybridMultilevel"/>
    <w:tmpl w:val="0148A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662560"/>
    <w:multiLevelType w:val="hybridMultilevel"/>
    <w:tmpl w:val="10529C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4416A3"/>
    <w:multiLevelType w:val="hybridMultilevel"/>
    <w:tmpl w:val="9F62F6B4"/>
    <w:lvl w:ilvl="0" w:tplc="8958849A">
      <w:numFmt w:val="bullet"/>
      <w:lvlText w:val="-"/>
      <w:lvlJc w:val="left"/>
      <w:pPr>
        <w:ind w:left="587" w:hanging="360"/>
      </w:pPr>
      <w:rPr>
        <w:rFonts w:ascii="Times New Roman" w:eastAsiaTheme="minorHAnsi" w:hAnsi="Times New Roman" w:cs="Times New Roman" w:hint="default"/>
      </w:rPr>
    </w:lvl>
    <w:lvl w:ilvl="1" w:tplc="080C0003" w:tentative="1">
      <w:start w:val="1"/>
      <w:numFmt w:val="bullet"/>
      <w:lvlText w:val="o"/>
      <w:lvlJc w:val="left"/>
      <w:pPr>
        <w:ind w:left="1307" w:hanging="360"/>
      </w:pPr>
      <w:rPr>
        <w:rFonts w:ascii="Courier New" w:hAnsi="Courier New" w:cs="Courier New" w:hint="default"/>
      </w:rPr>
    </w:lvl>
    <w:lvl w:ilvl="2" w:tplc="080C0005" w:tentative="1">
      <w:start w:val="1"/>
      <w:numFmt w:val="bullet"/>
      <w:lvlText w:val=""/>
      <w:lvlJc w:val="left"/>
      <w:pPr>
        <w:ind w:left="2027" w:hanging="360"/>
      </w:pPr>
      <w:rPr>
        <w:rFonts w:ascii="Wingdings" w:hAnsi="Wingdings" w:hint="default"/>
      </w:rPr>
    </w:lvl>
    <w:lvl w:ilvl="3" w:tplc="080C0001" w:tentative="1">
      <w:start w:val="1"/>
      <w:numFmt w:val="bullet"/>
      <w:lvlText w:val=""/>
      <w:lvlJc w:val="left"/>
      <w:pPr>
        <w:ind w:left="2747" w:hanging="360"/>
      </w:pPr>
      <w:rPr>
        <w:rFonts w:ascii="Symbol" w:hAnsi="Symbol" w:hint="default"/>
      </w:rPr>
    </w:lvl>
    <w:lvl w:ilvl="4" w:tplc="080C0003" w:tentative="1">
      <w:start w:val="1"/>
      <w:numFmt w:val="bullet"/>
      <w:lvlText w:val="o"/>
      <w:lvlJc w:val="left"/>
      <w:pPr>
        <w:ind w:left="3467" w:hanging="360"/>
      </w:pPr>
      <w:rPr>
        <w:rFonts w:ascii="Courier New" w:hAnsi="Courier New" w:cs="Courier New" w:hint="default"/>
      </w:rPr>
    </w:lvl>
    <w:lvl w:ilvl="5" w:tplc="080C0005" w:tentative="1">
      <w:start w:val="1"/>
      <w:numFmt w:val="bullet"/>
      <w:lvlText w:val=""/>
      <w:lvlJc w:val="left"/>
      <w:pPr>
        <w:ind w:left="4187" w:hanging="360"/>
      </w:pPr>
      <w:rPr>
        <w:rFonts w:ascii="Wingdings" w:hAnsi="Wingdings" w:hint="default"/>
      </w:rPr>
    </w:lvl>
    <w:lvl w:ilvl="6" w:tplc="080C0001" w:tentative="1">
      <w:start w:val="1"/>
      <w:numFmt w:val="bullet"/>
      <w:lvlText w:val=""/>
      <w:lvlJc w:val="left"/>
      <w:pPr>
        <w:ind w:left="4907" w:hanging="360"/>
      </w:pPr>
      <w:rPr>
        <w:rFonts w:ascii="Symbol" w:hAnsi="Symbol" w:hint="default"/>
      </w:rPr>
    </w:lvl>
    <w:lvl w:ilvl="7" w:tplc="080C0003" w:tentative="1">
      <w:start w:val="1"/>
      <w:numFmt w:val="bullet"/>
      <w:lvlText w:val="o"/>
      <w:lvlJc w:val="left"/>
      <w:pPr>
        <w:ind w:left="5627" w:hanging="360"/>
      </w:pPr>
      <w:rPr>
        <w:rFonts w:ascii="Courier New" w:hAnsi="Courier New" w:cs="Courier New" w:hint="default"/>
      </w:rPr>
    </w:lvl>
    <w:lvl w:ilvl="8" w:tplc="080C0005" w:tentative="1">
      <w:start w:val="1"/>
      <w:numFmt w:val="bullet"/>
      <w:lvlText w:val=""/>
      <w:lvlJc w:val="left"/>
      <w:pPr>
        <w:ind w:left="6347" w:hanging="360"/>
      </w:pPr>
      <w:rPr>
        <w:rFonts w:ascii="Wingdings" w:hAnsi="Wingdings" w:hint="default"/>
      </w:rPr>
    </w:lvl>
  </w:abstractNum>
  <w:abstractNum w:abstractNumId="25"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3E7247"/>
    <w:multiLevelType w:val="hybridMultilevel"/>
    <w:tmpl w:val="C1B4A32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7"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93329C"/>
    <w:multiLevelType w:val="hybridMultilevel"/>
    <w:tmpl w:val="B1E40B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17604"/>
    <w:multiLevelType w:val="hybridMultilevel"/>
    <w:tmpl w:val="860052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B0804DC"/>
    <w:multiLevelType w:val="hybridMultilevel"/>
    <w:tmpl w:val="A04887A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BD531DE"/>
    <w:multiLevelType w:val="hybridMultilevel"/>
    <w:tmpl w:val="A6EAEB44"/>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DB0023B"/>
    <w:multiLevelType w:val="hybridMultilevel"/>
    <w:tmpl w:val="B082ECD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E0C9C"/>
    <w:multiLevelType w:val="hybridMultilevel"/>
    <w:tmpl w:val="C658D2C4"/>
    <w:lvl w:ilvl="0" w:tplc="04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644E53C1"/>
    <w:multiLevelType w:val="hybridMultilevel"/>
    <w:tmpl w:val="9412DFB4"/>
    <w:lvl w:ilvl="0" w:tplc="04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7" w15:restartNumberingAfterBreak="0">
    <w:nsid w:val="64C93A02"/>
    <w:multiLevelType w:val="hybridMultilevel"/>
    <w:tmpl w:val="B9CC5D34"/>
    <w:lvl w:ilvl="0" w:tplc="080C0001">
      <w:start w:val="1"/>
      <w:numFmt w:val="bullet"/>
      <w:lvlText w:val=""/>
      <w:lvlJc w:val="left"/>
      <w:pPr>
        <w:ind w:left="502" w:hanging="360"/>
      </w:pPr>
      <w:rPr>
        <w:rFonts w:ascii="Symbol" w:hAnsi="Symbol" w:hint="default"/>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38" w15:restartNumberingAfterBreak="0">
    <w:nsid w:val="688B6530"/>
    <w:multiLevelType w:val="hybridMultilevel"/>
    <w:tmpl w:val="76A415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B14270A"/>
    <w:multiLevelType w:val="hybridMultilevel"/>
    <w:tmpl w:val="FFEE133A"/>
    <w:lvl w:ilvl="0" w:tplc="EB3CDDE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0"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5D47C8"/>
    <w:multiLevelType w:val="hybridMultilevel"/>
    <w:tmpl w:val="2D34A5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D995CFB"/>
    <w:multiLevelType w:val="hybridMultilevel"/>
    <w:tmpl w:val="861EBD7A"/>
    <w:lvl w:ilvl="0" w:tplc="080C0001">
      <w:start w:val="1"/>
      <w:numFmt w:val="bullet"/>
      <w:lvlText w:val=""/>
      <w:lvlJc w:val="left"/>
      <w:pPr>
        <w:ind w:left="947" w:hanging="360"/>
      </w:pPr>
      <w:rPr>
        <w:rFonts w:ascii="Symbol" w:hAnsi="Symbol" w:hint="default"/>
      </w:rPr>
    </w:lvl>
    <w:lvl w:ilvl="1" w:tplc="080C0003" w:tentative="1">
      <w:start w:val="1"/>
      <w:numFmt w:val="bullet"/>
      <w:lvlText w:val="o"/>
      <w:lvlJc w:val="left"/>
      <w:pPr>
        <w:ind w:left="1667" w:hanging="360"/>
      </w:pPr>
      <w:rPr>
        <w:rFonts w:ascii="Courier New" w:hAnsi="Courier New" w:cs="Courier New" w:hint="default"/>
      </w:rPr>
    </w:lvl>
    <w:lvl w:ilvl="2" w:tplc="080C0005" w:tentative="1">
      <w:start w:val="1"/>
      <w:numFmt w:val="bullet"/>
      <w:lvlText w:val=""/>
      <w:lvlJc w:val="left"/>
      <w:pPr>
        <w:ind w:left="2387" w:hanging="360"/>
      </w:pPr>
      <w:rPr>
        <w:rFonts w:ascii="Wingdings" w:hAnsi="Wingdings" w:hint="default"/>
      </w:rPr>
    </w:lvl>
    <w:lvl w:ilvl="3" w:tplc="080C0001" w:tentative="1">
      <w:start w:val="1"/>
      <w:numFmt w:val="bullet"/>
      <w:lvlText w:val=""/>
      <w:lvlJc w:val="left"/>
      <w:pPr>
        <w:ind w:left="3107" w:hanging="360"/>
      </w:pPr>
      <w:rPr>
        <w:rFonts w:ascii="Symbol" w:hAnsi="Symbol" w:hint="default"/>
      </w:rPr>
    </w:lvl>
    <w:lvl w:ilvl="4" w:tplc="080C0003" w:tentative="1">
      <w:start w:val="1"/>
      <w:numFmt w:val="bullet"/>
      <w:lvlText w:val="o"/>
      <w:lvlJc w:val="left"/>
      <w:pPr>
        <w:ind w:left="3827" w:hanging="360"/>
      </w:pPr>
      <w:rPr>
        <w:rFonts w:ascii="Courier New" w:hAnsi="Courier New" w:cs="Courier New" w:hint="default"/>
      </w:rPr>
    </w:lvl>
    <w:lvl w:ilvl="5" w:tplc="080C0005" w:tentative="1">
      <w:start w:val="1"/>
      <w:numFmt w:val="bullet"/>
      <w:lvlText w:val=""/>
      <w:lvlJc w:val="left"/>
      <w:pPr>
        <w:ind w:left="4547" w:hanging="360"/>
      </w:pPr>
      <w:rPr>
        <w:rFonts w:ascii="Wingdings" w:hAnsi="Wingdings" w:hint="default"/>
      </w:rPr>
    </w:lvl>
    <w:lvl w:ilvl="6" w:tplc="080C0001" w:tentative="1">
      <w:start w:val="1"/>
      <w:numFmt w:val="bullet"/>
      <w:lvlText w:val=""/>
      <w:lvlJc w:val="left"/>
      <w:pPr>
        <w:ind w:left="5267" w:hanging="360"/>
      </w:pPr>
      <w:rPr>
        <w:rFonts w:ascii="Symbol" w:hAnsi="Symbol" w:hint="default"/>
      </w:rPr>
    </w:lvl>
    <w:lvl w:ilvl="7" w:tplc="080C0003" w:tentative="1">
      <w:start w:val="1"/>
      <w:numFmt w:val="bullet"/>
      <w:lvlText w:val="o"/>
      <w:lvlJc w:val="left"/>
      <w:pPr>
        <w:ind w:left="5987" w:hanging="360"/>
      </w:pPr>
      <w:rPr>
        <w:rFonts w:ascii="Courier New" w:hAnsi="Courier New" w:cs="Courier New" w:hint="default"/>
      </w:rPr>
    </w:lvl>
    <w:lvl w:ilvl="8" w:tplc="080C0005" w:tentative="1">
      <w:start w:val="1"/>
      <w:numFmt w:val="bullet"/>
      <w:lvlText w:val=""/>
      <w:lvlJc w:val="left"/>
      <w:pPr>
        <w:ind w:left="6707" w:hanging="360"/>
      </w:pPr>
      <w:rPr>
        <w:rFonts w:ascii="Wingdings" w:hAnsi="Wingdings" w:hint="default"/>
      </w:rPr>
    </w:lvl>
  </w:abstractNum>
  <w:abstractNum w:abstractNumId="44" w15:restartNumberingAfterBreak="0">
    <w:nsid w:val="70A11531"/>
    <w:multiLevelType w:val="hybridMultilevel"/>
    <w:tmpl w:val="5D2CC6D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D648A6"/>
    <w:multiLevelType w:val="hybridMultilevel"/>
    <w:tmpl w:val="B0E034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D295BC6"/>
    <w:multiLevelType w:val="hybridMultilevel"/>
    <w:tmpl w:val="099C20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7D741E0B"/>
    <w:multiLevelType w:val="hybridMultilevel"/>
    <w:tmpl w:val="862847F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7E3926CC"/>
    <w:multiLevelType w:val="hybridMultilevel"/>
    <w:tmpl w:val="130865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E4D2A11"/>
    <w:multiLevelType w:val="singleLevel"/>
    <w:tmpl w:val="B612535E"/>
    <w:name w:val="Numbered List"/>
    <w:lvl w:ilvl="0">
      <w:start w:val="1"/>
      <w:numFmt w:val="decimal"/>
      <w:lvlRestart w:val="0"/>
      <w:pStyle w:val="NumberedList"/>
      <w:lvlText w:val="%1."/>
      <w:lvlJc w:val="left"/>
      <w:pPr>
        <w:tabs>
          <w:tab w:val="num" w:pos="340"/>
        </w:tabs>
        <w:ind w:left="340" w:hanging="340"/>
      </w:pPr>
    </w:lvl>
  </w:abstractNum>
  <w:num w:numId="1">
    <w:abstractNumId w:val="27"/>
  </w:num>
  <w:num w:numId="2">
    <w:abstractNumId w:val="6"/>
  </w:num>
  <w:num w:numId="3">
    <w:abstractNumId w:val="4"/>
  </w:num>
  <w:num w:numId="4">
    <w:abstractNumId w:val="0"/>
  </w:num>
  <w:num w:numId="5">
    <w:abstractNumId w:val="22"/>
  </w:num>
  <w:num w:numId="6">
    <w:abstractNumId w:val="41"/>
  </w:num>
  <w:num w:numId="7">
    <w:abstractNumId w:val="15"/>
  </w:num>
  <w:num w:numId="8">
    <w:abstractNumId w:val="20"/>
  </w:num>
  <w:num w:numId="9">
    <w:abstractNumId w:val="0"/>
  </w:num>
  <w:num w:numId="10">
    <w:abstractNumId w:val="22"/>
  </w:num>
  <w:num w:numId="11">
    <w:abstractNumId w:val="25"/>
  </w:num>
  <w:num w:numId="12">
    <w:abstractNumId w:val="23"/>
  </w:num>
  <w:num w:numId="13">
    <w:abstractNumId w:val="6"/>
  </w:num>
  <w:num w:numId="14">
    <w:abstractNumId w:val="28"/>
  </w:num>
  <w:num w:numId="15">
    <w:abstractNumId w:val="13"/>
  </w:num>
  <w:num w:numId="16">
    <w:abstractNumId w:val="48"/>
  </w:num>
  <w:num w:numId="17">
    <w:abstractNumId w:val="45"/>
  </w:num>
  <w:num w:numId="18">
    <w:abstractNumId w:val="12"/>
  </w:num>
  <w:num w:numId="19">
    <w:abstractNumId w:val="34"/>
  </w:num>
  <w:num w:numId="20">
    <w:abstractNumId w:val="16"/>
  </w:num>
  <w:num w:numId="21">
    <w:abstractNumId w:val="40"/>
  </w:num>
  <w:num w:numId="22">
    <w:abstractNumId w:val="25"/>
  </w:num>
  <w:num w:numId="23">
    <w:abstractNumId w:val="2"/>
  </w:num>
  <w:num w:numId="24">
    <w:abstractNumId w:val="14"/>
  </w:num>
  <w:num w:numId="25">
    <w:abstractNumId w:val="7"/>
  </w:num>
  <w:num w:numId="26">
    <w:abstractNumId w:val="9"/>
  </w:num>
  <w:num w:numId="27">
    <w:abstractNumId w:val="32"/>
  </w:num>
  <w:num w:numId="28">
    <w:abstractNumId w:val="11"/>
  </w:num>
  <w:num w:numId="29">
    <w:abstractNumId w:val="39"/>
  </w:num>
  <w:num w:numId="30">
    <w:abstractNumId w:val="5"/>
  </w:num>
  <w:num w:numId="31">
    <w:abstractNumId w:val="8"/>
  </w:num>
  <w:num w:numId="32">
    <w:abstractNumId w:val="19"/>
  </w:num>
  <w:num w:numId="33">
    <w:abstractNumId w:val="18"/>
  </w:num>
  <w:num w:numId="34">
    <w:abstractNumId w:val="44"/>
  </w:num>
  <w:num w:numId="35">
    <w:abstractNumId w:val="10"/>
  </w:num>
  <w:num w:numId="36">
    <w:abstractNumId w:val="21"/>
  </w:num>
  <w:num w:numId="37">
    <w:abstractNumId w:val="47"/>
  </w:num>
  <w:num w:numId="38">
    <w:abstractNumId w:val="42"/>
  </w:num>
  <w:num w:numId="39">
    <w:abstractNumId w:val="46"/>
  </w:num>
  <w:num w:numId="40">
    <w:abstractNumId w:val="17"/>
  </w:num>
  <w:num w:numId="41">
    <w:abstractNumId w:val="37"/>
  </w:num>
  <w:num w:numId="42">
    <w:abstractNumId w:val="1"/>
  </w:num>
  <w:num w:numId="43">
    <w:abstractNumId w:val="30"/>
  </w:num>
  <w:num w:numId="44">
    <w:abstractNumId w:val="38"/>
  </w:num>
  <w:num w:numId="45">
    <w:abstractNumId w:val="43"/>
  </w:num>
  <w:num w:numId="46">
    <w:abstractNumId w:val="50"/>
  </w:num>
  <w:num w:numId="47">
    <w:abstractNumId w:val="33"/>
  </w:num>
  <w:num w:numId="48">
    <w:abstractNumId w:val="3"/>
  </w:num>
  <w:num w:numId="49">
    <w:abstractNumId w:val="49"/>
  </w:num>
  <w:num w:numId="50">
    <w:abstractNumId w:val="35"/>
  </w:num>
  <w:num w:numId="51">
    <w:abstractNumId w:val="36"/>
  </w:num>
  <w:num w:numId="52">
    <w:abstractNumId w:val="29"/>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removeDateAndTime/>
  <w:hideSpellingErrors/>
  <w:hideGrammaticalErrors/>
  <w:activeWritingStyle w:appName="MSWord" w:lang="en-GB" w:vendorID="64" w:dllVersion="6" w:nlCheck="1" w:checkStyle="0"/>
  <w:activeWritingStyle w:appName="MSWord" w:lang="fr-FR" w:vendorID="64" w:dllVersion="6" w:nlCheck="1" w:checkStyle="0"/>
  <w:activeWritingStyle w:appName="MSWord" w:lang="fr-BE" w:vendorID="64" w:dllVersion="6" w:nlCheck="1" w:checkStyle="0"/>
  <w:activeWritingStyle w:appName="MSWord" w:lang="en-US" w:vendorID="64" w:dllVersion="6" w:nlCheck="1" w:checkStyle="1"/>
  <w:activeWritingStyle w:appName="MSWord" w:lang="en-IE" w:vendorID="64" w:dllVersion="6" w:nlCheck="1" w:checkStyle="1"/>
  <w:activeWritingStyle w:appName="MSWord" w:lang="pt-PT"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activeWritingStyle w:appName="MSWord" w:lang="fi-FI" w:vendorID="64" w:dllVersion="131078" w:nlCheck="1" w:checkStyle="0"/>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B615389-7877-44DE-8539-137EE279682D"/>
    <w:docVar w:name="LW_COVERPAGE_TYPE" w:val="1"/>
    <w:docVar w:name="LW_CROSSREFERENCE" w:val="{SWD(2019) 630 final}"/>
    <w:docVar w:name="LW_DocType" w:val="NORMAL"/>
    <w:docVar w:name="LW_EMISSION" w:val="17.12.2019"/>
    <w:docVar w:name="LW_EMISSION_ISODATE" w:val="2019-12-17"/>
    <w:docVar w:name="LW_EMISSION_LOCATION" w:val="STR"/>
    <w:docVar w:name="LW_EMISSION_PREFIX" w:val="Strasbourg "/>
    <w:docVar w:name="LW_EMISSION_SUFFIX" w:val=" "/>
    <w:docVar w:name="LW_ID_DOCTYPE_NONLW" w:val="CP-003"/>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19) 6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UROOPAN PARLAMENTILLE, NEUVOSTOLLE, EUROOPAN KESKUSPANKILLE JA EUROOPAN TALOUS- JA SOSIAALIKOMITEALLE_x000d__x000d__x000d__x000d__x000d__x000d__x000d__x000d__x000b__x000d__x000d__x000d__x000d__x000d__x000d__x000d__x000d__x000b_Kertomus varoitusmekanismista - vuosi 2020_x000d__x000d__x000d__x000d__x000d__x000d__x000d__x000d__x000b__x000d__x000d__x000d__x000d__x000d__x000d__x000d__x000d__x000b_(makrotalouden epätasapainon ennalta ehkäisemisestä ja korjaamisesta annetun asetuksen (EU) N:o 1176/2011 3 ja 4 artiklan mukainen kertomus)"/>
    <w:docVar w:name="LW_TYPE.DOC.CP" w:val="KOMISSION KERTOMUS"/>
  </w:docVars>
  <w:rsids>
    <w:rsidRoot w:val="005C26C8"/>
    <w:rsid w:val="00115404"/>
    <w:rsid w:val="005C26C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E7328ADB-CF42-4E94-BBF9-3A2BC080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line="276" w:lineRule="auto"/>
        <w:ind w:left="22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lang w:eastAsia="en-GB"/>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line="240" w:lineRule="auto"/>
    </w:pPr>
    <w:rPr>
      <w:sz w:val="20"/>
      <w:szCs w:val="20"/>
    </w:rPr>
  </w:style>
  <w:style w:type="character" w:customStyle="1" w:styleId="FootnoteTextChar">
    <w:name w:val="Footnote Text Char"/>
    <w:aliases w:val="Footnote Text Char1 Char Char1,Footnote Text Char Char Char Char1,Footnote Text Char2 Char Char Char Char1,Footnote Text Char1 Char Char Char Char Char1,Footnote Text Char Char Char Char Char Char Char1,Plonk Char1,Footnote text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
    <w:basedOn w:val="DefaultParagraphFont"/>
    <w:link w:val="FootnotesymbolCarZchn"/>
    <w:uiPriority w:val="99"/>
    <w:unhideWhenUsed/>
    <w:qFormat/>
    <w:rPr>
      <w:vertAlign w:val="superscript"/>
    </w:rPr>
  </w:style>
  <w:style w:type="paragraph" w:styleId="ListParagraph">
    <w:name w:val="List Paragraph"/>
    <w:aliases w:val="Mummuga loetelu,Bullet alinea,Dot pt,F5 List Paragraph,List Paragraph1,No Spacing1,List Paragraph Char Char Char,Indicator Text,Numbered Para 1,Bullet 1,Bullet Points,MAIN CONTENT,Recommendation,List Paragraph2"/>
    <w:basedOn w:val="Normal"/>
    <w:link w:val="ListParagraphChar"/>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before="120" w:after="160" w:line="240" w:lineRule="exact"/>
      <w:jc w:val="both"/>
    </w:pPr>
    <w:rPr>
      <w:vertAlign w:val="superscript"/>
    </w:rPr>
  </w:style>
  <w:style w:type="table" w:customStyle="1" w:styleId="TableGrid1">
    <w:name w:val="Table Grid1"/>
    <w:basedOn w:val="TableNormal"/>
    <w:next w:val="TableGrid"/>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uiPriority w:val="99"/>
    <w:locked/>
    <w:rPr>
      <w:lang w:val="fi-FI" w:eastAsia="en-US" w:bidi="ar-SA"/>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n-GB"/>
    </w:rPr>
  </w:style>
  <w:style w:type="paragraph" w:customStyle="1" w:styleId="Default">
    <w:name w:val="Default"/>
    <w:pPr>
      <w:autoSpaceDE w:val="0"/>
      <w:autoSpaceDN w:val="0"/>
      <w:adjustRightInd w:val="0"/>
      <w:spacing w:line="240" w:lineRule="auto"/>
    </w:pPr>
    <w:rPr>
      <w:rFonts w:ascii="Times New Roman" w:eastAsia="Times New Roman" w:hAnsi="Times New Roman" w:cs="Times New Roman"/>
      <w:color w:val="000000"/>
      <w:sz w:val="24"/>
      <w:szCs w:val="24"/>
      <w:lang w:eastAsia="en-GB"/>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ind w:left="0"/>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Pr>
      <w:color w:val="0000FF"/>
      <w:u w:val="single"/>
    </w:rPr>
  </w:style>
  <w:style w:type="paragraph" w:customStyle="1" w:styleId="bodytext">
    <w:name w:val="bodytext"/>
    <w:basedOn w:val="Normal"/>
    <w:pPr>
      <w:spacing w:before="100" w:beforeAutospacing="1" w:after="100" w:afterAutospacing="1" w:line="240" w:lineRule="auto"/>
      <w:ind w:left="0"/>
    </w:pPr>
    <w:rPr>
      <w:rFonts w:ascii="Times New Roman" w:hAnsi="Times New Roman" w:cs="Times New Roman"/>
      <w:sz w:val="24"/>
      <w:szCs w:val="24"/>
      <w:lang w:eastAsia="fr-BE"/>
    </w:rPr>
  </w:style>
  <w:style w:type="paragraph" w:customStyle="1" w:styleId="GraphTitle">
    <w:name w:val="Graph Title"/>
    <w:basedOn w:val="Normal"/>
    <w:next w:val="Normal"/>
    <w:pPr>
      <w:keepNext/>
      <w:pBdr>
        <w:top w:val="single" w:sz="6" w:space="2" w:color="auto"/>
        <w:bottom w:val="single" w:sz="6" w:space="2" w:color="auto"/>
      </w:pBdr>
      <w:spacing w:after="40" w:line="240" w:lineRule="auto"/>
      <w:ind w:left="935" w:hanging="935"/>
    </w:pPr>
    <w:rPr>
      <w:rFonts w:ascii="Times New Roman" w:hAnsi="Times New Roman" w:cs="Times New Roman"/>
      <w:color w:val="333399"/>
      <w:sz w:val="14"/>
    </w:rPr>
  </w:style>
  <w:style w:type="paragraph" w:customStyle="1" w:styleId="GraphSource">
    <w:name w:val="Graph Source"/>
    <w:basedOn w:val="Normal"/>
    <w:pPr>
      <w:pBdr>
        <w:top w:val="single" w:sz="6" w:space="2" w:color="auto"/>
        <w:bottom w:val="single" w:sz="6" w:space="2" w:color="auto"/>
      </w:pBdr>
      <w:spacing w:line="240" w:lineRule="auto"/>
      <w:ind w:left="0"/>
    </w:pPr>
    <w:rPr>
      <w:rFonts w:ascii="Times New Roman" w:hAnsi="Times New Roman" w:cs="Times New Roman"/>
      <w:color w:val="000000"/>
      <w:sz w:val="14"/>
    </w:rPr>
  </w:style>
  <w:style w:type="paragraph" w:customStyle="1" w:styleId="GraphShape">
    <w:name w:val="Graph Shape"/>
    <w:basedOn w:val="Normal"/>
    <w:next w:val="Normal"/>
    <w:pPr>
      <w:keepNext/>
      <w:spacing w:line="240" w:lineRule="auto"/>
      <w:ind w:left="0"/>
      <w:jc w:val="center"/>
    </w:pPr>
    <w:rPr>
      <w:rFonts w:ascii="Times New Roman" w:hAnsi="Times New Roman" w:cs="Times New Roman"/>
      <w:color w:val="000000"/>
      <w:sz w:val="20"/>
    </w:rPr>
  </w:style>
  <w:style w:type="paragraph" w:customStyle="1" w:styleId="NumberedList">
    <w:name w:val="Numbered List"/>
    <w:basedOn w:val="Normal"/>
    <w:pPr>
      <w:numPr>
        <w:numId w:val="46"/>
      </w:numPr>
      <w:spacing w:after="240" w:line="240" w:lineRule="atLeast"/>
      <w:jc w:val="both"/>
    </w:pPr>
    <w:rPr>
      <w:rFonts w:ascii="Times New Roman" w:hAnsi="Times New Roman" w:cs="Times New Roman"/>
      <w:color w:val="000000"/>
      <w:sz w:val="20"/>
    </w:rPr>
  </w:style>
  <w:style w:type="paragraph" w:customStyle="1" w:styleId="SecurityMarking">
    <w:name w:val="SecurityMarking"/>
    <w:basedOn w:val="Normal"/>
    <w:pPr>
      <w:ind w:left="5103"/>
    </w:pPr>
    <w:rPr>
      <w:rFonts w:ascii="Times New Roman" w:hAnsi="Times New Roman" w:cs="Times New Roman"/>
      <w:sz w:val="28"/>
    </w:rPr>
  </w:style>
  <w:style w:type="paragraph" w:customStyle="1" w:styleId="DateMarking">
    <w:name w:val="DateMarking"/>
    <w:basedOn w:val="Normal"/>
    <w:pPr>
      <w:ind w:left="5103"/>
    </w:pPr>
    <w:rPr>
      <w:rFonts w:ascii="Times New Roman" w:hAnsi="Times New Roman" w:cs="Times New Roman"/>
      <w:i/>
      <w:sz w:val="28"/>
    </w:rPr>
  </w:style>
  <w:style w:type="paragraph" w:customStyle="1" w:styleId="ReleasableTo">
    <w:name w:val="ReleasableTo"/>
    <w:basedOn w:val="Normal"/>
    <w:pPr>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ind w:left="0"/>
      <w:jc w:val="right"/>
    </w:pPr>
    <w:rPr>
      <w:sz w:val="28"/>
    </w:rPr>
  </w:style>
  <w:style w:type="table" w:customStyle="1" w:styleId="TableGrid2">
    <w:name w:val="Table Grid2"/>
    <w:basedOn w:val="TableNormal"/>
    <w:next w:val="TableGrid"/>
    <w:uiPriority w:val="59"/>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ummuga loetelu Char,Bullet alinea Char,Dot pt Char,F5 List Paragraph Char,List Paragraph1 Char,No Spacing1 Char,List Paragraph Char Char Char Char,Indicator Text Char,Numbered Para 1 Char,Bullet 1 Char,Bullet Points Char"/>
    <w:basedOn w:val="DefaultParagraphFont"/>
    <w:link w:val="ListParagraph"/>
    <w:uiPriority w:val="34"/>
    <w:qFormat/>
    <w:locked/>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ind w:left="0"/>
      <w:jc w:val="both"/>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78693">
      <w:bodyDiv w:val="1"/>
      <w:marLeft w:val="0"/>
      <w:marRight w:val="0"/>
      <w:marTop w:val="0"/>
      <w:marBottom w:val="0"/>
      <w:divBdr>
        <w:top w:val="none" w:sz="0" w:space="0" w:color="auto"/>
        <w:left w:val="none" w:sz="0" w:space="0" w:color="auto"/>
        <w:bottom w:val="none" w:sz="0" w:space="0" w:color="auto"/>
        <w:right w:val="none" w:sz="0" w:space="0" w:color="auto"/>
      </w:divBdr>
    </w:div>
    <w:div w:id="138810810">
      <w:bodyDiv w:val="1"/>
      <w:marLeft w:val="0"/>
      <w:marRight w:val="0"/>
      <w:marTop w:val="0"/>
      <w:marBottom w:val="0"/>
      <w:divBdr>
        <w:top w:val="none" w:sz="0" w:space="0" w:color="auto"/>
        <w:left w:val="none" w:sz="0" w:space="0" w:color="auto"/>
        <w:bottom w:val="none" w:sz="0" w:space="0" w:color="auto"/>
        <w:right w:val="none" w:sz="0" w:space="0" w:color="auto"/>
      </w:divBdr>
    </w:div>
    <w:div w:id="160581979">
      <w:bodyDiv w:val="1"/>
      <w:marLeft w:val="0"/>
      <w:marRight w:val="0"/>
      <w:marTop w:val="0"/>
      <w:marBottom w:val="0"/>
      <w:divBdr>
        <w:top w:val="none" w:sz="0" w:space="0" w:color="auto"/>
        <w:left w:val="none" w:sz="0" w:space="0" w:color="auto"/>
        <w:bottom w:val="none" w:sz="0" w:space="0" w:color="auto"/>
        <w:right w:val="none" w:sz="0" w:space="0" w:color="auto"/>
      </w:divBdr>
    </w:div>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317461813">
      <w:bodyDiv w:val="1"/>
      <w:marLeft w:val="0"/>
      <w:marRight w:val="0"/>
      <w:marTop w:val="0"/>
      <w:marBottom w:val="0"/>
      <w:divBdr>
        <w:top w:val="none" w:sz="0" w:space="0" w:color="auto"/>
        <w:left w:val="none" w:sz="0" w:space="0" w:color="auto"/>
        <w:bottom w:val="none" w:sz="0" w:space="0" w:color="auto"/>
        <w:right w:val="none" w:sz="0" w:space="0" w:color="auto"/>
      </w:divBdr>
    </w:div>
    <w:div w:id="414206980">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20641078">
      <w:bodyDiv w:val="1"/>
      <w:marLeft w:val="0"/>
      <w:marRight w:val="0"/>
      <w:marTop w:val="0"/>
      <w:marBottom w:val="0"/>
      <w:divBdr>
        <w:top w:val="none" w:sz="0" w:space="0" w:color="auto"/>
        <w:left w:val="none" w:sz="0" w:space="0" w:color="auto"/>
        <w:bottom w:val="none" w:sz="0" w:space="0" w:color="auto"/>
        <w:right w:val="none" w:sz="0" w:space="0" w:color="auto"/>
      </w:divBdr>
    </w:div>
    <w:div w:id="773593049">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890455733">
      <w:bodyDiv w:val="1"/>
      <w:marLeft w:val="0"/>
      <w:marRight w:val="0"/>
      <w:marTop w:val="0"/>
      <w:marBottom w:val="0"/>
      <w:divBdr>
        <w:top w:val="none" w:sz="0" w:space="0" w:color="auto"/>
        <w:left w:val="none" w:sz="0" w:space="0" w:color="auto"/>
        <w:bottom w:val="none" w:sz="0" w:space="0" w:color="auto"/>
        <w:right w:val="none" w:sz="0" w:space="0" w:color="auto"/>
      </w:divBdr>
    </w:div>
    <w:div w:id="1174806743">
      <w:bodyDiv w:val="1"/>
      <w:marLeft w:val="0"/>
      <w:marRight w:val="0"/>
      <w:marTop w:val="0"/>
      <w:marBottom w:val="0"/>
      <w:divBdr>
        <w:top w:val="none" w:sz="0" w:space="0" w:color="auto"/>
        <w:left w:val="none" w:sz="0" w:space="0" w:color="auto"/>
        <w:bottom w:val="none" w:sz="0" w:space="0" w:color="auto"/>
        <w:right w:val="none" w:sz="0" w:space="0" w:color="auto"/>
      </w:divBdr>
    </w:div>
    <w:div w:id="1195384713">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14977258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sChild>
    </w:div>
    <w:div w:id="1775440897">
      <w:bodyDiv w:val="1"/>
      <w:marLeft w:val="0"/>
      <w:marRight w:val="0"/>
      <w:marTop w:val="0"/>
      <w:marBottom w:val="0"/>
      <w:divBdr>
        <w:top w:val="none" w:sz="0" w:space="0" w:color="auto"/>
        <w:left w:val="none" w:sz="0" w:space="0" w:color="auto"/>
        <w:bottom w:val="none" w:sz="0" w:space="0" w:color="auto"/>
        <w:right w:val="none" w:sz="0" w:space="0" w:color="auto"/>
      </w:divBdr>
    </w:div>
    <w:div w:id="206957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image" Target="media/image57.emf"/><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header" Target="header6.xml"/><Relationship Id="rId79"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8.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58.emf"/><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footer" Target="footer4.xml"/><Relationship Id="rId80" Type="http://schemas.openxmlformats.org/officeDocument/2006/relationships/header" Target="header8.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5.xml"/><Relationship Id="rId78" Type="http://schemas.openxmlformats.org/officeDocument/2006/relationships/image" Target="media/image59.emf"/><Relationship Id="rId81" Type="http://schemas.openxmlformats.org/officeDocument/2006/relationships/footer" Target="footer7.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consilium.europa.eu/media/38387/housing-note-eg-26-02-2019-technical-note.pdf" TargetMode="External"/><Relationship Id="rId2" Type="http://schemas.openxmlformats.org/officeDocument/2006/relationships/hyperlink" Target="https://ec.europa.eu/info/business-economy-euro/economic-and-fiscal-policy-coordination/eu-economic-governance-monitoring-prevention-correction/macroeconomic-imbalance-procedure/scoreboard_en." TargetMode="External"/><Relationship Id="rId1" Type="http://schemas.openxmlformats.org/officeDocument/2006/relationships/hyperlink" Target="https://www.policyuncertainty.com/wui_quarterl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AB560-C87A-4528-B4DA-B5F0E62B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65</Pages>
  <Words>15793</Words>
  <Characters>133612</Characters>
  <Application>Microsoft Office Word</Application>
  <DocSecurity>0</DocSecurity>
  <Lines>1830</Lines>
  <Paragraphs>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PAREDES ECHAURI Cristina (SG)</cp:lastModifiedBy>
  <cp:revision>59</cp:revision>
  <cp:lastPrinted>2019-12-12T17:06:00Z</cp:lastPrinted>
  <dcterms:created xsi:type="dcterms:W3CDTF">2019-12-13T08:36:00Z</dcterms:created>
  <dcterms:modified xsi:type="dcterms:W3CDTF">2019-12-20T15:21:00Z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CP-003</vt:lpwstr>
  </property>
</Properties>
</file>