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D473D974-3DD6-4E80-B091-BDC13F2314BA" style="width:450.8pt;height:420.2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keepNext/>
        <w:keepLines/>
        <w:jc w:val="center"/>
        <w:outlineLvl w:val="0"/>
        <w:rPr>
          <w:rFonts w:cstheme="majorBidi"/>
          <w:b/>
          <w:bCs/>
          <w:caps/>
          <w:noProof/>
          <w:szCs w:val="28"/>
        </w:rPr>
      </w:pPr>
      <w:bookmarkStart w:id="1" w:name="_GoBack"/>
      <w:bookmarkEnd w:id="1"/>
      <w:r>
        <w:rPr>
          <w:rFonts w:ascii="Times New Roman Bold" w:hAnsi="Times New Roman Bold"/>
          <w:b/>
          <w:bCs/>
          <w:caps/>
          <w:noProof/>
          <w:szCs w:val="28"/>
        </w:rPr>
        <w:lastRenderedPageBreak/>
        <w:t>Bijlage 1.1</w:t>
      </w:r>
    </w:p>
    <w:p>
      <w:pPr>
        <w:jc w:val="center"/>
        <w:rPr>
          <w:rFonts w:cs="Times New Roman"/>
          <w:b/>
          <w:bCs/>
          <w:noProof/>
        </w:rPr>
      </w:pPr>
      <w:r>
        <w:rPr>
          <w:b/>
          <w:bCs/>
          <w:noProof/>
        </w:rPr>
        <w:t xml:space="preserve">ESI-fondsen – door de programma’s gerapporteerde cumulatieve financiële uitvoering per thematische doelstelling tot </w:t>
      </w:r>
      <w:r>
        <w:rPr>
          <w:b/>
          <w:bCs/>
          <w:noProof/>
          <w:u w:val="single"/>
        </w:rPr>
        <w:t>31 december 2018</w:t>
      </w:r>
      <w:r>
        <w:rPr>
          <w:b/>
          <w:bCs/>
          <w:noProof/>
        </w:rPr>
        <w:t xml:space="preserve"> (in totale kosten, met selectie- en uitgavenvolumes)</w:t>
      </w:r>
    </w:p>
    <w:p>
      <w:pPr>
        <w:jc w:val="center"/>
        <w:rPr>
          <w:rFonts w:cs="Times New Roman"/>
          <w:b/>
          <w:bCs/>
          <w:i/>
          <w:iCs/>
          <w:noProof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1588"/>
        <w:gridCol w:w="1417"/>
        <w:gridCol w:w="1418"/>
        <w:gridCol w:w="1275"/>
        <w:gridCol w:w="1134"/>
        <w:gridCol w:w="993"/>
        <w:gridCol w:w="1134"/>
      </w:tblGrid>
      <w:tr>
        <w:trPr>
          <w:trHeight w:val="78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Thematische doelstellingen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Gepland EU-bedrag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Totaal gepland bedrag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Totale subsidiabele kosten van de geselecteerde projecten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Totale door de geselecteerde projecten gerapporteerde uitgaven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Selectiepercentage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Uitgavenpercentage</w:t>
            </w:r>
          </w:p>
        </w:tc>
      </w:tr>
      <w:tr>
        <w:trPr>
          <w:trHeight w:val="5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(alleen EU)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(EU en nationaal)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29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miljoen EUR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miljoen EUR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miljoen EUR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miljoen EUR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Onderzoek en innovatie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40 146,2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59 922,0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42 611,3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11 739,6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Informatie- en communicatietechnologie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12 429,8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18 167,3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12 278,7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2 708,7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Concurrentievermogen van kmo’s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57 186,8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85 854,0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62 514,5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28 039,9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Koolstofarme economie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34 576,1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49 228,1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31 770,5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9 144,4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65 %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Aanpassing aan klimaatverandering en risicopreventie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26 319,6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38 840,7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29 543,6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18 142,2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76 %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47 %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Milieubescherming en hulpbronnenefficiëntie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52 683,4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73 817,9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52 037,5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25 063,7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Netwerkinfrastructuur voor vervoer en energie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54 287,8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65 246,3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56 356,4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19 749,1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86 %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Duurzame en kwalitatief hoogstaande werkgelegenheid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36 356,8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49 476,0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34 550,4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15 582,9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Sociale inclusie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38 451,9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54 191,0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36 393,8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13 243,6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67 %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Onderwijs en beroepsopleiding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28 149,5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40 874,0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28 340,1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11 026,7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69 %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Efficiënt openbaar bestuur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4 810,8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6 132,9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4 395,7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1 148,0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Ultraperifere en dun bevolkte gebieden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180 %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ind w:right="-136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BM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Beëindigde maatregelen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48 %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Diverse thematische doelstellingen (EFRO/CF/ESF)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61 803,1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84 293,5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61 753,3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18 858,0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TB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Technische bijstand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19 016,9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11 701,6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5 004,6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62 %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26 %</w:t>
            </w:r>
          </w:p>
        </w:tc>
      </w:tr>
      <w:tr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Algemeen totaal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461 103,3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645 449,4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464 408,8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179 930,1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72 %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28 %</w:t>
            </w:r>
          </w:p>
        </w:tc>
      </w:tr>
    </w:tbl>
    <w:p>
      <w:pPr>
        <w:jc w:val="left"/>
        <w:rPr>
          <w:rFonts w:cs="Times New Roman"/>
          <w:bCs/>
          <w:i/>
          <w:iCs/>
          <w:noProof/>
          <w:sz w:val="20"/>
          <w:szCs w:val="20"/>
        </w:rPr>
      </w:pPr>
      <w:r>
        <w:rPr>
          <w:bCs/>
          <w:i/>
          <w:iCs/>
          <w:noProof/>
          <w:sz w:val="20"/>
          <w:szCs w:val="20"/>
        </w:rPr>
        <w:t xml:space="preserve">Bron: Open Data ESIF – </w:t>
      </w:r>
      <w:hyperlink r:id="rId15" w:history="1">
        <w:r>
          <w:rPr>
            <w:rStyle w:val="Hyperlink"/>
            <w:i/>
            <w:iCs/>
            <w:noProof/>
            <w:sz w:val="20"/>
            <w:szCs w:val="20"/>
          </w:rPr>
          <w:t>https://cohesiondata.ec.europa.eu/d/99js-gm52</w:t>
        </w:r>
      </w:hyperlink>
      <w:r>
        <w:rPr>
          <w:bCs/>
          <w:i/>
          <w:iCs/>
          <w:noProof/>
          <w:sz w:val="20"/>
          <w:szCs w:val="20"/>
        </w:rPr>
        <w:t xml:space="preserve"> per 5 november 2019</w:t>
      </w:r>
    </w:p>
    <w:p>
      <w:pPr>
        <w:keepNext/>
        <w:keepLines/>
        <w:jc w:val="center"/>
        <w:outlineLvl w:val="0"/>
        <w:rPr>
          <w:rFonts w:ascii="Times New Roman Bold" w:eastAsia="Times New Roman" w:hAnsi="Times New Roman Bold" w:cstheme="majorBidi"/>
          <w:b/>
          <w:bCs/>
          <w:caps/>
          <w:noProof/>
          <w:szCs w:val="28"/>
        </w:rPr>
      </w:pPr>
      <w:r>
        <w:rPr>
          <w:noProof/>
        </w:rPr>
        <w:br w:type="page"/>
      </w:r>
      <w:r>
        <w:rPr>
          <w:rFonts w:ascii="Times New Roman Bold" w:hAnsi="Times New Roman Bold"/>
          <w:b/>
          <w:bCs/>
          <w:caps/>
          <w:noProof/>
          <w:szCs w:val="28"/>
        </w:rPr>
        <w:lastRenderedPageBreak/>
        <w:t>Bijlage 1.2</w:t>
      </w:r>
    </w:p>
    <w:p>
      <w:pPr>
        <w:rPr>
          <w:noProof/>
        </w:rPr>
      </w:pPr>
    </w:p>
    <w:p>
      <w:pPr>
        <w:jc w:val="center"/>
        <w:rPr>
          <w:rFonts w:cs="Times New Roman"/>
          <w:b/>
          <w:bCs/>
          <w:noProof/>
        </w:rPr>
      </w:pPr>
      <w:r>
        <w:rPr>
          <w:b/>
          <w:bCs/>
          <w:noProof/>
        </w:rPr>
        <w:t xml:space="preserve">ESI-fondsen – door de programma’s gerapporteerde cumulatieve financiële uitvoering per thematische doelstelling tot </w:t>
      </w:r>
      <w:r>
        <w:rPr>
          <w:b/>
          <w:bCs/>
          <w:noProof/>
          <w:u w:val="single"/>
        </w:rPr>
        <w:t>30 september 2019</w:t>
      </w:r>
      <w:r>
        <w:rPr>
          <w:b/>
          <w:bCs/>
          <w:noProof/>
        </w:rPr>
        <w:t xml:space="preserve"> (in totale kosten, met selectie- en uitgavenvolumes)</w:t>
      </w:r>
    </w:p>
    <w:p>
      <w:pPr>
        <w:jc w:val="center"/>
        <w:rPr>
          <w:rFonts w:cs="Times New Roman"/>
          <w:b/>
          <w:bCs/>
          <w:noProof/>
        </w:rPr>
      </w:pPr>
      <w:r>
        <w:rPr>
          <w:b/>
          <w:bCs/>
          <w:i/>
          <w:iCs/>
          <w:noProof/>
        </w:rPr>
        <w:t>Gegevens Cohesiefonds van 30-9-2019 – gegevens Elfpo en EFMZV van 31-12-2018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1418"/>
        <w:gridCol w:w="1275"/>
        <w:gridCol w:w="1134"/>
        <w:gridCol w:w="993"/>
        <w:gridCol w:w="1134"/>
      </w:tblGrid>
      <w:tr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Thematische doelstellingen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Gepland EU-bedrag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Totaal gepland bedrag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Totale subsidiabele kosten van de geselecteerde projecten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Totale door de geselecteerde projecten gerapporteerde uitgaven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Selectiepercentage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Uitgavenpercentage</w:t>
            </w:r>
          </w:p>
        </w:tc>
      </w:tr>
      <w:tr>
        <w:trPr>
          <w:trHeight w:val="5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(alleen EU)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(EU en nationaal)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miljoen EUR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miljoen EUR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miljoen EUR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miljoen EUR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Onderzoek en innovatie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39 987,8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59 665,2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46 645,3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14 399,9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78 %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Informatie- en communicatietechnologie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12 266,5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17 837,8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13 771,4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3 360,7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Concurrentievermogen van kmo’s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57 376,7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85 468,5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64 626,1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33 524,2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76 %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Koolstofarme economie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48 814,0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35 014,0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11 377,2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Aanpassing aan klimaatverandering en risicopreventie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26 321,1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38 433,9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29 717,6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20 396,7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53 %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Milieubescherming en hulpbronnenefficiëntie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52 765,8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73 445,8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53 936,1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28 647,0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Netwerkinfrastructuur voor vervoer en energie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54 210,3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65 146,9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59 843,2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22 992,6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92 %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Duurzame en kwalitatief hoogstaande werkgelegenheid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36 269,0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49 308,7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36 966,4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17 137,8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75 %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Sociale inclusie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38 558,1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54 281,1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39 435,1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16 129,6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Onderwijs en beroepsopleiding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28 096,7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40 778,0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31 088,8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13 242,7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76 %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Efficiënt openbaar bestuur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4 797,1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6 116,4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5 017,1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1 419,9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82 %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Ultraperifere en dun bevolkte gebieden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87 %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200 %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ind w:right="-136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Beëindigde maatregelen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61 %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Diverse thematische doelstellingen (EFRO/CF/ESF)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61 990,5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84 459,2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68 335,6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23 789,7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81 %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Technische bijstand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13 666,6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19 021,4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12 496,1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5 921,8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31 %</w:t>
            </w:r>
          </w:p>
        </w:tc>
      </w:tr>
      <w:tr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>
            <w:pPr>
              <w:spacing w:after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>
            <w:pPr>
              <w:spacing w:after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Algemeen totaal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460 930,9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643 152,1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497 084,4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212 876,6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77 %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>
            <w:pPr>
              <w:spacing w:after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33 %</w:t>
            </w:r>
          </w:p>
        </w:tc>
      </w:tr>
    </w:tbl>
    <w:p>
      <w:pPr>
        <w:rPr>
          <w:rFonts w:cs="Times New Roman"/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 xml:space="preserve">Bron: Open Data ESIF – </w:t>
      </w:r>
      <w:hyperlink r:id="rId16" w:history="1">
        <w:r>
          <w:rPr>
            <w:rStyle w:val="Hyperlink"/>
            <w:i/>
            <w:iCs/>
            <w:noProof/>
            <w:sz w:val="20"/>
            <w:szCs w:val="20"/>
          </w:rPr>
          <w:t>https://cohesiondata.ec.europa.eu/d/99js-gm52</w:t>
        </w:r>
      </w:hyperlink>
      <w:r>
        <w:rPr>
          <w:i/>
          <w:iCs/>
          <w:noProof/>
          <w:sz w:val="20"/>
          <w:szCs w:val="20"/>
        </w:rPr>
        <w:t xml:space="preserve"> per 5 november 2019</w:t>
      </w:r>
    </w:p>
    <w:p>
      <w:pPr>
        <w:rPr>
          <w:noProof/>
        </w:rPr>
      </w:pPr>
    </w:p>
    <w:p>
      <w:pPr>
        <w:keepNext/>
        <w:keepLines/>
        <w:jc w:val="center"/>
        <w:outlineLvl w:val="0"/>
        <w:rPr>
          <w:rFonts w:ascii="Times New Roman Bold" w:eastAsia="Times New Roman" w:hAnsi="Times New Roman Bold" w:cstheme="majorBidi"/>
          <w:b/>
          <w:bCs/>
          <w:caps/>
          <w:noProof/>
          <w:szCs w:val="28"/>
        </w:rPr>
      </w:pPr>
      <w:r>
        <w:rPr>
          <w:rFonts w:ascii="Times New Roman Bold" w:hAnsi="Times New Roman Bold"/>
          <w:b/>
          <w:bCs/>
          <w:caps/>
          <w:noProof/>
          <w:szCs w:val="28"/>
        </w:rPr>
        <w:t>Bijlage 2.1</w:t>
      </w:r>
    </w:p>
    <w:p>
      <w:pPr>
        <w:jc w:val="center"/>
        <w:rPr>
          <w:rFonts w:cs="Times New Roman"/>
          <w:b/>
          <w:bCs/>
          <w:noProof/>
        </w:rPr>
      </w:pPr>
      <w:r>
        <w:rPr>
          <w:b/>
          <w:bCs/>
          <w:noProof/>
        </w:rPr>
        <w:t xml:space="preserve">ESI-fondsen – door de programma’s gerapporteerde cumulatieve financiële uitvoering per lidstaat tot </w:t>
      </w:r>
      <w:r>
        <w:rPr>
          <w:b/>
          <w:bCs/>
          <w:noProof/>
          <w:u w:val="single"/>
        </w:rPr>
        <w:t>31 december 2018</w:t>
      </w:r>
      <w:r>
        <w:rPr>
          <w:b/>
          <w:bCs/>
          <w:noProof/>
        </w:rPr>
        <w:t xml:space="preserve"> (in totale kosten, met selectie- en uitgavenvolumes)</w:t>
      </w:r>
    </w:p>
    <w:p>
      <w:pPr>
        <w:rPr>
          <w:rFonts w:cs="Times New Roman"/>
          <w:b/>
          <w:bCs/>
          <w:noProof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4"/>
        <w:gridCol w:w="1024"/>
        <w:gridCol w:w="894"/>
        <w:gridCol w:w="1094"/>
        <w:gridCol w:w="1250"/>
        <w:gridCol w:w="1910"/>
        <w:gridCol w:w="1546"/>
      </w:tblGrid>
      <w:tr>
        <w:trPr>
          <w:trHeight w:val="520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Toegewezen EU-bedrag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Totaal gepland bedrag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Totale subsidiabele kosten van de geselecteerde projecten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Totale door de geselecteerde projecten gerapporteerde uitgaven</w:t>
            </w: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eind 2017</w:t>
            </w: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</w:rPr>
            </w:pP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miljoen EUR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Projectselectiepercentage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Uitgavenpercentage</w:t>
            </w:r>
          </w:p>
        </w:tc>
      </w:tr>
      <w:tr>
        <w:trPr>
          <w:trHeight w:val="26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noProof/>
                <w:sz w:val="20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2014-2020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(EU en nationaal)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eind 2017 </w:t>
            </w: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</w:tr>
      <w:tr>
        <w:trPr>
          <w:trHeight w:val="70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noProof/>
                <w:sz w:val="20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miljoen EUR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miljoen EUR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miljoen EUR</w:t>
            </w: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  <w:tc>
          <w:tcPr>
            <w:tcW w:w="10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Oostenrijk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4 922,9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10 661,4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7 211,2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4 735,5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44 %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België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2 741,7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6 088,8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5 033,1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1 558,4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83 %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Bulgarije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9 876,1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11 726,4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8 027,8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3 156,2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Kroatië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10 727,4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12 649,1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8 740,3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2 178,1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69 %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Cyprus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917,3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1 169,7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986,9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438,8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84 %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Tsjechië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23 865,0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33 402,3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21 123,4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8 239,1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63 %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Denemarken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1 546,8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2 276,5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1 610,5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708,3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Estland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4 423,5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5 779,0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4 190,0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1 929,7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Finland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3 765,0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8 435,2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7 405,8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4 668,0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88 %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Frankrijk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27 506,2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45 929,2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31 400,5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16 182,6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Duitsland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27 935,0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44 765,4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32 361,1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15 117,4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Griekenland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21 382,0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26 780,4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19 259,3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6 657,1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Hongarije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25 013,9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29 649,6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31 434,6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7 897,3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106 %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Interreg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9 410,3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12 633,3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9 717,1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2 005,6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Ierland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3 361,6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6 139,7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5 728,0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2 963,3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93 %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48 %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Italië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44 656,1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75 164,5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49 948,2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17 460,3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Letland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5 633,7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6 907,2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5 583,0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2 118,6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81 %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Litouwen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8 436,0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9 997,3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6 873,0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3 294,2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69 %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Luxemburg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140,1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456,4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309,4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205,2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45 %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Malta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827,9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1 023,9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908,7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311,4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89 %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Nederland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1 947,4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3 802,6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3 125,5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1 289,8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82 %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Polen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86 111,6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104 916,2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76 918,8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26 879,0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Portugal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25 856,1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32 809,5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27 298,8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11 943,6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83 %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36 %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Roemenië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30 882,6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36 742,0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26 741,5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8 815,7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Slowakije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15 260,4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19 519,9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13 938,7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4 355,0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Slovenië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3 930,6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4 958,0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3 793,9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1 348,1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Spanje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39 950,9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56 318,0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30 030,6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12 569,5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53 %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Zweden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3 626,7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8 053,0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5 909,1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3 101,2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Verenigd Koninkrijk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16 448,4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26 694,8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18 799,9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7 803,1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29 %</w:t>
            </w:r>
          </w:p>
        </w:tc>
      </w:tr>
      <w:tr>
        <w:trPr>
          <w:trHeight w:val="26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>
            <w:pPr>
              <w:spacing w:before="120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Algemeen totaal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461 103,3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645 449,4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464 408,8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179 930,1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72 %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28 %</w:t>
            </w:r>
          </w:p>
        </w:tc>
      </w:tr>
    </w:tbl>
    <w:p>
      <w:pPr>
        <w:rPr>
          <w:rFonts w:cs="Times New Roman"/>
          <w:bCs/>
          <w:i/>
          <w:iCs/>
          <w:noProof/>
          <w:sz w:val="20"/>
        </w:rPr>
      </w:pPr>
      <w:r>
        <w:rPr>
          <w:bCs/>
          <w:i/>
          <w:iCs/>
          <w:noProof/>
          <w:sz w:val="20"/>
        </w:rPr>
        <w:t xml:space="preserve">Bron: Open Data ESIF – </w:t>
      </w:r>
      <w:hyperlink r:id="rId17" w:history="1">
        <w:r>
          <w:rPr>
            <w:rStyle w:val="Hyperlink"/>
            <w:i/>
            <w:iCs/>
            <w:noProof/>
            <w:sz w:val="20"/>
          </w:rPr>
          <w:t>https://cohesiondata.ec.europa.eu/d/99js-gm52</w:t>
        </w:r>
      </w:hyperlink>
      <w:r>
        <w:rPr>
          <w:bCs/>
          <w:i/>
          <w:iCs/>
          <w:noProof/>
          <w:sz w:val="20"/>
        </w:rPr>
        <w:t xml:space="preserve"> per 5 november 2019</w:t>
      </w:r>
    </w:p>
    <w:p>
      <w:pPr>
        <w:rPr>
          <w:rFonts w:cs="Times New Roman"/>
          <w:i/>
          <w:iCs/>
          <w:noProof/>
          <w:sz w:val="20"/>
          <w:szCs w:val="20"/>
        </w:rPr>
      </w:pPr>
    </w:p>
    <w:p>
      <w:pPr>
        <w:keepNext/>
        <w:keepLines/>
        <w:jc w:val="center"/>
        <w:outlineLvl w:val="0"/>
        <w:rPr>
          <w:rFonts w:eastAsia="Times New Roman" w:cs="Times New Roman"/>
          <w:b/>
          <w:bCs/>
          <w:caps/>
          <w:noProof/>
          <w:sz w:val="32"/>
          <w:szCs w:val="32"/>
        </w:rPr>
      </w:pPr>
      <w:r>
        <w:rPr>
          <w:noProof/>
        </w:rPr>
        <w:br w:type="page"/>
      </w:r>
      <w:r>
        <w:rPr>
          <w:rFonts w:ascii="Times New Roman Bold" w:hAnsi="Times New Roman Bold"/>
          <w:b/>
          <w:bCs/>
          <w:caps/>
          <w:noProof/>
          <w:szCs w:val="28"/>
        </w:rPr>
        <w:t>Bijlage 2.2</w:t>
      </w:r>
    </w:p>
    <w:p>
      <w:pPr>
        <w:jc w:val="center"/>
        <w:rPr>
          <w:rFonts w:cs="Times New Roman"/>
          <w:b/>
          <w:bCs/>
          <w:noProof/>
        </w:rPr>
      </w:pPr>
      <w:r>
        <w:rPr>
          <w:b/>
          <w:bCs/>
          <w:noProof/>
        </w:rPr>
        <w:t xml:space="preserve">ESI-fondsen – door de programma’s gerapporteerde cumulatieve financiële uitvoering per lidstaat tot </w:t>
      </w:r>
      <w:r>
        <w:rPr>
          <w:b/>
          <w:bCs/>
          <w:noProof/>
          <w:u w:val="single"/>
        </w:rPr>
        <w:t>30 september 2019</w:t>
      </w:r>
      <w:r>
        <w:rPr>
          <w:b/>
          <w:bCs/>
          <w:noProof/>
        </w:rPr>
        <w:t xml:space="preserve"> (in totale kosten, met selectie- en uitgavenvolumes)</w:t>
      </w:r>
    </w:p>
    <w:p>
      <w:pPr>
        <w:jc w:val="center"/>
        <w:rPr>
          <w:rFonts w:cs="Times New Roman"/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Gegevens Cohesiefonds van 30-9-2019 – gegevens Elfpo en EFMZV van 31-12-2018</w:t>
      </w:r>
    </w:p>
    <w:p>
      <w:pPr>
        <w:jc w:val="center"/>
        <w:rPr>
          <w:rFonts w:cs="Times New Roman"/>
          <w:b/>
          <w:bCs/>
          <w:noProof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4"/>
        <w:gridCol w:w="1024"/>
        <w:gridCol w:w="894"/>
        <w:gridCol w:w="1094"/>
        <w:gridCol w:w="1250"/>
        <w:gridCol w:w="1910"/>
        <w:gridCol w:w="1546"/>
      </w:tblGrid>
      <w:tr>
        <w:trPr>
          <w:trHeight w:val="520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Toegewezen EU-bedrag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Totaal gepland bedrag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Totale subsidiabele kosten van de geselecteerde projecten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Totale door de geselecteerde projecten gerapporteerde uitgaven</w:t>
            </w: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Najaar 2018</w:t>
            </w: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</w:rPr>
            </w:pP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miljoen EUR</w:t>
            </w:r>
          </w:p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Projectselectiepercentage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Uitgavenpercentage</w:t>
            </w:r>
          </w:p>
        </w:tc>
      </w:tr>
      <w:tr>
        <w:trPr>
          <w:trHeight w:val="260"/>
        </w:trPr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noProof/>
                <w:sz w:val="20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2014-2020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(EU en nationaal)</w:t>
            </w: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Najaar 2018 </w:t>
            </w: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</w:tr>
      <w:tr>
        <w:trPr>
          <w:trHeight w:val="70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noProof/>
                <w:sz w:val="20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miljoen EUR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miljoen EUR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miljoen EUR</w:t>
            </w: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>
            <w:pPr>
              <w:spacing w:after="0"/>
              <w:rPr>
                <w:rFonts w:cs="Times New Roman"/>
                <w:b/>
                <w:bCs/>
                <w:noProof/>
                <w:sz w:val="20"/>
              </w:rPr>
            </w:pP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Oostenrijk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4 922,9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10 660,8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7 657,1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5 210,4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49 %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België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2 741,7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6 088,8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5 107,1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1 905,2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84 %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Bulgarije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9 868,8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11 714,0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8 415,8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3 903,9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Kroatië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10 727,4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12 649,1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9 808,8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3 105,5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Cyprus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917,3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1 169,7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1 060,6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484,6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91 %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Tsjechië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23 865,0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32 739,6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23 214,4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10 489,2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Denemarken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1 546,8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2 316,6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1 732,5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800,4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75 %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Estland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4 423,5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5 779,0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4 510,7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2 328,2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Finland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3 765,0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8 435,2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7 650,3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5 066,4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91 %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60 %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Frankrijk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27 521,6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45 946,5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34 347,1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18 705,6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75 %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Duitsland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27 935,0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44 730,6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34 524,6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17 516,3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Griekenland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21 382,0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26 144,3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20 991,0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7 183,4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80 %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Hongarije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25 013,2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29 639,9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32 354,9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10 027,3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109 %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Interreg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9 410,0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12 631,1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10 809,9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2 863,0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86 %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Ierland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3 361,6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6 139,7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5 762,9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3 124,3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94 %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51 %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Italië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44 629,9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75 130,7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50 953,4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20 617,4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Letland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5 633,7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6 907,9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5 876,8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2 640,2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85 %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Litouwen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8 436,4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9 998,4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7 662,6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3 897,6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Luxemburg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140,1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456,4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309,4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246,6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54 %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Malta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827,9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1 022,1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941,2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375,2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92 %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Nederland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1 947,4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3 802,6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3 291,3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1 525,0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87 %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Polen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86 108,6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104 912,6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82 582,5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33 745,1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79 %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Portugal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25 856,1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33 043,1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29 244,2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13 350,1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89 %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Roemenië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30 882,6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36 742,0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30 357,6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10 023,2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83 %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Slowakije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15 137,2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19 349,4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14 996,5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5 118,7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Slovenië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3 928,7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4 955,4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3 793,9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1 430,5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Spanje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39 948,8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56 303,7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32 370,3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13 877,3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57 %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Zweden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3 626,4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7 099,4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6 044,2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3 586,3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85 %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51 %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Verenigd Koninkrijk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16 425,1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26 643,5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20 712,7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9 730,1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37 %</w:t>
            </w:r>
          </w:p>
        </w:tc>
      </w:tr>
      <w:tr>
        <w:trPr>
          <w:trHeight w:val="2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>
            <w:pPr>
              <w:spacing w:before="120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Algemeen totaal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460 930,9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643 152,1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497 084,4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212 876,6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77 %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>
            <w:pPr>
              <w:spacing w:before="120"/>
              <w:jc w:val="right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33 %</w:t>
            </w:r>
          </w:p>
        </w:tc>
      </w:tr>
    </w:tbl>
    <w:p>
      <w:pPr>
        <w:rPr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 xml:space="preserve">Bron: Open Data ESIF – </w:t>
      </w:r>
      <w:hyperlink r:id="rId18" w:history="1">
        <w:r>
          <w:rPr>
            <w:rStyle w:val="Hyperlink"/>
            <w:i/>
            <w:iCs/>
            <w:noProof/>
            <w:sz w:val="20"/>
            <w:szCs w:val="20"/>
          </w:rPr>
          <w:t>https://cohesiondata.ec.europa.eu/d/99js-gm52</w:t>
        </w:r>
      </w:hyperlink>
      <w:r>
        <w:rPr>
          <w:i/>
          <w:iCs/>
          <w:noProof/>
          <w:sz w:val="20"/>
          <w:szCs w:val="20"/>
        </w:rPr>
        <w:t xml:space="preserve"> per 5 november 2019</w:t>
      </w:r>
    </w:p>
    <w:p>
      <w:pPr>
        <w:rPr>
          <w:noProof/>
        </w:rPr>
      </w:pPr>
      <w:r>
        <w:rPr>
          <w:noProof/>
        </w:rPr>
        <w:br w:type="page"/>
      </w:r>
    </w:p>
    <w:p>
      <w:pPr>
        <w:keepNext/>
        <w:keepLines/>
        <w:jc w:val="center"/>
        <w:outlineLvl w:val="0"/>
        <w:rPr>
          <w:rFonts w:eastAsia="Times New Roman" w:cs="Times New Roman"/>
          <w:b/>
          <w:bCs/>
          <w:caps/>
          <w:noProof/>
          <w:sz w:val="32"/>
          <w:szCs w:val="32"/>
        </w:rPr>
      </w:pPr>
      <w:r>
        <w:rPr>
          <w:rFonts w:ascii="Times New Roman Bold" w:hAnsi="Times New Roman Bold"/>
          <w:b/>
          <w:bCs/>
          <w:caps/>
          <w:noProof/>
          <w:szCs w:val="28"/>
        </w:rPr>
        <w:t>Bijlage 3</w:t>
      </w:r>
    </w:p>
    <w:p>
      <w:pPr>
        <w:jc w:val="center"/>
        <w:rPr>
          <w:rFonts w:cs="Times New Roman"/>
          <w:b/>
          <w:bCs/>
          <w:noProof/>
        </w:rPr>
      </w:pPr>
      <w:r>
        <w:rPr>
          <w:b/>
          <w:bCs/>
          <w:noProof/>
        </w:rPr>
        <w:t>ESI-fondsen – geplande bedragen voor klimaatdoelstellingen en selectiepercentages aan het eind van 2018</w:t>
      </w:r>
    </w:p>
    <w:p>
      <w:pPr>
        <w:rPr>
          <w:rFonts w:cs="Times New Roman"/>
          <w:noProof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13"/>
        <w:gridCol w:w="751"/>
        <w:gridCol w:w="865"/>
        <w:gridCol w:w="766"/>
        <w:gridCol w:w="1031"/>
        <w:gridCol w:w="1556"/>
        <w:gridCol w:w="1460"/>
      </w:tblGrid>
      <w:tr>
        <w:trPr>
          <w:trHeight w:val="150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Fonds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Totaal gepland EU-bedrag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Totaal gepland EU-bedrag voor klimaatverandering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 xml:space="preserve">Totaal geselecteerd eind 2018 </w:t>
            </w:r>
            <w:r>
              <w:rPr>
                <w:noProof/>
              </w:rPr>
              <w:br/>
            </w:r>
            <w:r>
              <w:rPr>
                <w:b/>
                <w:bCs/>
                <w:noProof/>
              </w:rPr>
              <w:t>(geraamd EU-aandeel)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waarvan toegewezen aan acties op het gebied van klimaatverandering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Selectiepercentage van klimaatacties ten opzichte van alle geselecteerde activiteiten (2018)</w:t>
            </w:r>
          </w:p>
        </w:tc>
      </w:tr>
      <w:tr>
        <w:trPr>
          <w:trHeight w:val="6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>
            <w:pPr>
              <w:spacing w:after="0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miljard EUR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miljard EUR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miljard EUR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miljard EUR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 w:themeColor="text1"/>
                <w:szCs w:val="24"/>
              </w:rPr>
            </w:pPr>
            <w:r>
              <w:rPr>
                <w:b/>
                <w:bCs/>
                <w:noProof/>
              </w:rPr>
              <w:t>%</w:t>
            </w:r>
          </w:p>
        </w:tc>
      </w:tr>
      <w:tr>
        <w:trPr>
          <w:trHeight w:val="3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CF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63,3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17,4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28 %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55,1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15,4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szCs w:val="24"/>
              </w:rPr>
            </w:pPr>
            <w:r>
              <w:rPr>
                <w:noProof/>
              </w:rPr>
              <w:t>28 %</w:t>
            </w:r>
          </w:p>
        </w:tc>
      </w:tr>
      <w:tr>
        <w:trPr>
          <w:trHeight w:val="3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Elfpo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100,1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57,5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58 %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63,7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42,9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szCs w:val="24"/>
              </w:rPr>
            </w:pPr>
            <w:r>
              <w:rPr>
                <w:noProof/>
              </w:rPr>
              <w:t>41,7 %</w:t>
            </w:r>
          </w:p>
        </w:tc>
      </w:tr>
      <w:tr>
        <w:trPr>
          <w:trHeight w:val="3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EFMZV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17,5 %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2,5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0,44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szCs w:val="24"/>
              </w:rPr>
            </w:pPr>
            <w:r>
              <w:rPr>
                <w:noProof/>
              </w:rPr>
              <w:t>17,6 %</w:t>
            </w:r>
          </w:p>
        </w:tc>
      </w:tr>
      <w:tr>
        <w:trPr>
          <w:trHeight w:val="3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EFRO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199,2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tabs>
                <w:tab w:val="center" w:pos="459"/>
                <w:tab w:val="right" w:pos="918"/>
              </w:tabs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38,2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19 %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147,9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23,6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szCs w:val="24"/>
              </w:rPr>
            </w:pPr>
            <w:r>
              <w:rPr>
                <w:noProof/>
              </w:rPr>
              <w:t>16 %</w:t>
            </w:r>
          </w:p>
        </w:tc>
      </w:tr>
      <w:tr>
        <w:trPr>
          <w:trHeight w:val="30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ESF/ Jongerenwerkgelegenheidsinitiatief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92,8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1 %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91,9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5,8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right"/>
              <w:rPr>
                <w:rFonts w:cs="Times New Roman"/>
                <w:noProof/>
                <w:szCs w:val="24"/>
              </w:rPr>
            </w:pPr>
            <w:r>
              <w:rPr>
                <w:noProof/>
              </w:rPr>
              <w:t>8,9 %</w:t>
            </w:r>
          </w:p>
        </w:tc>
      </w:tr>
      <w:tr>
        <w:trPr>
          <w:trHeight w:val="30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>
            <w:pPr>
              <w:spacing w:before="120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Totaal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461,1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115,3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24,7 %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361,1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88,1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>
            <w:pPr>
              <w:spacing w:before="120"/>
              <w:jc w:val="right"/>
              <w:rPr>
                <w:rFonts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</w:rPr>
              <w:t>22,4 %</w:t>
            </w:r>
          </w:p>
        </w:tc>
      </w:tr>
    </w:tbl>
    <w:p>
      <w:pPr>
        <w:rPr>
          <w:rFonts w:cs="Times New Roman"/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>Bron: Europese Commissie</w:t>
      </w:r>
    </w:p>
    <w:p>
      <w:pPr>
        <w:rPr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94381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  <w:tabs>
        <w:tab w:val="clear" w:pos="4535"/>
        <w:tab w:val="clear" w:pos="9071"/>
        <w:tab w:val="clear" w:pos="9921"/>
        <w:tab w:val="left" w:pos="4005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B42F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14B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38A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C070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7C7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26C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2AB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688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96E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6259E"/>
    <w:multiLevelType w:val="hybridMultilevel"/>
    <w:tmpl w:val="C65EB4A4"/>
    <w:lvl w:ilvl="0" w:tplc="25DE3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202C00"/>
    <w:multiLevelType w:val="multilevel"/>
    <w:tmpl w:val="67E8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02C32E87"/>
    <w:multiLevelType w:val="hybridMultilevel"/>
    <w:tmpl w:val="62E4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2826DF"/>
    <w:multiLevelType w:val="hybridMultilevel"/>
    <w:tmpl w:val="DBD0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AB11A6"/>
    <w:multiLevelType w:val="multilevel"/>
    <w:tmpl w:val="6C48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065F2B7F"/>
    <w:multiLevelType w:val="hybridMultilevel"/>
    <w:tmpl w:val="412C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C99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E154D7"/>
    <w:multiLevelType w:val="hybridMultilevel"/>
    <w:tmpl w:val="E2906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9E2312"/>
    <w:multiLevelType w:val="multilevel"/>
    <w:tmpl w:val="6482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1B071441"/>
    <w:multiLevelType w:val="hybridMultilevel"/>
    <w:tmpl w:val="67D0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3701AC"/>
    <w:multiLevelType w:val="hybridMultilevel"/>
    <w:tmpl w:val="B132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746B3"/>
    <w:multiLevelType w:val="multilevel"/>
    <w:tmpl w:val="0088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8AF79C5"/>
    <w:multiLevelType w:val="hybridMultilevel"/>
    <w:tmpl w:val="9CD07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026CA8"/>
    <w:multiLevelType w:val="hybridMultilevel"/>
    <w:tmpl w:val="662AF1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2A995FBF"/>
    <w:multiLevelType w:val="hybridMultilevel"/>
    <w:tmpl w:val="6D20D8DE"/>
    <w:lvl w:ilvl="0" w:tplc="760AC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653717"/>
    <w:multiLevelType w:val="multilevel"/>
    <w:tmpl w:val="3412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2FEB78E3"/>
    <w:multiLevelType w:val="hybridMultilevel"/>
    <w:tmpl w:val="8A94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6D344F"/>
    <w:multiLevelType w:val="hybridMultilevel"/>
    <w:tmpl w:val="F1A0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6514C9"/>
    <w:multiLevelType w:val="multilevel"/>
    <w:tmpl w:val="2842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37E1778F"/>
    <w:multiLevelType w:val="hybridMultilevel"/>
    <w:tmpl w:val="05667E1C"/>
    <w:lvl w:ilvl="0" w:tplc="25DE3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2E6E93"/>
    <w:multiLevelType w:val="multilevel"/>
    <w:tmpl w:val="77F8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A97671A"/>
    <w:multiLevelType w:val="multilevel"/>
    <w:tmpl w:val="30E4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BBF3C59"/>
    <w:multiLevelType w:val="hybridMultilevel"/>
    <w:tmpl w:val="D41481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3EB14AE0"/>
    <w:multiLevelType w:val="multilevel"/>
    <w:tmpl w:val="917C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4506317E"/>
    <w:multiLevelType w:val="hybridMultilevel"/>
    <w:tmpl w:val="B64406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4636475D"/>
    <w:multiLevelType w:val="hybridMultilevel"/>
    <w:tmpl w:val="F3D4B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4D9754B7"/>
    <w:multiLevelType w:val="hybridMultilevel"/>
    <w:tmpl w:val="83AE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37022"/>
    <w:multiLevelType w:val="hybridMultilevel"/>
    <w:tmpl w:val="414ED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5361FD"/>
    <w:multiLevelType w:val="hybridMultilevel"/>
    <w:tmpl w:val="08DA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0909C5"/>
    <w:multiLevelType w:val="multilevel"/>
    <w:tmpl w:val="DC1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5B337E75"/>
    <w:multiLevelType w:val="multilevel"/>
    <w:tmpl w:val="5E40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61234F7B"/>
    <w:multiLevelType w:val="multilevel"/>
    <w:tmpl w:val="BC40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63AC0DF9"/>
    <w:multiLevelType w:val="multilevel"/>
    <w:tmpl w:val="6CC2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66B16778"/>
    <w:multiLevelType w:val="hybridMultilevel"/>
    <w:tmpl w:val="8CCA90B6"/>
    <w:lvl w:ilvl="0" w:tplc="25DE3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BB760F"/>
    <w:multiLevelType w:val="hybridMultilevel"/>
    <w:tmpl w:val="6F4A0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60974"/>
    <w:multiLevelType w:val="hybridMultilevel"/>
    <w:tmpl w:val="C97E8F1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5">
    <w:nsid w:val="752978AF"/>
    <w:multiLevelType w:val="hybridMultilevel"/>
    <w:tmpl w:val="866A1D96"/>
    <w:lvl w:ilvl="0" w:tplc="6FC2E61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643AD"/>
    <w:multiLevelType w:val="hybridMultilevel"/>
    <w:tmpl w:val="2474D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AD1710"/>
    <w:multiLevelType w:val="hybridMultilevel"/>
    <w:tmpl w:val="D960BBCE"/>
    <w:lvl w:ilvl="0" w:tplc="7A0E1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C09FA"/>
    <w:multiLevelType w:val="hybridMultilevel"/>
    <w:tmpl w:val="FB62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FD5F49"/>
    <w:multiLevelType w:val="hybridMultilevel"/>
    <w:tmpl w:val="80F4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28"/>
  </w:num>
  <w:num w:numId="4">
    <w:abstractNumId w:val="35"/>
  </w:num>
  <w:num w:numId="5">
    <w:abstractNumId w:val="36"/>
  </w:num>
  <w:num w:numId="6">
    <w:abstractNumId w:val="15"/>
  </w:num>
  <w:num w:numId="7">
    <w:abstractNumId w:val="34"/>
  </w:num>
  <w:num w:numId="8">
    <w:abstractNumId w:val="13"/>
  </w:num>
  <w:num w:numId="9">
    <w:abstractNumId w:val="4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27"/>
  </w:num>
  <w:num w:numId="21">
    <w:abstractNumId w:val="39"/>
  </w:num>
  <w:num w:numId="22">
    <w:abstractNumId w:val="41"/>
  </w:num>
  <w:num w:numId="23">
    <w:abstractNumId w:val="38"/>
  </w:num>
  <w:num w:numId="24">
    <w:abstractNumId w:val="17"/>
  </w:num>
  <w:num w:numId="25">
    <w:abstractNumId w:val="29"/>
  </w:num>
  <w:num w:numId="26">
    <w:abstractNumId w:val="24"/>
  </w:num>
  <w:num w:numId="27">
    <w:abstractNumId w:val="30"/>
  </w:num>
  <w:num w:numId="28">
    <w:abstractNumId w:val="14"/>
  </w:num>
  <w:num w:numId="29">
    <w:abstractNumId w:val="40"/>
  </w:num>
  <w:num w:numId="30">
    <w:abstractNumId w:val="11"/>
  </w:num>
  <w:num w:numId="31">
    <w:abstractNumId w:val="32"/>
  </w:num>
  <w:num w:numId="32">
    <w:abstractNumId w:val="26"/>
  </w:num>
  <w:num w:numId="33">
    <w:abstractNumId w:val="49"/>
  </w:num>
  <w:num w:numId="34">
    <w:abstractNumId w:val="42"/>
  </w:num>
  <w:num w:numId="35">
    <w:abstractNumId w:val="10"/>
  </w:num>
  <w:num w:numId="36">
    <w:abstractNumId w:val="16"/>
  </w:num>
  <w:num w:numId="37">
    <w:abstractNumId w:val="44"/>
  </w:num>
  <w:num w:numId="38">
    <w:abstractNumId w:val="18"/>
  </w:num>
  <w:num w:numId="39">
    <w:abstractNumId w:val="22"/>
  </w:num>
  <w:num w:numId="40">
    <w:abstractNumId w:val="21"/>
  </w:num>
  <w:num w:numId="41">
    <w:abstractNumId w:val="25"/>
  </w:num>
  <w:num w:numId="42">
    <w:abstractNumId w:val="12"/>
  </w:num>
  <w:num w:numId="43">
    <w:abstractNumId w:val="37"/>
  </w:num>
  <w:num w:numId="44">
    <w:abstractNumId w:val="47"/>
  </w:num>
  <w:num w:numId="45">
    <w:abstractNumId w:val="46"/>
  </w:num>
  <w:num w:numId="46">
    <w:abstractNumId w:val="23"/>
  </w:num>
  <w:num w:numId="47">
    <w:abstractNumId w:val="43"/>
  </w:num>
  <w:num w:numId="48">
    <w:abstractNumId w:val="31"/>
  </w:num>
  <w:num w:numId="49">
    <w:abstractNumId w:val="3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bij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D473D974-3DD6-4E80-B091-BDC13F2314BA"/>
    <w:docVar w:name="LW_COVERPAGE_TYPE" w:val="1"/>
    <w:docVar w:name="LW_CROSSREFERENCE" w:val="&lt;UNUSED&gt;"/>
    <w:docVar w:name="LW_DocType" w:val="NORMAL"/>
    <w:docVar w:name="LW_EMISSION" w:val="17.12.2019"/>
    <w:docVar w:name="LW_EMISSION_ISODATE" w:val="2019-12-17"/>
    <w:docVar w:name="LW_EMISSION_LOCATION" w:val="BRX"/>
    <w:docVar w:name="LW_EMISSION_PREFIX" w:val="Brussel, "/>
    <w:docVar w:name="LW_EMISSION_SUFFIX" w:val=" "/>
    <w:docVar w:name="LW_ID_DOCTYPE_NONLW" w:val="CP-039"/>
    <w:docVar w:name="LW_LANGUE" w:val="NL"/>
    <w:docVar w:name="LW_LEVEL_OF_SENSITIVITY" w:val="Standard treatment"/>
    <w:docVar w:name="LW_NOM.INST" w:val="EUROPESE COMMISSIE"/>
    <w:docVar w:name="LW_NOM.INST_JOINTDOC" w:val="&lt;EMPTY&gt;"/>
    <w:docVar w:name="LW_OBJETACTEPRINCIPAL.CP" w:val="&lt;FMT:Bold&gt;Strategisch verslag 2019 over de uitvoering van de Europese structuur- en investeringsfondsen&lt;/FMT&gt;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62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BIJLAGEN_x000b_"/>
    <w:docVar w:name="LW_TYPEACTEPRINCIPAL.CP" w:val="VERSLAG VAN DE COMMISSIE AAN HET EUROPEES PARLEMENT, DE RAAD, HET EUROPEES ECONOMISCH EN SOCIAAL COMITÉ EN HET COMITÉ VAN DE REGIO'S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caps/>
      <w:sz w:val="24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sz w:val="24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/>
      <w:bCs/>
      <w:i/>
      <w:sz w:val="24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,L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nl-NL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fn,Fußnote,Fotnotstext1,Footnote text,Footnote Text Char2,Footnote Text Char1 Char,Footnote Text Char Char Char,Footnote Text Char Char1,Footnote Text Char1 Char1"/>
    <w:basedOn w:val="Normal"/>
    <w:link w:val="FootnoteTextChar"/>
    <w:unhideWhenUsed/>
    <w:qFormat/>
    <w:pPr>
      <w:spacing w:after="0"/>
      <w:ind w:left="357" w:hanging="357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fn Char,Fußnote Char,Fotnotstext1 Char,Footnote text Char,Footnote Text Char2 Char,Footnote Text Char1 Char Char,Footnote Text Char Char Char Char"/>
    <w:basedOn w:val="DefaultParagraphFont"/>
    <w:link w:val="FootnoteText"/>
    <w:rPr>
      <w:rFonts w:ascii="Times New Roman" w:hAnsi="Times New Roman" w:cs="Times New Roman"/>
      <w:sz w:val="20"/>
      <w:szCs w:val="20"/>
      <w:lang w:val="nl-NL"/>
    </w:rPr>
  </w:style>
  <w:style w:type="character" w:styleId="FootnoteReference">
    <w:name w:val="footnote reference"/>
    <w:aliases w:val="Footnote symbol,Footnote Reference Number,Footnote reference number,Times 10 Point,Exposant 3 Point,EN Footnote Reference,note TESI,-E Fußnotenzeichen,SUPERS,Appel note de bas de p,Footnote Reference/,number,ftref"/>
    <w:basedOn w:val="DefaultParagraphFont"/>
    <w:link w:val="FootnotesymbolCarZchn"/>
    <w:uiPriority w:val="99"/>
    <w:unhideWhenUsed/>
    <w:qFormat/>
    <w:rPr>
      <w:vertAlign w:val="superscript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Pr>
      <w:rFonts w:ascii="Times New Roman" w:hAnsi="Times New Roman"/>
      <w:sz w:val="24"/>
      <w:lang w:val="nl-NL"/>
    </w:rPr>
  </w:style>
  <w:style w:type="paragraph" w:styleId="ListBullet5">
    <w:name w:val="List Bullet 5"/>
    <w:basedOn w:val="Normal"/>
    <w:autoRedefine/>
    <w:pPr>
      <w:numPr>
        <w:numId w:val="1"/>
      </w:numPr>
      <w:spacing w:after="240"/>
    </w:pPr>
    <w:rPr>
      <w:rFonts w:eastAsia="Times New Roman" w:cs="Times New Roman"/>
      <w:szCs w:val="20"/>
    </w:rPr>
  </w:style>
  <w:style w:type="paragraph" w:customStyle="1" w:styleId="SECTIONTITLE">
    <w:name w:val="SECTION TITLE"/>
    <w:basedOn w:val="Normal"/>
    <w:link w:val="SECTIONTITLEChar"/>
    <w:qFormat/>
    <w:pPr>
      <w:keepNext/>
      <w:spacing w:before="480"/>
    </w:pPr>
    <w:rPr>
      <w:b/>
      <w:bCs/>
      <w:caps/>
    </w:rPr>
  </w:style>
  <w:style w:type="paragraph" w:customStyle="1" w:styleId="Subsectiontitle">
    <w:name w:val="Subsection title"/>
    <w:basedOn w:val="Normal"/>
    <w:link w:val="SubsectiontitleChar"/>
    <w:qFormat/>
    <w:pPr>
      <w:spacing w:after="80"/>
    </w:pPr>
    <w:rPr>
      <w:bCs/>
      <w:i/>
      <w:sz w:val="20"/>
      <w:szCs w:val="20"/>
    </w:rPr>
  </w:style>
  <w:style w:type="character" w:customStyle="1" w:styleId="SECTIONTITLEChar">
    <w:name w:val="SECTION TITLE Char"/>
    <w:basedOn w:val="DefaultParagraphFont"/>
    <w:link w:val="SECTIONTITLE"/>
    <w:rPr>
      <w:rFonts w:ascii="Times New Roman" w:hAnsi="Times New Roman"/>
      <w:b/>
      <w:bCs/>
      <w:caps/>
      <w:sz w:val="24"/>
      <w:lang w:val="nl-NL"/>
    </w:rPr>
  </w:style>
  <w:style w:type="character" w:customStyle="1" w:styleId="SubsectiontitleChar">
    <w:name w:val="Subsection title Char"/>
    <w:basedOn w:val="DefaultParagraphFont"/>
    <w:link w:val="Subsectiontitle"/>
    <w:rPr>
      <w:rFonts w:ascii="Times New Roman" w:hAnsi="Times New Roman"/>
      <w:bCs/>
      <w:i/>
      <w:sz w:val="20"/>
      <w:szCs w:val="20"/>
      <w:lang w:val="nl-NL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nl-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nl-NL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</w:pPr>
    <w:rPr>
      <w:rFonts w:asciiTheme="minorHAnsi" w:hAnsiTheme="minorHAnsi"/>
      <w:sz w:val="22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aliases w:val="TR-Caption,Inscription,Beschriftung Char Char Char,Beschriftung Char Char,Caption-tables,Table legend,Tab_Überschrift,Figure reference,Caption1 Char Char Char Char Char Char Char Char,Beschriftung Char2 Char,Beschriftung Char1 Cha...,Char Char"/>
    <w:basedOn w:val="Normal"/>
    <w:next w:val="Normal"/>
    <w:link w:val="CaptionChar"/>
    <w:uiPriority w:val="35"/>
    <w:qFormat/>
    <w:pPr>
      <w:spacing w:before="120"/>
    </w:pPr>
    <w:rPr>
      <w:rFonts w:eastAsia="Times New Roman" w:cs="Times New Roman"/>
      <w:b/>
      <w:szCs w:val="20"/>
    </w:rPr>
  </w:style>
  <w:style w:type="character" w:customStyle="1" w:styleId="CaptionChar">
    <w:name w:val="Caption Char"/>
    <w:aliases w:val="TR-Caption Char,Inscription Char,Beschriftung Char Char Char Char,Beschriftung Char Char Char1,Caption-tables Char,Table legend Char,Tab_Überschrift Char,Figure reference Char,Caption1 Char Char Char Char Char Char Char Char Char"/>
    <w:link w:val="Caption"/>
    <w:uiPriority w:val="35"/>
    <w:locked/>
    <w:rPr>
      <w:rFonts w:ascii="Times New Roman" w:eastAsia="Times New Roman" w:hAnsi="Times New Roman" w:cs="Times New Roman"/>
      <w:b/>
      <w:sz w:val="24"/>
      <w:szCs w:val="20"/>
      <w:lang w:val="nl-NL"/>
    </w:rPr>
  </w:style>
  <w:style w:type="paragraph" w:customStyle="1" w:styleId="Chaptertitle">
    <w:name w:val="Chapter title"/>
    <w:basedOn w:val="Normal"/>
    <w:pPr>
      <w:keepNext/>
      <w:spacing w:before="480"/>
    </w:pPr>
    <w:rPr>
      <w:rFonts w:cs="Times New Roman"/>
      <w:b/>
      <w:caps/>
      <w:szCs w:val="24"/>
    </w:rPr>
  </w:style>
  <w:style w:type="paragraph" w:customStyle="1" w:styleId="Sub1">
    <w:name w:val="Sub 1"/>
    <w:basedOn w:val="Normal"/>
    <w:pPr>
      <w:keepNext/>
      <w:spacing w:before="120" w:after="80"/>
    </w:pPr>
    <w:rPr>
      <w:rFonts w:cs="Times New Roman"/>
      <w:b/>
      <w:bCs/>
      <w:i/>
      <w:szCs w:val="24"/>
    </w:rPr>
  </w:style>
  <w:style w:type="paragraph" w:customStyle="1" w:styleId="Sub2">
    <w:name w:val="Sub2"/>
    <w:basedOn w:val="Normal"/>
    <w:link w:val="Sub2Char"/>
    <w:pPr>
      <w:keepNext/>
      <w:spacing w:before="120" w:after="80"/>
    </w:pPr>
    <w:rPr>
      <w:rFonts w:cs="Times New Roman"/>
      <w:b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  <w:rPr>
      <w:i/>
    </w:rPr>
  </w:style>
  <w:style w:type="character" w:customStyle="1" w:styleId="Sub2Char">
    <w:name w:val="Sub2 Char"/>
    <w:basedOn w:val="DefaultParagraphFont"/>
    <w:link w:val="Sub2"/>
    <w:rPr>
      <w:rFonts w:ascii="Times New Roman" w:hAnsi="Times New Roman" w:cs="Times New Roman"/>
      <w:b/>
      <w:sz w:val="24"/>
      <w:szCs w:val="24"/>
      <w:lang w:val="nl-NL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cs="Times New Roman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/>
      <w:sz w:val="24"/>
    </w:r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rFonts w:eastAsia="Times New Roman" w:cs="Times New Roman"/>
      <w:b/>
      <w:smallCaps/>
      <w:szCs w:val="20"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rFonts w:eastAsia="Times New Roman" w:cs="Times New Roman"/>
      <w:b/>
      <w:szCs w:val="20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paragraph" w:customStyle="1" w:styleId="Declassification">
    <w:name w:val="Declassification"/>
    <w:basedOn w:val="Normal"/>
    <w:next w:val="Normal"/>
    <w:pPr>
      <w:spacing w:after="0"/>
    </w:pPr>
    <w:rPr>
      <w:rFonts w:cs="Times New Roman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</w:pPr>
    <w:rPr>
      <w:rFonts w:cs="Times New Roman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cs="Times New Roman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styleId="NormalWeb">
    <w:name w:val="Normal (Web)"/>
    <w:basedOn w:val="Normal"/>
    <w:uiPriority w:val="99"/>
    <w:semiHidden/>
    <w:unhideWhenUsed/>
    <w:pPr>
      <w:spacing w:after="0"/>
      <w:jc w:val="left"/>
    </w:pPr>
    <w:rPr>
      <w:rFonts w:cs="Times New Roman"/>
      <w:szCs w:val="24"/>
      <w:lang w:eastAsia="en-GB"/>
    </w:rPr>
  </w:style>
  <w:style w:type="paragraph" w:customStyle="1" w:styleId="SecurityMarking">
    <w:name w:val="SecurityMarking"/>
    <w:basedOn w:val="Normal"/>
    <w:pPr>
      <w:spacing w:after="0" w:line="276" w:lineRule="auto"/>
      <w:ind w:left="5103"/>
      <w:jc w:val="left"/>
    </w:pPr>
    <w:rPr>
      <w:rFonts w:cs="Times New Roman"/>
      <w:sz w:val="28"/>
    </w:rPr>
  </w:style>
  <w:style w:type="paragraph" w:customStyle="1" w:styleId="DateMarking">
    <w:name w:val="DateMarking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ReleasableTo">
    <w:name w:val="ReleasableTo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HeaderSensitivityRight">
    <w:name w:val="Header Sensitivity Right"/>
    <w:basedOn w:val="Normal"/>
    <w:pPr>
      <w:jc w:val="right"/>
    </w:pPr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/>
      <w:sz w:val="20"/>
      <w:szCs w:val="20"/>
      <w:lang w:val="nl-NL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</w:style>
  <w:style w:type="numbering" w:customStyle="1" w:styleId="NoList11">
    <w:name w:val="No List11"/>
    <w:next w:val="No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caps/>
      <w:sz w:val="24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sz w:val="24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/>
      <w:bCs/>
      <w:i/>
      <w:sz w:val="24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,L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nl-NL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fn,Fußnote,Fotnotstext1,Footnote text,Footnote Text Char2,Footnote Text Char1 Char,Footnote Text Char Char Char,Footnote Text Char Char1,Footnote Text Char1 Char1"/>
    <w:basedOn w:val="Normal"/>
    <w:link w:val="FootnoteTextChar"/>
    <w:unhideWhenUsed/>
    <w:qFormat/>
    <w:pPr>
      <w:spacing w:after="0"/>
      <w:ind w:left="357" w:hanging="357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fn Char,Fußnote Char,Fotnotstext1 Char,Footnote text Char,Footnote Text Char2 Char,Footnote Text Char1 Char Char,Footnote Text Char Char Char Char"/>
    <w:basedOn w:val="DefaultParagraphFont"/>
    <w:link w:val="FootnoteText"/>
    <w:rPr>
      <w:rFonts w:ascii="Times New Roman" w:hAnsi="Times New Roman" w:cs="Times New Roman"/>
      <w:sz w:val="20"/>
      <w:szCs w:val="20"/>
      <w:lang w:val="nl-NL"/>
    </w:rPr>
  </w:style>
  <w:style w:type="character" w:styleId="FootnoteReference">
    <w:name w:val="footnote reference"/>
    <w:aliases w:val="Footnote symbol,Footnote Reference Number,Footnote reference number,Times 10 Point,Exposant 3 Point,EN Footnote Reference,note TESI,-E Fußnotenzeichen,SUPERS,Appel note de bas de p,Footnote Reference/,number,ftref"/>
    <w:basedOn w:val="DefaultParagraphFont"/>
    <w:link w:val="FootnotesymbolCarZchn"/>
    <w:uiPriority w:val="99"/>
    <w:unhideWhenUsed/>
    <w:qFormat/>
    <w:rPr>
      <w:vertAlign w:val="superscript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Pr>
      <w:rFonts w:ascii="Times New Roman" w:hAnsi="Times New Roman"/>
      <w:sz w:val="24"/>
      <w:lang w:val="nl-NL"/>
    </w:rPr>
  </w:style>
  <w:style w:type="paragraph" w:styleId="ListBullet5">
    <w:name w:val="List Bullet 5"/>
    <w:basedOn w:val="Normal"/>
    <w:autoRedefine/>
    <w:pPr>
      <w:numPr>
        <w:numId w:val="1"/>
      </w:numPr>
      <w:spacing w:after="240"/>
    </w:pPr>
    <w:rPr>
      <w:rFonts w:eastAsia="Times New Roman" w:cs="Times New Roman"/>
      <w:szCs w:val="20"/>
    </w:rPr>
  </w:style>
  <w:style w:type="paragraph" w:customStyle="1" w:styleId="SECTIONTITLE">
    <w:name w:val="SECTION TITLE"/>
    <w:basedOn w:val="Normal"/>
    <w:link w:val="SECTIONTITLEChar"/>
    <w:qFormat/>
    <w:pPr>
      <w:keepNext/>
      <w:spacing w:before="480"/>
    </w:pPr>
    <w:rPr>
      <w:b/>
      <w:bCs/>
      <w:caps/>
    </w:rPr>
  </w:style>
  <w:style w:type="paragraph" w:customStyle="1" w:styleId="Subsectiontitle">
    <w:name w:val="Subsection title"/>
    <w:basedOn w:val="Normal"/>
    <w:link w:val="SubsectiontitleChar"/>
    <w:qFormat/>
    <w:pPr>
      <w:spacing w:after="80"/>
    </w:pPr>
    <w:rPr>
      <w:bCs/>
      <w:i/>
      <w:sz w:val="20"/>
      <w:szCs w:val="20"/>
    </w:rPr>
  </w:style>
  <w:style w:type="character" w:customStyle="1" w:styleId="SECTIONTITLEChar">
    <w:name w:val="SECTION TITLE Char"/>
    <w:basedOn w:val="DefaultParagraphFont"/>
    <w:link w:val="SECTIONTITLE"/>
    <w:rPr>
      <w:rFonts w:ascii="Times New Roman" w:hAnsi="Times New Roman"/>
      <w:b/>
      <w:bCs/>
      <w:caps/>
      <w:sz w:val="24"/>
      <w:lang w:val="nl-NL"/>
    </w:rPr>
  </w:style>
  <w:style w:type="character" w:customStyle="1" w:styleId="SubsectiontitleChar">
    <w:name w:val="Subsection title Char"/>
    <w:basedOn w:val="DefaultParagraphFont"/>
    <w:link w:val="Subsectiontitle"/>
    <w:rPr>
      <w:rFonts w:ascii="Times New Roman" w:hAnsi="Times New Roman"/>
      <w:bCs/>
      <w:i/>
      <w:sz w:val="20"/>
      <w:szCs w:val="20"/>
      <w:lang w:val="nl-NL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nl-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nl-NL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spacing w:after="160" w:line="240" w:lineRule="exact"/>
    </w:pPr>
    <w:rPr>
      <w:rFonts w:asciiTheme="minorHAnsi" w:hAnsiTheme="minorHAnsi"/>
      <w:sz w:val="22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aliases w:val="TR-Caption,Inscription,Beschriftung Char Char Char,Beschriftung Char Char,Caption-tables,Table legend,Tab_Überschrift,Figure reference,Caption1 Char Char Char Char Char Char Char Char,Beschriftung Char2 Char,Beschriftung Char1 Cha...,Char Char"/>
    <w:basedOn w:val="Normal"/>
    <w:next w:val="Normal"/>
    <w:link w:val="CaptionChar"/>
    <w:uiPriority w:val="35"/>
    <w:qFormat/>
    <w:pPr>
      <w:spacing w:before="120"/>
    </w:pPr>
    <w:rPr>
      <w:rFonts w:eastAsia="Times New Roman" w:cs="Times New Roman"/>
      <w:b/>
      <w:szCs w:val="20"/>
    </w:rPr>
  </w:style>
  <w:style w:type="character" w:customStyle="1" w:styleId="CaptionChar">
    <w:name w:val="Caption Char"/>
    <w:aliases w:val="TR-Caption Char,Inscription Char,Beschriftung Char Char Char Char,Beschriftung Char Char Char1,Caption-tables Char,Table legend Char,Tab_Überschrift Char,Figure reference Char,Caption1 Char Char Char Char Char Char Char Char Char"/>
    <w:link w:val="Caption"/>
    <w:uiPriority w:val="35"/>
    <w:locked/>
    <w:rPr>
      <w:rFonts w:ascii="Times New Roman" w:eastAsia="Times New Roman" w:hAnsi="Times New Roman" w:cs="Times New Roman"/>
      <w:b/>
      <w:sz w:val="24"/>
      <w:szCs w:val="20"/>
      <w:lang w:val="nl-NL"/>
    </w:rPr>
  </w:style>
  <w:style w:type="paragraph" w:customStyle="1" w:styleId="Chaptertitle">
    <w:name w:val="Chapter title"/>
    <w:basedOn w:val="Normal"/>
    <w:pPr>
      <w:keepNext/>
      <w:spacing w:before="480"/>
    </w:pPr>
    <w:rPr>
      <w:rFonts w:cs="Times New Roman"/>
      <w:b/>
      <w:caps/>
      <w:szCs w:val="24"/>
    </w:rPr>
  </w:style>
  <w:style w:type="paragraph" w:customStyle="1" w:styleId="Sub1">
    <w:name w:val="Sub 1"/>
    <w:basedOn w:val="Normal"/>
    <w:pPr>
      <w:keepNext/>
      <w:spacing w:before="120" w:after="80"/>
    </w:pPr>
    <w:rPr>
      <w:rFonts w:cs="Times New Roman"/>
      <w:b/>
      <w:bCs/>
      <w:i/>
      <w:szCs w:val="24"/>
    </w:rPr>
  </w:style>
  <w:style w:type="paragraph" w:customStyle="1" w:styleId="Sub2">
    <w:name w:val="Sub2"/>
    <w:basedOn w:val="Normal"/>
    <w:link w:val="Sub2Char"/>
    <w:pPr>
      <w:keepNext/>
      <w:spacing w:before="120" w:after="80"/>
    </w:pPr>
    <w:rPr>
      <w:rFonts w:cs="Times New Roman"/>
      <w:b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  <w:rPr>
      <w:i/>
    </w:rPr>
  </w:style>
  <w:style w:type="character" w:customStyle="1" w:styleId="Sub2Char">
    <w:name w:val="Sub2 Char"/>
    <w:basedOn w:val="DefaultParagraphFont"/>
    <w:link w:val="Sub2"/>
    <w:rPr>
      <w:rFonts w:ascii="Times New Roman" w:hAnsi="Times New Roman" w:cs="Times New Roman"/>
      <w:b/>
      <w:sz w:val="24"/>
      <w:szCs w:val="24"/>
      <w:lang w:val="nl-NL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cs="Times New Roman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/>
      <w:sz w:val="24"/>
    </w:r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rFonts w:eastAsia="Times New Roman" w:cs="Times New Roman"/>
      <w:b/>
      <w:smallCaps/>
      <w:szCs w:val="20"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rFonts w:eastAsia="Times New Roman" w:cs="Times New Roman"/>
      <w:b/>
      <w:szCs w:val="20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paragraph" w:customStyle="1" w:styleId="Declassification">
    <w:name w:val="Declassification"/>
    <w:basedOn w:val="Normal"/>
    <w:next w:val="Normal"/>
    <w:pPr>
      <w:spacing w:after="0"/>
    </w:pPr>
    <w:rPr>
      <w:rFonts w:cs="Times New Roman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</w:pPr>
    <w:rPr>
      <w:rFonts w:cs="Times New Roman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cs="Times New Roman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styleId="NormalWeb">
    <w:name w:val="Normal (Web)"/>
    <w:basedOn w:val="Normal"/>
    <w:uiPriority w:val="99"/>
    <w:semiHidden/>
    <w:unhideWhenUsed/>
    <w:pPr>
      <w:spacing w:after="0"/>
      <w:jc w:val="left"/>
    </w:pPr>
    <w:rPr>
      <w:rFonts w:cs="Times New Roman"/>
      <w:szCs w:val="24"/>
      <w:lang w:eastAsia="en-GB"/>
    </w:rPr>
  </w:style>
  <w:style w:type="paragraph" w:customStyle="1" w:styleId="SecurityMarking">
    <w:name w:val="SecurityMarking"/>
    <w:basedOn w:val="Normal"/>
    <w:pPr>
      <w:spacing w:after="0" w:line="276" w:lineRule="auto"/>
      <w:ind w:left="5103"/>
      <w:jc w:val="left"/>
    </w:pPr>
    <w:rPr>
      <w:rFonts w:cs="Times New Roman"/>
      <w:sz w:val="28"/>
    </w:rPr>
  </w:style>
  <w:style w:type="paragraph" w:customStyle="1" w:styleId="DateMarking">
    <w:name w:val="DateMarking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ReleasableTo">
    <w:name w:val="ReleasableTo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HeaderSensitivityRight">
    <w:name w:val="Header Sensitivity Right"/>
    <w:basedOn w:val="Normal"/>
    <w:pPr>
      <w:jc w:val="right"/>
    </w:pPr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/>
      <w:sz w:val="20"/>
      <w:szCs w:val="20"/>
      <w:lang w:val="nl-NL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</w:style>
  <w:style w:type="numbering" w:customStyle="1" w:styleId="NoList11">
    <w:name w:val="No List11"/>
    <w:next w:val="No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yperlink" Target="https://cohesiondata.ec.europa.eu/d/99js-gm5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cohesiondata.ec.europa.eu/d/99js-gm5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hesiondata.ec.europa.eu/d/99js-gm52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cohesiondata.ec.europa.eu/d/99js-gm52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1775</Words>
  <Characters>7636</Characters>
  <Application>Microsoft Office Word</Application>
  <DocSecurity>0</DocSecurity>
  <Lines>1272</Lines>
  <Paragraphs>941</Paragraphs>
  <ScaleCrop>false</ScaleCrop>
  <Company>European Commission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MEIJER Martine (REGIO)</dc:creator>
  <cp:keywords/>
  <dc:description/>
  <cp:lastModifiedBy>WES PDFC Administrator</cp:lastModifiedBy>
  <cp:revision>9</cp:revision>
  <dcterms:created xsi:type="dcterms:W3CDTF">2019-11-15T14:27:00Z</dcterms:created>
  <dcterms:modified xsi:type="dcterms:W3CDTF">2020-01-03T15:17:00Z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3</vt:lpwstr>
  </property>
  <property fmtid="{D5CDD505-2E9C-101B-9397-08002B2CF9AE}" pid="5" name="Unique annex">
    <vt:lpwstr>0</vt:lpwstr>
  </property>
  <property fmtid="{D5CDD505-2E9C-101B-9397-08002B2CF9AE}" pid="6" name="Part">
    <vt:lpwstr>&lt;UNUSED&gt;</vt:lpwstr>
  </property>
  <property fmtid="{D5CDD505-2E9C-101B-9397-08002B2CF9AE}" pid="7" name="Total parts">
    <vt:lpwstr>&lt;UNUSED&gt;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