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7DF9AC0-2969-4C05-88A0-C12DD6C1ECB4" style="width:451pt;height:392.6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keepNext/>
        <w:keepLines/>
        <w:jc w:val="center"/>
        <w:outlineLvl w:val="0"/>
        <w:rPr>
          <w:rFonts w:cstheme="majorBidi"/>
          <w:b/>
          <w:bCs/>
          <w:caps/>
          <w:noProof/>
          <w:szCs w:val="28"/>
        </w:rPr>
      </w:pPr>
      <w:bookmarkStart w:id="1" w:name="_GoBack"/>
      <w:bookmarkEnd w:id="1"/>
      <w:r>
        <w:rPr>
          <w:rFonts w:ascii="Times New Roman Bold" w:hAnsi="Times New Roman Bold"/>
          <w:b/>
          <w:bCs/>
          <w:caps/>
          <w:noProof/>
          <w:szCs w:val="28"/>
        </w:rPr>
        <w:lastRenderedPageBreak/>
        <w:t>1.1. pielikums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 fondu kumulatīvā finansiālā izpilde sadalījumā pa tematiskajiem mērķiem — programmu dati par laiku līdz </w:t>
      </w:r>
      <w:r>
        <w:rPr>
          <w:b/>
          <w:bCs/>
          <w:noProof/>
          <w:u w:val="single"/>
        </w:rPr>
        <w:t>2018. gada 31. decembrim</w:t>
      </w:r>
      <w:r>
        <w:rPr>
          <w:b/>
          <w:bCs/>
          <w:noProof/>
        </w:rPr>
        <w:t xml:space="preserve"> (kopējās izmaksas, atlases un izdevumu apjomi)</w:t>
      </w:r>
    </w:p>
    <w:p>
      <w:pPr>
        <w:jc w:val="center"/>
        <w:rPr>
          <w:rFonts w:cs="Times New Roman"/>
          <w:b/>
          <w:bCs/>
          <w:i/>
          <w:iCs/>
          <w:noProof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Tematiskie mērķi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Plānotā ES līdzekļu summa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Plānotā kopsumma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Atlasīto projektu kopējās attiecināmās izmaksas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Paziņotie atlasīto projektu kopējie izdevumi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Atlases rādītājs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Izdevumu rādītājs</w:t>
            </w:r>
          </w:p>
        </w:tc>
      </w:tr>
      <w:tr>
        <w:trPr>
          <w:trHeight w:val="5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(tikai ES)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(ES un valsts)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Pētniecība un inovācija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42 611,3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Informācijas un komunikācijas tehnoloģijas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2 708,7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MVU konkurētspēja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57 186,8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62 514,5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28 039,9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Mazoglekļa ekonomika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49 228,1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Pielāgošanās klimata pārmaiņām un riska novēršana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38 840,7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Vides aizsardzība un resursefektivitāte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52 037,5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25 063,7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Tīkla infrastruktūra transporta un enerģētikas nozarē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19 749,1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Ilgtspējīga un kvalitatīva nodarbinātība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34 550,4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15 582,9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Sociālā iekļaušana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Izglītība un arodmācības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Efektīva valsts pārvalde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Tālākie un mazapdzīvotie reģioni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Pārtrauktie pasākumi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Vairāki tematiskie mērķi (ERAF/KF/ESF)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61 753,3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Tehniskā palīdzība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Pavisam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461 103,3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645 449,4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464 408,8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179 930,1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28 %</w:t>
            </w:r>
          </w:p>
        </w:tc>
      </w:tr>
    </w:tbl>
    <w:p>
      <w:pPr>
        <w:jc w:val="left"/>
        <w:rPr>
          <w:rFonts w:cs="Times New Roman"/>
          <w:bCs/>
          <w:i/>
          <w:iCs/>
          <w:noProof/>
          <w:sz w:val="20"/>
          <w:szCs w:val="20"/>
        </w:rPr>
      </w:pPr>
      <w:r>
        <w:rPr>
          <w:bCs/>
          <w:i/>
          <w:iCs/>
          <w:noProof/>
          <w:sz w:val="20"/>
          <w:szCs w:val="20"/>
        </w:rPr>
        <w:t>Avots: ESI fondu atvērto datu platforma:</w:t>
      </w:r>
      <w:r>
        <w:rPr>
          <w:noProof/>
        </w:rPr>
        <w:t xml:space="preserve"> </w:t>
      </w:r>
      <w:hyperlink r:id="rId15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bCs/>
          <w:i/>
          <w:iCs/>
          <w:noProof/>
          <w:sz w:val="20"/>
          <w:szCs w:val="20"/>
        </w:rPr>
        <w:t>, 2019. gada 5. novembra dati.</w:t>
      </w: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lastRenderedPageBreak/>
        <w:t>1.2. pielikums</w:t>
      </w:r>
    </w:p>
    <w:p>
      <w:pPr>
        <w:rPr>
          <w:noProof/>
        </w:rPr>
      </w:pP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 fondu kumulatīvā finansiālā izpilde sadalījumā pa tematiskajiem mērķiem — programmu dati par laiku līdz </w:t>
      </w:r>
      <w:r>
        <w:rPr>
          <w:b/>
          <w:bCs/>
          <w:noProof/>
          <w:u w:val="single"/>
        </w:rPr>
        <w:t>2019. gada 30. septembrim</w:t>
      </w:r>
      <w:r>
        <w:rPr>
          <w:b/>
          <w:bCs/>
          <w:noProof/>
        </w:rPr>
        <w:t xml:space="preserve"> (kopējās izmaksas, atlases un izdevumu apjomi)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i/>
          <w:iCs/>
          <w:noProof/>
        </w:rPr>
        <w:t>Kohēzijas fonda dati no 30.09.2019. — ELFLA un EJZF dati no 31.12.2018.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Tematiskie mērķi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Plānotā ES līdzekļu summa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Plānotā kopsumma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Atlasīto projektu kopējās attiecināmās izmaksas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Paziņotie atlasīto projektu kopējie izdevumi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Atlases rādītājs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Izdevumu rādītājs</w:t>
            </w:r>
          </w:p>
        </w:tc>
      </w:tr>
      <w:tr>
        <w:trPr>
          <w:trHeight w:val="5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(tikai ES)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(ES un valsts)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Miljonos euro (€)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Pētniecība un inovācija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59 665,2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46 645,3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14 399,9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Informācijas un komunikācijas tehnoloģijas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3 360,7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MVU konkurētspēja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64 626,1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Mazoglekļa ekonomika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48 814,0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35 014,0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Pielāgošanās klimata pārmaiņām un riska novēršana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20 396,7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Vides aizsardzība un resursefektivitāte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52 765,8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53 936,1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Tīkla infrastruktūra transporta un enerģētikas nozarē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22 992,6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Ilgtspējīga un kvalitatīva nodarbinātība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Sociālā iekļaušana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39 435,1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16 129,6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Izglītība un arodmācības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28 096,7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Efektīva valsts pārvalde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1 419,9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Tālākie un mazapdzīvotie reģioni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Pārtrauktie pasākumi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Vairāki tematiskie mērķi (ERAF/KF/ESF)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68 335,6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23 789,7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Tehniskā palīdzība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5 921,8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Pavisam kopā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460 930,9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497 084,4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212 876,6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Avots: ESI fondu atvērto datu platforma:</w:t>
      </w:r>
      <w:r>
        <w:rPr>
          <w:noProof/>
        </w:rPr>
        <w:t xml:space="preserve"> </w:t>
      </w:r>
      <w:hyperlink r:id="rId16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>, 2019. gada 5. novembra dati.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2.1. pielikums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 fondu kumulatīvā finansiālā izpilde sadalījumā pa dalībvalstīm — programmu dati par laiku līdz </w:t>
      </w:r>
      <w:r>
        <w:rPr>
          <w:b/>
          <w:bCs/>
          <w:noProof/>
          <w:u w:val="single"/>
        </w:rPr>
        <w:t>2018. gada 31. decembrim</w:t>
      </w:r>
      <w:r>
        <w:rPr>
          <w:b/>
          <w:bCs/>
          <w:noProof/>
        </w:rPr>
        <w:t xml:space="preserve"> (kopējās izmaksas, atlases un izdevumu apjomi)</w:t>
      </w:r>
    </w:p>
    <w:p>
      <w:pPr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1"/>
        <w:gridCol w:w="1344"/>
        <w:gridCol w:w="1344"/>
        <w:gridCol w:w="1344"/>
        <w:gridCol w:w="1345"/>
        <w:gridCol w:w="972"/>
        <w:gridCol w:w="1072"/>
      </w:tblGrid>
      <w:tr>
        <w:trPr>
          <w:trHeight w:val="52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Piešķirtā ES līdzekļu summa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Plānotā kopsumma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Atlasīto projektu kopējās attiecināmās izmaksas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Paziņotie atlasīto projektu kopējie izdevumi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2017. gada beigās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Projektu atlases rādītājs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Izdevumu rādītājs</w:t>
            </w:r>
          </w:p>
        </w:tc>
      </w:tr>
      <w:tr>
        <w:trPr>
          <w:trHeight w:val="26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2014.–2020.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(ES un valsts)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2017. gada beigās 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Austrija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10 661,4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7 211,2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4 735,5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Beļģija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6 088,8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5 033,1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1 558,4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Bulgārija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9 876,1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11 726,4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8 027,8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3 156,2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Horvātija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12 649,1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8 740,3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2 178,1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Kipra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1 169,7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986,9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438,8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Čehija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33 402,3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21 123,4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8 239,1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Dānija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2 276,5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1 610,5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708,3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Igaunija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5 779,0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4 190,0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1 929,7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Somija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8 435,2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7 405,8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4 668,0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Francija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27 506,2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45 929,2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31 400,5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16 182,6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Vācija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44 765,4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32 361,1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15 117,4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Grieķija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26 780,4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19 259,3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6 657,1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Ungārija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29 649,6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31 434,6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7 897,3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>Interreg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12 633,3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9 717,1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2 005,6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Īrija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6 139,7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5 728,0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2 963,3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Itālija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44 656,1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75 164,5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49 948,2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17 460,3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Latvija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6 907,2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5 583,0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2 118,6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Lietuva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9 997,3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6 873,0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Luksemburga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456,4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205,2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Malta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1 023,9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908,7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311,4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Nīderlande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3 802,6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3 125,5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1 289,8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86 111,6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104 916,2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76 918,8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26 879,0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Portugāle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32 809,5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27 298,8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11 943,6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Rumānija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36 742,0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26 741,5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8 815,7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Slovākija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15 260,4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19 519,9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13 938,7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Slovēnija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3 930,6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4 958,0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1 348,1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Spānija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39 950,9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56 318,0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30 030,6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12 569,5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Zviedrija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8 053,0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5 909,1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3 101,2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Apvienotā Karaliste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16 448,4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26 694,8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18 799,9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7 803,1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Pavisam kopā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461 103,3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645 449,4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464 408,8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179 930,1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72 %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28 %</w:t>
            </w:r>
          </w:p>
        </w:tc>
      </w:tr>
    </w:tbl>
    <w:p>
      <w:pPr>
        <w:rPr>
          <w:rFonts w:cs="Times New Roman"/>
          <w:bCs/>
          <w:i/>
          <w:iCs/>
          <w:noProof/>
          <w:sz w:val="20"/>
        </w:rPr>
      </w:pPr>
      <w:r>
        <w:rPr>
          <w:bCs/>
          <w:i/>
          <w:iCs/>
          <w:noProof/>
          <w:sz w:val="20"/>
        </w:rPr>
        <w:t>Avots: ESI fondu atvērto datu platforma:</w:t>
      </w:r>
      <w:r>
        <w:rPr>
          <w:noProof/>
        </w:rPr>
        <w:t xml:space="preserve"> </w:t>
      </w:r>
      <w:hyperlink r:id="rId17" w:history="1">
        <w:r>
          <w:rPr>
            <w:rStyle w:val="Hyperlink"/>
            <w:i/>
            <w:iCs/>
            <w:noProof/>
            <w:sz w:val="20"/>
          </w:rPr>
          <w:t>https://cohesiondata.ec.europa.eu/d/99js-gm52</w:t>
        </w:r>
      </w:hyperlink>
      <w:r>
        <w:rPr>
          <w:bCs/>
          <w:i/>
          <w:iCs/>
          <w:noProof/>
          <w:sz w:val="20"/>
        </w:rPr>
        <w:t>, 2019. gada 5. novembra dati.</w:t>
      </w:r>
    </w:p>
    <w:p>
      <w:pPr>
        <w:rPr>
          <w:rFonts w:cs="Times New Roman"/>
          <w:i/>
          <w:iCs/>
          <w:noProof/>
          <w:sz w:val="20"/>
          <w:szCs w:val="20"/>
        </w:rPr>
      </w:pP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2.2. pielikums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 fondu kumulatīvā finansiālā izpilde sadalījumā pa dalībvalstīm — programmu dati par laiku līdz </w:t>
      </w:r>
      <w:r>
        <w:rPr>
          <w:b/>
          <w:bCs/>
          <w:noProof/>
          <w:u w:val="single"/>
        </w:rPr>
        <w:t>2019. gada 30. septembrim</w:t>
      </w:r>
      <w:r>
        <w:rPr>
          <w:b/>
          <w:bCs/>
          <w:noProof/>
        </w:rPr>
        <w:t xml:space="preserve"> (kopējās izmaksas, atlases un izdevumu apjomi)</w:t>
      </w:r>
    </w:p>
    <w:p>
      <w:pPr>
        <w:jc w:val="center"/>
        <w:rPr>
          <w:rFonts w:cs="Times New Roman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Kohēzijas fonda dati no 30.09.2019. — ELFLA un EJZF dati no 31.12.2018.</w:t>
      </w:r>
    </w:p>
    <w:p>
      <w:pPr>
        <w:jc w:val="center"/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1"/>
        <w:gridCol w:w="1177"/>
        <w:gridCol w:w="1269"/>
        <w:gridCol w:w="1465"/>
        <w:gridCol w:w="1466"/>
        <w:gridCol w:w="972"/>
        <w:gridCol w:w="1072"/>
      </w:tblGrid>
      <w:tr>
        <w:trPr>
          <w:trHeight w:val="52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Piešķirtā ES līdzekļu summa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Plānotā kopsumma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Atlasīto projektu kopējās attiecināmās izmaksas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Paziņotie atlasīto projektu kopējie izdevumi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2018. gada rudenī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Projektu atlases rādītājs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Izdevumu rādītājs</w:t>
            </w:r>
          </w:p>
        </w:tc>
      </w:tr>
      <w:tr>
        <w:trPr>
          <w:trHeight w:val="260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2014.–2020.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(ES un valsts)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2018. gada rudenī 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Miljonos euro (€)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Austrija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10 660,8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5 210,4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Beļģija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6 088,8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5 107,1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1 905,2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Bulgārija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9 868,8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11 714,0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8 415,8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3 903,9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Horvātija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12 649,1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9 808,8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3 105,5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Kipra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1 169,7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1 060,6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484,6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Čehija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32 739,6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23 214,4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10 489,2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Dānija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2 316,6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1 732,5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Igaunija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5 779,0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4 510,7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2 328,2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Somija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8 435,2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5 066,4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Francija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27 521,6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45 946,5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18 705,6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Vācija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44 730,6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34 524,6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17 516,3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Grieķija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26 144,3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20 991,0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7 183,4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Ungārija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29 639,9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32 354,9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>Interreg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12 631,1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10 809,9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2 863,0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Īrija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5 762,9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Itālija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44 629,9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75 130,7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50 953,4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20 617,4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Latvija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6 907,9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5 876,8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2 640,2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Lietuva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9 998,4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7 662,6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3 897,6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Luksemburga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456,4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Malta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1 022,1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941,2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Nīderlande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3 802,6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3 291,3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1 525,0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86 108,6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104 912,6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82 582,5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33 745,1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Portugāle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33 043,1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29 244,2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13 350,1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Rumānija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36 742,0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30 357,6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10 023,2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Slovākija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15 137,2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19 349,4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14 996,5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5 118,7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Slovēnija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3 928,7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4 955,4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1 430,5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Spānija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39 948,8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56 303,7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32 370,3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13 877,3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Zviedrija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7 099,4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3 586,3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Apvienotā Karaliste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16 425,1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26 643,5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20 712,7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9 730,1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Pavisam kopā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460 930,9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497 084,4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212 876,6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Avots: ESI fondu atvērto datu platforma:</w:t>
      </w:r>
      <w:r>
        <w:rPr>
          <w:noProof/>
        </w:rPr>
        <w:t xml:space="preserve"> </w:t>
      </w:r>
      <w:hyperlink r:id="rId18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>, 2019. gada 5. novembra dati.</w:t>
      </w:r>
    </w:p>
    <w:p>
      <w:pPr>
        <w:rPr>
          <w:rFonts w:cs="Times New Roman"/>
          <w:i/>
          <w:iCs/>
          <w:noProof/>
          <w:sz w:val="20"/>
          <w:szCs w:val="20"/>
        </w:rPr>
      </w:pP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3. pielikums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>ESI fondi — klimata mērķiem plānotās summas un atlases rādītājs 2018. gada beigās</w:t>
      </w:r>
    </w:p>
    <w:p>
      <w:pPr>
        <w:rPr>
          <w:rFonts w:cs="Times New Roman"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"/>
        <w:gridCol w:w="1230"/>
        <w:gridCol w:w="1230"/>
        <w:gridCol w:w="938"/>
        <w:gridCol w:w="1506"/>
        <w:gridCol w:w="1648"/>
        <w:gridCol w:w="1645"/>
      </w:tblGrid>
      <w:tr>
        <w:trPr>
          <w:trHeight w:val="15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Fonds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Kopējā plānotā ES līdzekļu summa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Kopējā plānotā ES līdzekļu summa pasākumiem klimata pārmaiņu jomā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 xml:space="preserve">Kopējā atlase 2018. gada beigās 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(aplēses par ES līdzekļu daļu)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ES līdzekļi, kas piešķirti klimata pārmaiņu pasākumiem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Klimata pasākumu atlases rādītājs, izteikts kā daļa no visām atlasītajām darbībām (2018)</w:t>
            </w:r>
          </w:p>
        </w:tc>
      </w:tr>
      <w:tr>
        <w:trPr>
          <w:trHeight w:val="6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Miljardos euro (€)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Miljardos euro (€)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Miljardos euro (€)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Miljardos euro (€)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KF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63,3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55,1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15,4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28 %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ELFLA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100,1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63,7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42,9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41,7 %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EJZF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17,5 %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2,5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17,6 %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ERAF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tabs>
                <w:tab w:val="center" w:pos="459"/>
                <w:tab w:val="right" w:pos="918"/>
              </w:tabs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38,2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147,9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23,6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ESF/JNI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91,9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8,9 %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before="120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Kopā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461,1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24,7 %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361,1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88,1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22,4 %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Avots: Eiropas Komisija</w:t>
      </w:r>
    </w:p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8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tabs>
        <w:tab w:val="clear" w:pos="4535"/>
        <w:tab w:val="clear" w:pos="9071"/>
        <w:tab w:val="clear" w:pos="9921"/>
        <w:tab w:val="left" w:pos="4005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4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14B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38A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07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C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6C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8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6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259E"/>
    <w:multiLevelType w:val="hybridMultilevel"/>
    <w:tmpl w:val="C65EB4A4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202C00"/>
    <w:multiLevelType w:val="multilevel"/>
    <w:tmpl w:val="67E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2C32E87"/>
    <w:multiLevelType w:val="hybridMultilevel"/>
    <w:tmpl w:val="62E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826DF"/>
    <w:multiLevelType w:val="hybridMultilevel"/>
    <w:tmpl w:val="DBD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B11A6"/>
    <w:multiLevelType w:val="multilevel"/>
    <w:tmpl w:val="6C48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65F2B7F"/>
    <w:multiLevelType w:val="hybridMultilevel"/>
    <w:tmpl w:val="41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99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154D7"/>
    <w:multiLevelType w:val="hybridMultilevel"/>
    <w:tmpl w:val="E290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9E2312"/>
    <w:multiLevelType w:val="multilevel"/>
    <w:tmpl w:val="648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B071441"/>
    <w:multiLevelType w:val="hybridMultilevel"/>
    <w:tmpl w:val="67D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701AC"/>
    <w:multiLevelType w:val="hybridMultilevel"/>
    <w:tmpl w:val="B13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746B3"/>
    <w:multiLevelType w:val="multilevel"/>
    <w:tmpl w:val="008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8AF79C5"/>
    <w:multiLevelType w:val="hybridMultilevel"/>
    <w:tmpl w:val="9CD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26CA8"/>
    <w:multiLevelType w:val="hybridMultilevel"/>
    <w:tmpl w:val="662AF1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995FBF"/>
    <w:multiLevelType w:val="hybridMultilevel"/>
    <w:tmpl w:val="6D20D8DE"/>
    <w:lvl w:ilvl="0" w:tplc="760AC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53717"/>
    <w:multiLevelType w:val="multilevel"/>
    <w:tmpl w:val="3412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FEB78E3"/>
    <w:multiLevelType w:val="hybridMultilevel"/>
    <w:tmpl w:val="8A9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D344F"/>
    <w:multiLevelType w:val="hybridMultilevel"/>
    <w:tmpl w:val="F1A0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514C9"/>
    <w:multiLevelType w:val="multilevel"/>
    <w:tmpl w:val="284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7E1778F"/>
    <w:multiLevelType w:val="hybridMultilevel"/>
    <w:tmpl w:val="05667E1C"/>
    <w:lvl w:ilvl="0" w:tplc="25DE3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2E6E93"/>
    <w:multiLevelType w:val="multilevel"/>
    <w:tmpl w:val="77F8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A97671A"/>
    <w:multiLevelType w:val="multilevel"/>
    <w:tmpl w:val="30E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BBF3C59"/>
    <w:multiLevelType w:val="hybridMultilevel"/>
    <w:tmpl w:val="D4148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3EB14AE0"/>
    <w:multiLevelType w:val="multilevel"/>
    <w:tmpl w:val="917C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506317E"/>
    <w:multiLevelType w:val="hybridMultilevel"/>
    <w:tmpl w:val="B64406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636475D"/>
    <w:multiLevelType w:val="hybridMultilevel"/>
    <w:tmpl w:val="F3D4B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4D9754B7"/>
    <w:multiLevelType w:val="hybridMultilevel"/>
    <w:tmpl w:val="83A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37022"/>
    <w:multiLevelType w:val="hybridMultilevel"/>
    <w:tmpl w:val="414E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361FD"/>
    <w:multiLevelType w:val="hybridMultilevel"/>
    <w:tmpl w:val="08D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909C5"/>
    <w:multiLevelType w:val="multilevel"/>
    <w:tmpl w:val="DC1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B337E75"/>
    <w:multiLevelType w:val="multilevel"/>
    <w:tmpl w:val="5E40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1234F7B"/>
    <w:multiLevelType w:val="multilevel"/>
    <w:tmpl w:val="BC4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3AC0DF9"/>
    <w:multiLevelType w:val="multilevel"/>
    <w:tmpl w:val="6CC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6B16778"/>
    <w:multiLevelType w:val="hybridMultilevel"/>
    <w:tmpl w:val="8CCA90B6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B760F"/>
    <w:multiLevelType w:val="hybridMultilevel"/>
    <w:tmpl w:val="6F4A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60974"/>
    <w:multiLevelType w:val="hybridMultilevel"/>
    <w:tmpl w:val="C97E8F1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5">
    <w:nsid w:val="752978AF"/>
    <w:multiLevelType w:val="hybridMultilevel"/>
    <w:tmpl w:val="866A1D96"/>
    <w:lvl w:ilvl="0" w:tplc="6FC2E6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643AD"/>
    <w:multiLevelType w:val="hybridMultilevel"/>
    <w:tmpl w:val="2474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D1710"/>
    <w:multiLevelType w:val="hybridMultilevel"/>
    <w:tmpl w:val="D960BBCE"/>
    <w:lvl w:ilvl="0" w:tplc="7A0E1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C09FA"/>
    <w:multiLevelType w:val="hybridMultilevel"/>
    <w:tmpl w:val="FB62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D5F49"/>
    <w:multiLevelType w:val="hybridMultilevel"/>
    <w:tmpl w:val="80F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8"/>
  </w:num>
  <w:num w:numId="4">
    <w:abstractNumId w:val="35"/>
  </w:num>
  <w:num w:numId="5">
    <w:abstractNumId w:val="36"/>
  </w:num>
  <w:num w:numId="6">
    <w:abstractNumId w:val="15"/>
  </w:num>
  <w:num w:numId="7">
    <w:abstractNumId w:val="34"/>
  </w:num>
  <w:num w:numId="8">
    <w:abstractNumId w:val="13"/>
  </w:num>
  <w:num w:numId="9">
    <w:abstractNumId w:val="4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7"/>
  </w:num>
  <w:num w:numId="21">
    <w:abstractNumId w:val="39"/>
  </w:num>
  <w:num w:numId="22">
    <w:abstractNumId w:val="41"/>
  </w:num>
  <w:num w:numId="23">
    <w:abstractNumId w:val="38"/>
  </w:num>
  <w:num w:numId="24">
    <w:abstractNumId w:val="17"/>
  </w:num>
  <w:num w:numId="25">
    <w:abstractNumId w:val="29"/>
  </w:num>
  <w:num w:numId="26">
    <w:abstractNumId w:val="24"/>
  </w:num>
  <w:num w:numId="27">
    <w:abstractNumId w:val="30"/>
  </w:num>
  <w:num w:numId="28">
    <w:abstractNumId w:val="14"/>
  </w:num>
  <w:num w:numId="29">
    <w:abstractNumId w:val="40"/>
  </w:num>
  <w:num w:numId="30">
    <w:abstractNumId w:val="11"/>
  </w:num>
  <w:num w:numId="31">
    <w:abstractNumId w:val="32"/>
  </w:num>
  <w:num w:numId="32">
    <w:abstractNumId w:val="26"/>
  </w:num>
  <w:num w:numId="33">
    <w:abstractNumId w:val="49"/>
  </w:num>
  <w:num w:numId="34">
    <w:abstractNumId w:val="42"/>
  </w:num>
  <w:num w:numId="35">
    <w:abstractNumId w:val="10"/>
  </w:num>
  <w:num w:numId="36">
    <w:abstractNumId w:val="16"/>
  </w:num>
  <w:num w:numId="37">
    <w:abstractNumId w:val="44"/>
  </w:num>
  <w:num w:numId="38">
    <w:abstractNumId w:val="18"/>
  </w:num>
  <w:num w:numId="39">
    <w:abstractNumId w:val="22"/>
  </w:num>
  <w:num w:numId="40">
    <w:abstractNumId w:val="21"/>
  </w:num>
  <w:num w:numId="41">
    <w:abstractNumId w:val="25"/>
  </w:num>
  <w:num w:numId="42">
    <w:abstractNumId w:val="12"/>
  </w:num>
  <w:num w:numId="43">
    <w:abstractNumId w:val="37"/>
  </w:num>
  <w:num w:numId="44">
    <w:abstractNumId w:val="47"/>
  </w:num>
  <w:num w:numId="45">
    <w:abstractNumId w:val="46"/>
  </w:num>
  <w:num w:numId="46">
    <w:abstractNumId w:val="23"/>
  </w:num>
  <w:num w:numId="47">
    <w:abstractNumId w:val="43"/>
  </w:num>
  <w:num w:numId="48">
    <w:abstractNumId w:val="31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[dokumentam]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97DF9AC0-2969-4C05-88A0-C12DD6C1ECB4"/>
    <w:docVar w:name="LW_COVERPAGE_TYPE" w:val="1"/>
    <w:docVar w:name="LW_CROSSREFERENCE" w:val="&lt;UNUSED&gt;"/>
    <w:docVar w:name="LW_DocType" w:val="NORMAL"/>
    <w:docVar w:name="LW_EMISSION" w:val="17.12.2019"/>
    <w:docVar w:name="LW_EMISSION_ISODATE" w:val="2019-12-17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2019. gada strat\u275?\u291?iskais zi\u326?ojums par Eiropas struktur\u257?lo un invest\u299?ciju fondu \u299?steno\u353?anu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6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IELIKUMI_x000b_"/>
    <w:docVar w:name="LW_TYPEACTEPRINCIPAL.CP" w:val="KOMISIJAS ZI\u325?OJUMS EIROPAS PARLAMENTAM, PADOMEI, EIROPAS EKONOMIKAS UN SOCI\u256?LO LIETU KOMITEJAI UN RE\u290?IONU KOMITEJA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lv-LV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lv-LV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lv-LV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lv-LV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lv-LV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lv-LV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s://cohesiondata.ec.europa.eu/d/99js-gm5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ohesiondata.ec.europa.eu/d/99js-gm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hesiondata.ec.europa.eu/d/99js-gm52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cohesiondata.ec.europa.eu/d/99js-gm52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1833</Words>
  <Characters>7552</Characters>
  <Application>Microsoft Office Word</Application>
  <DocSecurity>0</DocSecurity>
  <Lines>1078</Lines>
  <Paragraphs>1042</Paragraphs>
  <ScaleCrop>false</ScaleCrop>
  <Company>European Commission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WES PDFC Administrator</cp:lastModifiedBy>
  <cp:revision>9</cp:revision>
  <dcterms:created xsi:type="dcterms:W3CDTF">2019-11-15T14:27:00Z</dcterms:created>
  <dcterms:modified xsi:type="dcterms:W3CDTF">2020-01-03T15:17:00Z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