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99" w:rsidRDefault="00102F57">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2DBDEAA-9566-492D-ABFB-CB7DAF9B61E1" style="width:450.75pt;height:321pt">
            <v:imagedata r:id="rId8" o:title=""/>
          </v:shape>
        </w:pict>
      </w:r>
      <w:bookmarkEnd w:id="1"/>
    </w:p>
    <w:bookmarkEnd w:id="0"/>
    <w:p w:rsidR="001D5899" w:rsidRDefault="001D5899">
      <w:pPr>
        <w:rPr>
          <w:noProof/>
        </w:rPr>
        <w:sectPr w:rsidR="001D589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102F57" w:rsidRDefault="00102F57">
      <w:pPr>
        <w:pStyle w:val="TOC1"/>
        <w:tabs>
          <w:tab w:val="right" w:leader="dot" w:pos="9062"/>
        </w:tabs>
        <w:rPr>
          <w:rFonts w:asciiTheme="minorHAnsi" w:eastAsiaTheme="minorEastAsia" w:hAnsiTheme="minorHAnsi"/>
          <w:b w:val="0"/>
          <w:noProof/>
          <w:sz w:val="22"/>
          <w:lang w:val="en-GB" w:eastAsia="en-GB"/>
        </w:rPr>
      </w:pPr>
      <w:r>
        <w:rPr>
          <w:rFonts w:asciiTheme="minorHAnsi" w:hAnsiTheme="minorHAnsi"/>
          <w:bCs/>
          <w:caps/>
          <w:noProof/>
          <w:sz w:val="22"/>
        </w:rPr>
        <w:lastRenderedPageBreak/>
        <w:fldChar w:fldCharType="begin"/>
      </w:r>
      <w:r>
        <w:rPr>
          <w:rFonts w:asciiTheme="minorHAnsi" w:hAnsiTheme="minorHAnsi"/>
          <w:bCs/>
          <w:caps/>
          <w:noProof/>
          <w:sz w:val="22"/>
        </w:rPr>
        <w:instrText xml:space="preserve"> TOC \o "1-3" \h \z \u </w:instrText>
      </w:r>
      <w:r>
        <w:rPr>
          <w:rFonts w:asciiTheme="minorHAnsi" w:hAnsiTheme="minorHAnsi"/>
          <w:bCs/>
          <w:caps/>
          <w:noProof/>
          <w:sz w:val="22"/>
        </w:rPr>
        <w:fldChar w:fldCharType="separate"/>
      </w:r>
      <w:hyperlink w:anchor="_Toc28961400" w:history="1">
        <w:r w:rsidRPr="0055167B">
          <w:rPr>
            <w:rStyle w:val="Hyperlink"/>
            <w:noProof/>
          </w:rPr>
          <w:t>SISSEJUHATUS</w:t>
        </w:r>
        <w:r>
          <w:rPr>
            <w:noProof/>
            <w:webHidden/>
          </w:rPr>
          <w:tab/>
        </w:r>
        <w:r>
          <w:rPr>
            <w:noProof/>
            <w:webHidden/>
          </w:rPr>
          <w:fldChar w:fldCharType="begin"/>
        </w:r>
        <w:r>
          <w:rPr>
            <w:noProof/>
            <w:webHidden/>
          </w:rPr>
          <w:instrText xml:space="preserve"> PAGEREF _Toc28961400 \h </w:instrText>
        </w:r>
        <w:r>
          <w:rPr>
            <w:noProof/>
            <w:webHidden/>
          </w:rPr>
        </w:r>
        <w:r>
          <w:rPr>
            <w:noProof/>
            <w:webHidden/>
          </w:rPr>
          <w:fldChar w:fldCharType="separate"/>
        </w:r>
        <w:r>
          <w:rPr>
            <w:noProof/>
            <w:webHidden/>
          </w:rPr>
          <w:t>2</w:t>
        </w:r>
        <w:r>
          <w:rPr>
            <w:noProof/>
            <w:webHidden/>
          </w:rPr>
          <w:fldChar w:fldCharType="end"/>
        </w:r>
      </w:hyperlink>
    </w:p>
    <w:p w:rsidR="00102F57" w:rsidRDefault="00102F57">
      <w:pPr>
        <w:pStyle w:val="TOC1"/>
        <w:tabs>
          <w:tab w:val="right" w:leader="dot" w:pos="9062"/>
        </w:tabs>
        <w:rPr>
          <w:rFonts w:asciiTheme="minorHAnsi" w:eastAsiaTheme="minorEastAsia" w:hAnsiTheme="minorHAnsi"/>
          <w:b w:val="0"/>
          <w:noProof/>
          <w:sz w:val="22"/>
          <w:lang w:val="en-GB" w:eastAsia="en-GB"/>
        </w:rPr>
      </w:pPr>
      <w:hyperlink w:anchor="_Toc28961401" w:history="1">
        <w:r w:rsidRPr="0055167B">
          <w:rPr>
            <w:rStyle w:val="Hyperlink"/>
            <w:noProof/>
          </w:rPr>
          <w:t>1. KEERULINE JA KIIRESTI MUUTUV KONTEKST</w:t>
        </w:r>
        <w:r>
          <w:rPr>
            <w:noProof/>
            <w:webHidden/>
          </w:rPr>
          <w:tab/>
        </w:r>
        <w:r>
          <w:rPr>
            <w:noProof/>
            <w:webHidden/>
          </w:rPr>
          <w:fldChar w:fldCharType="begin"/>
        </w:r>
        <w:r>
          <w:rPr>
            <w:noProof/>
            <w:webHidden/>
          </w:rPr>
          <w:instrText xml:space="preserve"> PAGEREF _Toc28961401 \h </w:instrText>
        </w:r>
        <w:r>
          <w:rPr>
            <w:noProof/>
            <w:webHidden/>
          </w:rPr>
        </w:r>
        <w:r>
          <w:rPr>
            <w:noProof/>
            <w:webHidden/>
          </w:rPr>
          <w:fldChar w:fldCharType="separate"/>
        </w:r>
        <w:r>
          <w:rPr>
            <w:noProof/>
            <w:webHidden/>
          </w:rPr>
          <w:t>3</w:t>
        </w:r>
        <w:r>
          <w:rPr>
            <w:noProof/>
            <w:webHidden/>
          </w:rPr>
          <w:fldChar w:fldCharType="end"/>
        </w:r>
      </w:hyperlink>
    </w:p>
    <w:p w:rsidR="00102F57" w:rsidRDefault="00102F57">
      <w:pPr>
        <w:pStyle w:val="TOC1"/>
        <w:tabs>
          <w:tab w:val="right" w:leader="dot" w:pos="9062"/>
        </w:tabs>
        <w:rPr>
          <w:rFonts w:asciiTheme="minorHAnsi" w:eastAsiaTheme="minorEastAsia" w:hAnsiTheme="minorHAnsi"/>
          <w:b w:val="0"/>
          <w:noProof/>
          <w:sz w:val="22"/>
          <w:lang w:val="en-GB" w:eastAsia="en-GB"/>
        </w:rPr>
      </w:pPr>
      <w:hyperlink w:anchor="_Toc28961402" w:history="1">
        <w:r w:rsidRPr="0055167B">
          <w:rPr>
            <w:rStyle w:val="Hyperlink"/>
            <w:noProof/>
          </w:rPr>
          <w:t>2. INVESTEERIMINE ARUKASSE, KESTLIKKU JA KAASAVASSE MAJANDUSKASVU</w:t>
        </w:r>
        <w:r>
          <w:rPr>
            <w:noProof/>
            <w:webHidden/>
          </w:rPr>
          <w:tab/>
        </w:r>
        <w:r>
          <w:rPr>
            <w:noProof/>
            <w:webHidden/>
          </w:rPr>
          <w:fldChar w:fldCharType="begin"/>
        </w:r>
        <w:r>
          <w:rPr>
            <w:noProof/>
            <w:webHidden/>
          </w:rPr>
          <w:instrText xml:space="preserve"> PAGEREF _Toc28961402 \h </w:instrText>
        </w:r>
        <w:r>
          <w:rPr>
            <w:noProof/>
            <w:webHidden/>
          </w:rPr>
        </w:r>
        <w:r>
          <w:rPr>
            <w:noProof/>
            <w:webHidden/>
          </w:rPr>
          <w:fldChar w:fldCharType="separate"/>
        </w:r>
        <w:r>
          <w:rPr>
            <w:noProof/>
            <w:webHidden/>
          </w:rPr>
          <w:t>3</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03" w:history="1">
        <w:r w:rsidRPr="0055167B">
          <w:rPr>
            <w:rStyle w:val="Hyperlink"/>
            <w:noProof/>
          </w:rPr>
          <w:t>2.1. Üldised edusammud</w:t>
        </w:r>
        <w:r>
          <w:rPr>
            <w:noProof/>
            <w:webHidden/>
          </w:rPr>
          <w:tab/>
        </w:r>
        <w:r>
          <w:rPr>
            <w:noProof/>
            <w:webHidden/>
          </w:rPr>
          <w:fldChar w:fldCharType="begin"/>
        </w:r>
        <w:r>
          <w:rPr>
            <w:noProof/>
            <w:webHidden/>
          </w:rPr>
          <w:instrText xml:space="preserve"> PAGEREF _Toc28961403 \h </w:instrText>
        </w:r>
        <w:r>
          <w:rPr>
            <w:noProof/>
            <w:webHidden/>
          </w:rPr>
        </w:r>
        <w:r>
          <w:rPr>
            <w:noProof/>
            <w:webHidden/>
          </w:rPr>
          <w:fldChar w:fldCharType="separate"/>
        </w:r>
        <w:r>
          <w:rPr>
            <w:noProof/>
            <w:webHidden/>
          </w:rPr>
          <w:t>3</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04" w:history="1">
        <w:r w:rsidRPr="0055167B">
          <w:rPr>
            <w:rStyle w:val="Hyperlink"/>
            <w:noProof/>
          </w:rPr>
          <w:t>2.2. Teadusuuringud, tehnoloogiaarendus ja innovatsioon, IKT ja VKEde konkurentsivõime</w:t>
        </w:r>
        <w:r>
          <w:rPr>
            <w:noProof/>
            <w:webHidden/>
          </w:rPr>
          <w:tab/>
        </w:r>
        <w:r>
          <w:rPr>
            <w:noProof/>
            <w:webHidden/>
          </w:rPr>
          <w:fldChar w:fldCharType="begin"/>
        </w:r>
        <w:r>
          <w:rPr>
            <w:noProof/>
            <w:webHidden/>
          </w:rPr>
          <w:instrText xml:space="preserve"> PAGEREF _Toc28961404 \h </w:instrText>
        </w:r>
        <w:r>
          <w:rPr>
            <w:noProof/>
            <w:webHidden/>
          </w:rPr>
        </w:r>
        <w:r>
          <w:rPr>
            <w:noProof/>
            <w:webHidden/>
          </w:rPr>
          <w:fldChar w:fldCharType="separate"/>
        </w:r>
        <w:r>
          <w:rPr>
            <w:noProof/>
            <w:webHidden/>
          </w:rPr>
          <w:t>5</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05" w:history="1">
        <w:r w:rsidRPr="0055167B">
          <w:rPr>
            <w:rStyle w:val="Hyperlink"/>
            <w:noProof/>
          </w:rPr>
          <w:t>2.3. Vähese CO</w:t>
        </w:r>
        <w:r w:rsidRPr="0055167B">
          <w:rPr>
            <w:rStyle w:val="Hyperlink"/>
            <w:noProof/>
            <w:vertAlign w:val="subscript"/>
          </w:rPr>
          <w:t>2</w:t>
        </w:r>
        <w:r w:rsidRPr="0055167B">
          <w:rPr>
            <w:rStyle w:val="Hyperlink"/>
            <w:noProof/>
          </w:rPr>
          <w:t>-heitega majandus, kliimamuutused, keskkond, transport ja energia</w:t>
        </w:r>
        <w:r>
          <w:rPr>
            <w:noProof/>
            <w:webHidden/>
          </w:rPr>
          <w:tab/>
        </w:r>
        <w:r>
          <w:rPr>
            <w:noProof/>
            <w:webHidden/>
          </w:rPr>
          <w:fldChar w:fldCharType="begin"/>
        </w:r>
        <w:r>
          <w:rPr>
            <w:noProof/>
            <w:webHidden/>
          </w:rPr>
          <w:instrText xml:space="preserve"> PAGEREF _Toc28961405 \h </w:instrText>
        </w:r>
        <w:r>
          <w:rPr>
            <w:noProof/>
            <w:webHidden/>
          </w:rPr>
        </w:r>
        <w:r>
          <w:rPr>
            <w:noProof/>
            <w:webHidden/>
          </w:rPr>
          <w:fldChar w:fldCharType="separate"/>
        </w:r>
        <w:r>
          <w:rPr>
            <w:noProof/>
            <w:webHidden/>
          </w:rPr>
          <w:t>5</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06" w:history="1">
        <w:r w:rsidRPr="0055167B">
          <w:rPr>
            <w:rStyle w:val="Hyperlink"/>
            <w:noProof/>
          </w:rPr>
          <w:t>2.4. Tööhõive, sotsiaalne kaasamine, tervishoid ja haridus</w:t>
        </w:r>
        <w:r>
          <w:rPr>
            <w:noProof/>
            <w:webHidden/>
          </w:rPr>
          <w:tab/>
        </w:r>
        <w:r>
          <w:rPr>
            <w:noProof/>
            <w:webHidden/>
          </w:rPr>
          <w:fldChar w:fldCharType="begin"/>
        </w:r>
        <w:r>
          <w:rPr>
            <w:noProof/>
            <w:webHidden/>
          </w:rPr>
          <w:instrText xml:space="preserve"> PAGEREF _Toc28961406 \h </w:instrText>
        </w:r>
        <w:r>
          <w:rPr>
            <w:noProof/>
            <w:webHidden/>
          </w:rPr>
        </w:r>
        <w:r>
          <w:rPr>
            <w:noProof/>
            <w:webHidden/>
          </w:rPr>
          <w:fldChar w:fldCharType="separate"/>
        </w:r>
        <w:r>
          <w:rPr>
            <w:noProof/>
            <w:webHidden/>
          </w:rPr>
          <w:t>7</w:t>
        </w:r>
        <w:r>
          <w:rPr>
            <w:noProof/>
            <w:webHidden/>
          </w:rPr>
          <w:fldChar w:fldCharType="end"/>
        </w:r>
      </w:hyperlink>
    </w:p>
    <w:p w:rsidR="00102F57" w:rsidRDefault="00102F57">
      <w:pPr>
        <w:pStyle w:val="TOC1"/>
        <w:tabs>
          <w:tab w:val="right" w:leader="dot" w:pos="9062"/>
        </w:tabs>
        <w:rPr>
          <w:rFonts w:asciiTheme="minorHAnsi" w:eastAsiaTheme="minorEastAsia" w:hAnsiTheme="minorHAnsi"/>
          <w:b w:val="0"/>
          <w:noProof/>
          <w:sz w:val="22"/>
          <w:lang w:val="en-GB" w:eastAsia="en-GB"/>
        </w:rPr>
      </w:pPr>
      <w:hyperlink w:anchor="_Toc28961407" w:history="1">
        <w:r w:rsidRPr="0055167B">
          <w:rPr>
            <w:rStyle w:val="Hyperlink"/>
            <w:noProof/>
          </w:rPr>
          <w:t>3. 2014.–2020. AASTA PEAMISTE REFORMIDE MÕJU</w:t>
        </w:r>
        <w:r>
          <w:rPr>
            <w:noProof/>
            <w:webHidden/>
          </w:rPr>
          <w:tab/>
        </w:r>
        <w:r>
          <w:rPr>
            <w:noProof/>
            <w:webHidden/>
          </w:rPr>
          <w:fldChar w:fldCharType="begin"/>
        </w:r>
        <w:r>
          <w:rPr>
            <w:noProof/>
            <w:webHidden/>
          </w:rPr>
          <w:instrText xml:space="preserve"> PAGEREF _Toc28961407 \h </w:instrText>
        </w:r>
        <w:r>
          <w:rPr>
            <w:noProof/>
            <w:webHidden/>
          </w:rPr>
        </w:r>
        <w:r>
          <w:rPr>
            <w:noProof/>
            <w:webHidden/>
          </w:rPr>
          <w:fldChar w:fldCharType="separate"/>
        </w:r>
        <w:r>
          <w:rPr>
            <w:noProof/>
            <w:webHidden/>
          </w:rPr>
          <w:t>8</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08" w:history="1">
        <w:r w:rsidRPr="0055167B">
          <w:rPr>
            <w:rStyle w:val="Hyperlink"/>
            <w:noProof/>
          </w:rPr>
          <w:t>3.1. Euroopa struktuuri- ja investeerimisfondide osa Euroopa poolaastas</w:t>
        </w:r>
        <w:r>
          <w:rPr>
            <w:noProof/>
            <w:webHidden/>
          </w:rPr>
          <w:tab/>
        </w:r>
        <w:r>
          <w:rPr>
            <w:noProof/>
            <w:webHidden/>
          </w:rPr>
          <w:fldChar w:fldCharType="begin"/>
        </w:r>
        <w:r>
          <w:rPr>
            <w:noProof/>
            <w:webHidden/>
          </w:rPr>
          <w:instrText xml:space="preserve"> PAGEREF _Toc28961408 \h </w:instrText>
        </w:r>
        <w:r>
          <w:rPr>
            <w:noProof/>
            <w:webHidden/>
          </w:rPr>
        </w:r>
        <w:r>
          <w:rPr>
            <w:noProof/>
            <w:webHidden/>
          </w:rPr>
          <w:fldChar w:fldCharType="separate"/>
        </w:r>
        <w:r>
          <w:rPr>
            <w:noProof/>
            <w:webHidden/>
          </w:rPr>
          <w:t>8</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09" w:history="1">
        <w:r w:rsidRPr="0055167B">
          <w:rPr>
            <w:rStyle w:val="Hyperlink"/>
            <w:noProof/>
          </w:rPr>
          <w:t>3.2. Rahastamise eeltingimused</w:t>
        </w:r>
        <w:r>
          <w:rPr>
            <w:noProof/>
            <w:webHidden/>
          </w:rPr>
          <w:tab/>
        </w:r>
        <w:r>
          <w:rPr>
            <w:noProof/>
            <w:webHidden/>
          </w:rPr>
          <w:fldChar w:fldCharType="begin"/>
        </w:r>
        <w:r>
          <w:rPr>
            <w:noProof/>
            <w:webHidden/>
          </w:rPr>
          <w:instrText xml:space="preserve"> PAGEREF _Toc28961409 \h </w:instrText>
        </w:r>
        <w:r>
          <w:rPr>
            <w:noProof/>
            <w:webHidden/>
          </w:rPr>
        </w:r>
        <w:r>
          <w:rPr>
            <w:noProof/>
            <w:webHidden/>
          </w:rPr>
          <w:fldChar w:fldCharType="separate"/>
        </w:r>
        <w:r>
          <w:rPr>
            <w:noProof/>
            <w:webHidden/>
          </w:rPr>
          <w:t>8</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10" w:history="1">
        <w:r w:rsidRPr="0055167B">
          <w:rPr>
            <w:rStyle w:val="Hyperlink"/>
            <w:noProof/>
          </w:rPr>
          <w:t>3.3. Kulukohustustest vabastamise reegel N+3</w:t>
        </w:r>
        <w:r>
          <w:rPr>
            <w:noProof/>
            <w:webHidden/>
          </w:rPr>
          <w:tab/>
        </w:r>
        <w:r>
          <w:rPr>
            <w:noProof/>
            <w:webHidden/>
          </w:rPr>
          <w:fldChar w:fldCharType="begin"/>
        </w:r>
        <w:r>
          <w:rPr>
            <w:noProof/>
            <w:webHidden/>
          </w:rPr>
          <w:instrText xml:space="preserve"> PAGEREF _Toc28961410 \h </w:instrText>
        </w:r>
        <w:r>
          <w:rPr>
            <w:noProof/>
            <w:webHidden/>
          </w:rPr>
        </w:r>
        <w:r>
          <w:rPr>
            <w:noProof/>
            <w:webHidden/>
          </w:rPr>
          <w:fldChar w:fldCharType="separate"/>
        </w:r>
        <w:r>
          <w:rPr>
            <w:noProof/>
            <w:webHidden/>
          </w:rPr>
          <w:t>8</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11" w:history="1">
        <w:r w:rsidRPr="0055167B">
          <w:rPr>
            <w:rStyle w:val="Hyperlink"/>
            <w:noProof/>
          </w:rPr>
          <w:t>3.4. Tulemusraamistik</w:t>
        </w:r>
        <w:r>
          <w:rPr>
            <w:noProof/>
            <w:webHidden/>
          </w:rPr>
          <w:tab/>
        </w:r>
        <w:r>
          <w:rPr>
            <w:noProof/>
            <w:webHidden/>
          </w:rPr>
          <w:fldChar w:fldCharType="begin"/>
        </w:r>
        <w:r>
          <w:rPr>
            <w:noProof/>
            <w:webHidden/>
          </w:rPr>
          <w:instrText xml:space="preserve"> PAGEREF _Toc28961411 \h </w:instrText>
        </w:r>
        <w:r>
          <w:rPr>
            <w:noProof/>
            <w:webHidden/>
          </w:rPr>
        </w:r>
        <w:r>
          <w:rPr>
            <w:noProof/>
            <w:webHidden/>
          </w:rPr>
          <w:fldChar w:fldCharType="separate"/>
        </w:r>
        <w:r>
          <w:rPr>
            <w:noProof/>
            <w:webHidden/>
          </w:rPr>
          <w:t>9</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12" w:history="1">
        <w:r w:rsidRPr="0055167B">
          <w:rPr>
            <w:rStyle w:val="Hyperlink"/>
            <w:noProof/>
          </w:rPr>
          <w:t>3.5. Integreeritud territoriaalse arengu toetamine</w:t>
        </w:r>
        <w:r>
          <w:rPr>
            <w:noProof/>
            <w:webHidden/>
          </w:rPr>
          <w:tab/>
        </w:r>
        <w:r>
          <w:rPr>
            <w:noProof/>
            <w:webHidden/>
          </w:rPr>
          <w:fldChar w:fldCharType="begin"/>
        </w:r>
        <w:r>
          <w:rPr>
            <w:noProof/>
            <w:webHidden/>
          </w:rPr>
          <w:instrText xml:space="preserve"> PAGEREF _Toc28961412 \h </w:instrText>
        </w:r>
        <w:r>
          <w:rPr>
            <w:noProof/>
            <w:webHidden/>
          </w:rPr>
        </w:r>
        <w:r>
          <w:rPr>
            <w:noProof/>
            <w:webHidden/>
          </w:rPr>
          <w:fldChar w:fldCharType="separate"/>
        </w:r>
        <w:r>
          <w:rPr>
            <w:noProof/>
            <w:webHidden/>
          </w:rPr>
          <w:t>9</w:t>
        </w:r>
        <w:r>
          <w:rPr>
            <w:noProof/>
            <w:webHidden/>
          </w:rPr>
          <w:fldChar w:fldCharType="end"/>
        </w:r>
      </w:hyperlink>
    </w:p>
    <w:p w:rsidR="00102F57" w:rsidRDefault="00102F57">
      <w:pPr>
        <w:pStyle w:val="TOC3"/>
        <w:tabs>
          <w:tab w:val="right" w:leader="dot" w:pos="9062"/>
        </w:tabs>
        <w:rPr>
          <w:rFonts w:asciiTheme="minorHAnsi" w:eastAsiaTheme="minorEastAsia" w:hAnsiTheme="minorHAnsi"/>
          <w:i w:val="0"/>
          <w:noProof/>
          <w:sz w:val="22"/>
          <w:lang w:val="en-GB" w:eastAsia="en-GB"/>
        </w:rPr>
      </w:pPr>
      <w:hyperlink w:anchor="_Toc28961413" w:history="1">
        <w:r w:rsidRPr="0055167B">
          <w:rPr>
            <w:rStyle w:val="Hyperlink"/>
            <w:noProof/>
          </w:rPr>
          <w:t>3.5.1. Integreeritud investeeringud linnades</w:t>
        </w:r>
        <w:r>
          <w:rPr>
            <w:noProof/>
            <w:webHidden/>
          </w:rPr>
          <w:tab/>
        </w:r>
        <w:r>
          <w:rPr>
            <w:noProof/>
            <w:webHidden/>
          </w:rPr>
          <w:fldChar w:fldCharType="begin"/>
        </w:r>
        <w:r>
          <w:rPr>
            <w:noProof/>
            <w:webHidden/>
          </w:rPr>
          <w:instrText xml:space="preserve"> PAGEREF _Toc28961413 \h </w:instrText>
        </w:r>
        <w:r>
          <w:rPr>
            <w:noProof/>
            <w:webHidden/>
          </w:rPr>
        </w:r>
        <w:r>
          <w:rPr>
            <w:noProof/>
            <w:webHidden/>
          </w:rPr>
          <w:fldChar w:fldCharType="separate"/>
        </w:r>
        <w:r>
          <w:rPr>
            <w:noProof/>
            <w:webHidden/>
          </w:rPr>
          <w:t>9</w:t>
        </w:r>
        <w:r>
          <w:rPr>
            <w:noProof/>
            <w:webHidden/>
          </w:rPr>
          <w:fldChar w:fldCharType="end"/>
        </w:r>
      </w:hyperlink>
    </w:p>
    <w:p w:rsidR="00102F57" w:rsidRDefault="00102F57">
      <w:pPr>
        <w:pStyle w:val="TOC3"/>
        <w:tabs>
          <w:tab w:val="right" w:leader="dot" w:pos="9062"/>
        </w:tabs>
        <w:rPr>
          <w:rFonts w:asciiTheme="minorHAnsi" w:eastAsiaTheme="minorEastAsia" w:hAnsiTheme="minorHAnsi"/>
          <w:i w:val="0"/>
          <w:noProof/>
          <w:sz w:val="22"/>
          <w:lang w:val="en-GB" w:eastAsia="en-GB"/>
        </w:rPr>
      </w:pPr>
      <w:hyperlink w:anchor="_Toc28961414" w:history="1">
        <w:r w:rsidRPr="0055167B">
          <w:rPr>
            <w:rStyle w:val="Hyperlink"/>
            <w:noProof/>
          </w:rPr>
          <w:t>3.5.2. Territoriaalsete vahendite rakendamine</w:t>
        </w:r>
        <w:r>
          <w:rPr>
            <w:noProof/>
            <w:webHidden/>
          </w:rPr>
          <w:tab/>
        </w:r>
        <w:r>
          <w:rPr>
            <w:noProof/>
            <w:webHidden/>
          </w:rPr>
          <w:fldChar w:fldCharType="begin"/>
        </w:r>
        <w:r>
          <w:rPr>
            <w:noProof/>
            <w:webHidden/>
          </w:rPr>
          <w:instrText xml:space="preserve"> PAGEREF _Toc28961414 \h </w:instrText>
        </w:r>
        <w:r>
          <w:rPr>
            <w:noProof/>
            <w:webHidden/>
          </w:rPr>
        </w:r>
        <w:r>
          <w:rPr>
            <w:noProof/>
            <w:webHidden/>
          </w:rPr>
          <w:fldChar w:fldCharType="separate"/>
        </w:r>
        <w:r>
          <w:rPr>
            <w:noProof/>
            <w:webHidden/>
          </w:rPr>
          <w:t>10</w:t>
        </w:r>
        <w:r>
          <w:rPr>
            <w:noProof/>
            <w:webHidden/>
          </w:rPr>
          <w:fldChar w:fldCharType="end"/>
        </w:r>
      </w:hyperlink>
    </w:p>
    <w:p w:rsidR="00102F57" w:rsidRDefault="00102F57">
      <w:pPr>
        <w:pStyle w:val="TOC3"/>
        <w:tabs>
          <w:tab w:val="right" w:leader="dot" w:pos="9062"/>
        </w:tabs>
        <w:rPr>
          <w:rFonts w:asciiTheme="minorHAnsi" w:eastAsiaTheme="minorEastAsia" w:hAnsiTheme="minorHAnsi"/>
          <w:i w:val="0"/>
          <w:noProof/>
          <w:sz w:val="22"/>
          <w:lang w:val="en-GB" w:eastAsia="en-GB"/>
        </w:rPr>
      </w:pPr>
      <w:hyperlink w:anchor="_Toc28961415" w:history="1">
        <w:r w:rsidRPr="0055167B">
          <w:rPr>
            <w:rStyle w:val="Hyperlink"/>
            <w:noProof/>
          </w:rPr>
          <w:t>3.5.3. Territoriaalne koostöö</w:t>
        </w:r>
        <w:r>
          <w:rPr>
            <w:noProof/>
            <w:webHidden/>
          </w:rPr>
          <w:tab/>
        </w:r>
        <w:r>
          <w:rPr>
            <w:noProof/>
            <w:webHidden/>
          </w:rPr>
          <w:fldChar w:fldCharType="begin"/>
        </w:r>
        <w:r>
          <w:rPr>
            <w:noProof/>
            <w:webHidden/>
          </w:rPr>
          <w:instrText xml:space="preserve"> PAGEREF _Toc28961415 \h </w:instrText>
        </w:r>
        <w:r>
          <w:rPr>
            <w:noProof/>
            <w:webHidden/>
          </w:rPr>
        </w:r>
        <w:r>
          <w:rPr>
            <w:noProof/>
            <w:webHidden/>
          </w:rPr>
          <w:fldChar w:fldCharType="separate"/>
        </w:r>
        <w:r>
          <w:rPr>
            <w:noProof/>
            <w:webHidden/>
          </w:rPr>
          <w:t>10</w:t>
        </w:r>
        <w:r>
          <w:rPr>
            <w:noProof/>
            <w:webHidden/>
          </w:rPr>
          <w:fldChar w:fldCharType="end"/>
        </w:r>
      </w:hyperlink>
    </w:p>
    <w:p w:rsidR="00102F57" w:rsidRDefault="00102F57">
      <w:pPr>
        <w:pStyle w:val="TOC1"/>
        <w:tabs>
          <w:tab w:val="right" w:leader="dot" w:pos="9062"/>
        </w:tabs>
        <w:rPr>
          <w:rFonts w:asciiTheme="minorHAnsi" w:eastAsiaTheme="minorEastAsia" w:hAnsiTheme="minorHAnsi"/>
          <w:b w:val="0"/>
          <w:noProof/>
          <w:sz w:val="22"/>
          <w:lang w:val="en-GB" w:eastAsia="en-GB"/>
        </w:rPr>
      </w:pPr>
      <w:hyperlink w:anchor="_Toc28961416" w:history="1">
        <w:r w:rsidRPr="0055167B">
          <w:rPr>
            <w:rStyle w:val="Hyperlink"/>
            <w:noProof/>
          </w:rPr>
          <w:t>4. PROGRAMMI PAREM JUHTIMINE</w:t>
        </w:r>
        <w:r>
          <w:rPr>
            <w:noProof/>
            <w:webHidden/>
          </w:rPr>
          <w:tab/>
        </w:r>
        <w:r>
          <w:rPr>
            <w:noProof/>
            <w:webHidden/>
          </w:rPr>
          <w:fldChar w:fldCharType="begin"/>
        </w:r>
        <w:r>
          <w:rPr>
            <w:noProof/>
            <w:webHidden/>
          </w:rPr>
          <w:instrText xml:space="preserve"> PAGEREF _Toc28961416 \h </w:instrText>
        </w:r>
        <w:r>
          <w:rPr>
            <w:noProof/>
            <w:webHidden/>
          </w:rPr>
        </w:r>
        <w:r>
          <w:rPr>
            <w:noProof/>
            <w:webHidden/>
          </w:rPr>
          <w:fldChar w:fldCharType="separate"/>
        </w:r>
        <w:r>
          <w:rPr>
            <w:noProof/>
            <w:webHidden/>
          </w:rPr>
          <w:t>11</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17" w:history="1">
        <w:r w:rsidRPr="0055167B">
          <w:rPr>
            <w:rStyle w:val="Hyperlink"/>
            <w:noProof/>
          </w:rPr>
          <w:t>4.1. Ametiasutuste ja toetusesaajate suutlikkus</w:t>
        </w:r>
        <w:r>
          <w:rPr>
            <w:noProof/>
            <w:webHidden/>
          </w:rPr>
          <w:tab/>
        </w:r>
        <w:r>
          <w:rPr>
            <w:noProof/>
            <w:webHidden/>
          </w:rPr>
          <w:fldChar w:fldCharType="begin"/>
        </w:r>
        <w:r>
          <w:rPr>
            <w:noProof/>
            <w:webHidden/>
          </w:rPr>
          <w:instrText xml:space="preserve"> PAGEREF _Toc28961417 \h </w:instrText>
        </w:r>
        <w:r>
          <w:rPr>
            <w:noProof/>
            <w:webHidden/>
          </w:rPr>
        </w:r>
        <w:r>
          <w:rPr>
            <w:noProof/>
            <w:webHidden/>
          </w:rPr>
          <w:fldChar w:fldCharType="separate"/>
        </w:r>
        <w:r>
          <w:rPr>
            <w:noProof/>
            <w:webHidden/>
          </w:rPr>
          <w:t>11</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18" w:history="1">
        <w:r w:rsidRPr="0055167B">
          <w:rPr>
            <w:rStyle w:val="Hyperlink"/>
            <w:noProof/>
          </w:rPr>
          <w:t>4.2. Lihtsamad menetlused toetusesaajatele</w:t>
        </w:r>
        <w:r>
          <w:rPr>
            <w:noProof/>
            <w:webHidden/>
          </w:rPr>
          <w:tab/>
        </w:r>
        <w:r>
          <w:rPr>
            <w:noProof/>
            <w:webHidden/>
          </w:rPr>
          <w:fldChar w:fldCharType="begin"/>
        </w:r>
        <w:r>
          <w:rPr>
            <w:noProof/>
            <w:webHidden/>
          </w:rPr>
          <w:instrText xml:space="preserve"> PAGEREF _Toc28961418 \h </w:instrText>
        </w:r>
        <w:r>
          <w:rPr>
            <w:noProof/>
            <w:webHidden/>
          </w:rPr>
        </w:r>
        <w:r>
          <w:rPr>
            <w:noProof/>
            <w:webHidden/>
          </w:rPr>
          <w:fldChar w:fldCharType="separate"/>
        </w:r>
        <w:r>
          <w:rPr>
            <w:noProof/>
            <w:webHidden/>
          </w:rPr>
          <w:t>11</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19" w:history="1">
        <w:r w:rsidRPr="0055167B">
          <w:rPr>
            <w:rStyle w:val="Hyperlink"/>
            <w:noProof/>
          </w:rPr>
          <w:t>4.3.</w:t>
        </w:r>
        <w:r w:rsidRPr="0055167B">
          <w:rPr>
            <w:rStyle w:val="Hyperlink"/>
            <w:caps/>
            <w:noProof/>
          </w:rPr>
          <w:t xml:space="preserve"> </w:t>
        </w:r>
        <w:r w:rsidRPr="0055167B">
          <w:rPr>
            <w:rStyle w:val="Hyperlink"/>
            <w:noProof/>
          </w:rPr>
          <w:t>Partnerite roll programmide rakendamises</w:t>
        </w:r>
        <w:r>
          <w:rPr>
            <w:noProof/>
            <w:webHidden/>
          </w:rPr>
          <w:tab/>
        </w:r>
        <w:r>
          <w:rPr>
            <w:noProof/>
            <w:webHidden/>
          </w:rPr>
          <w:fldChar w:fldCharType="begin"/>
        </w:r>
        <w:r>
          <w:rPr>
            <w:noProof/>
            <w:webHidden/>
          </w:rPr>
          <w:instrText xml:space="preserve"> PAGEREF _Toc28961419 \h </w:instrText>
        </w:r>
        <w:r>
          <w:rPr>
            <w:noProof/>
            <w:webHidden/>
          </w:rPr>
        </w:r>
        <w:r>
          <w:rPr>
            <w:noProof/>
            <w:webHidden/>
          </w:rPr>
          <w:fldChar w:fldCharType="separate"/>
        </w:r>
        <w:r>
          <w:rPr>
            <w:noProof/>
            <w:webHidden/>
          </w:rPr>
          <w:t>12</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20" w:history="1">
        <w:r w:rsidRPr="0055167B">
          <w:rPr>
            <w:rStyle w:val="Hyperlink"/>
            <w:noProof/>
          </w:rPr>
          <w:t>4.4.</w:t>
        </w:r>
        <w:r w:rsidRPr="0055167B">
          <w:rPr>
            <w:rStyle w:val="Hyperlink"/>
            <w:caps/>
            <w:noProof/>
          </w:rPr>
          <w:t xml:space="preserve"> </w:t>
        </w:r>
        <w:r w:rsidRPr="0055167B">
          <w:rPr>
            <w:rStyle w:val="Hyperlink"/>
            <w:noProof/>
          </w:rPr>
          <w:t>Horisontaalsete põhimõtete ja poliitikaeesmärkide rakendamine</w:t>
        </w:r>
        <w:r>
          <w:rPr>
            <w:noProof/>
            <w:webHidden/>
          </w:rPr>
          <w:tab/>
        </w:r>
        <w:r>
          <w:rPr>
            <w:noProof/>
            <w:webHidden/>
          </w:rPr>
          <w:fldChar w:fldCharType="begin"/>
        </w:r>
        <w:r>
          <w:rPr>
            <w:noProof/>
            <w:webHidden/>
          </w:rPr>
          <w:instrText xml:space="preserve"> PAGEREF _Toc28961420 \h </w:instrText>
        </w:r>
        <w:r>
          <w:rPr>
            <w:noProof/>
            <w:webHidden/>
          </w:rPr>
        </w:r>
        <w:r>
          <w:rPr>
            <w:noProof/>
            <w:webHidden/>
          </w:rPr>
          <w:fldChar w:fldCharType="separate"/>
        </w:r>
        <w:r>
          <w:rPr>
            <w:noProof/>
            <w:webHidden/>
          </w:rPr>
          <w:t>12</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21" w:history="1">
        <w:r w:rsidRPr="0055167B">
          <w:rPr>
            <w:rStyle w:val="Hyperlink"/>
            <w:noProof/>
          </w:rPr>
          <w:t>4.5. Parem vastastikune täiendavus suurema mõju saavutamiseks</w:t>
        </w:r>
        <w:r>
          <w:rPr>
            <w:noProof/>
            <w:webHidden/>
          </w:rPr>
          <w:tab/>
        </w:r>
        <w:r>
          <w:rPr>
            <w:noProof/>
            <w:webHidden/>
          </w:rPr>
          <w:fldChar w:fldCharType="begin"/>
        </w:r>
        <w:r>
          <w:rPr>
            <w:noProof/>
            <w:webHidden/>
          </w:rPr>
          <w:instrText xml:space="preserve"> PAGEREF _Toc28961421 \h </w:instrText>
        </w:r>
        <w:r>
          <w:rPr>
            <w:noProof/>
            <w:webHidden/>
          </w:rPr>
        </w:r>
        <w:r>
          <w:rPr>
            <w:noProof/>
            <w:webHidden/>
          </w:rPr>
          <w:fldChar w:fldCharType="separate"/>
        </w:r>
        <w:r>
          <w:rPr>
            <w:noProof/>
            <w:webHidden/>
          </w:rPr>
          <w:t>12</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22" w:history="1">
        <w:r w:rsidRPr="0055167B">
          <w:rPr>
            <w:rStyle w:val="Hyperlink"/>
            <w:noProof/>
          </w:rPr>
          <w:t>4.6. Euroopa struktuuri- ja investeerimisfondide hindamise kokkuvõte</w:t>
        </w:r>
        <w:r>
          <w:rPr>
            <w:noProof/>
            <w:webHidden/>
          </w:rPr>
          <w:tab/>
        </w:r>
        <w:r>
          <w:rPr>
            <w:noProof/>
            <w:webHidden/>
          </w:rPr>
          <w:fldChar w:fldCharType="begin"/>
        </w:r>
        <w:r>
          <w:rPr>
            <w:noProof/>
            <w:webHidden/>
          </w:rPr>
          <w:instrText xml:space="preserve"> PAGEREF _Toc28961422 \h </w:instrText>
        </w:r>
        <w:r>
          <w:rPr>
            <w:noProof/>
            <w:webHidden/>
          </w:rPr>
        </w:r>
        <w:r>
          <w:rPr>
            <w:noProof/>
            <w:webHidden/>
          </w:rPr>
          <w:fldChar w:fldCharType="separate"/>
        </w:r>
        <w:r>
          <w:rPr>
            <w:noProof/>
            <w:webHidden/>
          </w:rPr>
          <w:t>13</w:t>
        </w:r>
        <w:r>
          <w:rPr>
            <w:noProof/>
            <w:webHidden/>
          </w:rPr>
          <w:fldChar w:fldCharType="end"/>
        </w:r>
      </w:hyperlink>
    </w:p>
    <w:p w:rsidR="00102F57" w:rsidRDefault="00102F57">
      <w:pPr>
        <w:pStyle w:val="TOC2"/>
        <w:tabs>
          <w:tab w:val="right" w:leader="dot" w:pos="9062"/>
        </w:tabs>
        <w:rPr>
          <w:rFonts w:asciiTheme="minorHAnsi" w:eastAsiaTheme="minorEastAsia" w:hAnsiTheme="minorHAnsi"/>
          <w:noProof/>
          <w:sz w:val="22"/>
          <w:lang w:val="en-GB" w:eastAsia="en-GB"/>
        </w:rPr>
      </w:pPr>
      <w:hyperlink w:anchor="_Toc28961423" w:history="1">
        <w:r w:rsidRPr="0055167B">
          <w:rPr>
            <w:rStyle w:val="Hyperlink"/>
            <w:noProof/>
          </w:rPr>
          <w:t>4.7. Euroopa struktuuri- ja investeerimisfondidest teavitamine</w:t>
        </w:r>
        <w:r>
          <w:rPr>
            <w:noProof/>
            <w:webHidden/>
          </w:rPr>
          <w:tab/>
        </w:r>
        <w:r>
          <w:rPr>
            <w:noProof/>
            <w:webHidden/>
          </w:rPr>
          <w:fldChar w:fldCharType="begin"/>
        </w:r>
        <w:r>
          <w:rPr>
            <w:noProof/>
            <w:webHidden/>
          </w:rPr>
          <w:instrText xml:space="preserve"> PAGEREF _Toc28961423 \h </w:instrText>
        </w:r>
        <w:r>
          <w:rPr>
            <w:noProof/>
            <w:webHidden/>
          </w:rPr>
        </w:r>
        <w:r>
          <w:rPr>
            <w:noProof/>
            <w:webHidden/>
          </w:rPr>
          <w:fldChar w:fldCharType="separate"/>
        </w:r>
        <w:r>
          <w:rPr>
            <w:noProof/>
            <w:webHidden/>
          </w:rPr>
          <w:t>13</w:t>
        </w:r>
        <w:r>
          <w:rPr>
            <w:noProof/>
            <w:webHidden/>
          </w:rPr>
          <w:fldChar w:fldCharType="end"/>
        </w:r>
      </w:hyperlink>
    </w:p>
    <w:p w:rsidR="00102F57" w:rsidRDefault="00102F57">
      <w:pPr>
        <w:pStyle w:val="TOC1"/>
        <w:tabs>
          <w:tab w:val="right" w:leader="dot" w:pos="9062"/>
        </w:tabs>
        <w:rPr>
          <w:rFonts w:asciiTheme="minorHAnsi" w:eastAsiaTheme="minorEastAsia" w:hAnsiTheme="minorHAnsi"/>
          <w:b w:val="0"/>
          <w:noProof/>
          <w:sz w:val="22"/>
          <w:lang w:val="en-GB" w:eastAsia="en-GB"/>
        </w:rPr>
      </w:pPr>
      <w:hyperlink w:anchor="_Toc28961424" w:history="1">
        <w:r w:rsidRPr="0055167B">
          <w:rPr>
            <w:rStyle w:val="Hyperlink"/>
            <w:noProof/>
          </w:rPr>
          <w:t>KOKKUVÕTE</w:t>
        </w:r>
        <w:r>
          <w:rPr>
            <w:noProof/>
            <w:webHidden/>
          </w:rPr>
          <w:tab/>
        </w:r>
        <w:r>
          <w:rPr>
            <w:noProof/>
            <w:webHidden/>
          </w:rPr>
          <w:fldChar w:fldCharType="begin"/>
        </w:r>
        <w:r>
          <w:rPr>
            <w:noProof/>
            <w:webHidden/>
          </w:rPr>
          <w:instrText xml:space="preserve"> PAGEREF _Toc28961424 \h </w:instrText>
        </w:r>
        <w:r>
          <w:rPr>
            <w:noProof/>
            <w:webHidden/>
          </w:rPr>
        </w:r>
        <w:r>
          <w:rPr>
            <w:noProof/>
            <w:webHidden/>
          </w:rPr>
          <w:fldChar w:fldCharType="separate"/>
        </w:r>
        <w:r>
          <w:rPr>
            <w:noProof/>
            <w:webHidden/>
          </w:rPr>
          <w:t>15</w:t>
        </w:r>
        <w:r>
          <w:rPr>
            <w:noProof/>
            <w:webHidden/>
          </w:rPr>
          <w:fldChar w:fldCharType="end"/>
        </w:r>
      </w:hyperlink>
    </w:p>
    <w:p w:rsidR="001D5899" w:rsidRDefault="00102F57">
      <w:pPr>
        <w:pStyle w:val="Heading1"/>
        <w:rPr>
          <w:rFonts w:asciiTheme="minorHAnsi" w:eastAsiaTheme="minorHAnsi" w:hAnsiTheme="minorHAnsi" w:cstheme="minorBidi"/>
          <w:bCs w:val="0"/>
          <w:caps w:val="0"/>
          <w:noProof/>
          <w:sz w:val="22"/>
          <w:szCs w:val="22"/>
        </w:rPr>
        <w:sectPr w:rsidR="001D589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20"/>
          <w:docGrid w:linePitch="360"/>
        </w:sectPr>
      </w:pPr>
      <w:r>
        <w:rPr>
          <w:rFonts w:asciiTheme="minorHAnsi" w:eastAsiaTheme="minorHAnsi" w:hAnsiTheme="minorHAnsi" w:cstheme="minorBidi"/>
          <w:bCs w:val="0"/>
          <w:caps w:val="0"/>
          <w:noProof/>
          <w:sz w:val="22"/>
          <w:szCs w:val="22"/>
        </w:rPr>
        <w:fldChar w:fldCharType="end"/>
      </w:r>
    </w:p>
    <w:p w:rsidR="001D5899" w:rsidRDefault="00102F57">
      <w:pPr>
        <w:pStyle w:val="Heading1"/>
        <w:rPr>
          <w:rFonts w:asciiTheme="minorHAnsi" w:eastAsiaTheme="minorHAnsi" w:hAnsiTheme="minorHAnsi" w:cstheme="minorBidi"/>
          <w:bCs w:val="0"/>
          <w:caps w:val="0"/>
          <w:noProof/>
          <w:sz w:val="22"/>
          <w:szCs w:val="22"/>
        </w:rPr>
      </w:pPr>
      <w:bookmarkStart w:id="2" w:name="_Toc28961400"/>
      <w:r>
        <w:rPr>
          <w:noProof/>
        </w:rPr>
        <w:lastRenderedPageBreak/>
        <w:t>SISSEJUHATUS</w:t>
      </w:r>
      <w:bookmarkEnd w:id="2"/>
    </w:p>
    <w:p w:rsidR="001D5899" w:rsidRDefault="00102F57">
      <w:pPr>
        <w:spacing w:before="120"/>
        <w:rPr>
          <w:rFonts w:cs="Times New Roman"/>
          <w:noProof/>
        </w:rPr>
      </w:pPr>
      <w:r>
        <w:rPr>
          <w:noProof/>
        </w:rPr>
        <w:t>Euroopa struktuuri- ja investeerimisfondide</w:t>
      </w:r>
      <w:r>
        <w:rPr>
          <w:rStyle w:val="FootnoteReference"/>
          <w:rFonts w:cs="Times New Roman"/>
          <w:noProof/>
        </w:rPr>
        <w:footnoteReference w:id="1"/>
      </w:r>
      <w:r>
        <w:rPr>
          <w:noProof/>
        </w:rPr>
        <w:t xml:space="preserve"> põhieesmärk on edendada pidevat sotsiaal-majanduslikku lähenemist, vastupanuvõimet ja territoriaalset ühtekuuluvust. Euroopa struktuuri- ja investeerimisfondid tagavad komisjoni ja liikmesriikide vahelise jagatud eelarve täitmise kaudu investeeringute kri</w:t>
      </w:r>
      <w:r>
        <w:rPr>
          <w:noProof/>
        </w:rPr>
        <w:t>itilise massi</w:t>
      </w:r>
      <w:r>
        <w:rPr>
          <w:rFonts w:cs="Times New Roman"/>
          <w:noProof/>
          <w:vertAlign w:val="superscript"/>
        </w:rPr>
        <w:footnoteReference w:id="2"/>
      </w:r>
      <w:r>
        <w:rPr>
          <w:noProof/>
        </w:rPr>
        <w:t xml:space="preserve"> ELi esmatähtsates valdkondades. Nende investeeringutega rahuldatakse reaalmajanduse vajadusi, toetades töökohtade loomist, majanduskasvu ja investeerimist ning tugevdades ühtset turgu, energialiitu ja majanduse juhtimist. </w:t>
      </w:r>
    </w:p>
    <w:p w:rsidR="001D5899" w:rsidRDefault="00102F57">
      <w:pPr>
        <w:spacing w:before="120"/>
        <w:rPr>
          <w:rFonts w:cs="Times New Roman"/>
          <w:noProof/>
        </w:rPr>
      </w:pPr>
      <w:r>
        <w:rPr>
          <w:noProof/>
        </w:rPr>
        <w:t>Käesolev teine str</w:t>
      </w:r>
      <w:r>
        <w:rPr>
          <w:noProof/>
        </w:rPr>
        <w:t>ateegiline aruanne</w:t>
      </w:r>
      <w:r>
        <w:rPr>
          <w:rStyle w:val="FootnoteReference"/>
          <w:rFonts w:cs="Times New Roman"/>
          <w:noProof/>
        </w:rPr>
        <w:footnoteReference w:id="3"/>
      </w:r>
      <w:r>
        <w:rPr>
          <w:noProof/>
        </w:rPr>
        <w:t xml:space="preserve"> põhineb liikmesriikide rakendamis- ja eduaruannetel Euroopa struktuuri- ja investeerimisfondide 2014.–2020. aasta programmide rakendamise kohta kuni 2018. aasta lõpuni</w:t>
      </w:r>
      <w:r>
        <w:rPr>
          <w:rStyle w:val="FootnoteReference"/>
          <w:rFonts w:cs="Times New Roman"/>
          <w:noProof/>
        </w:rPr>
        <w:footnoteReference w:id="4"/>
      </w:r>
      <w:r>
        <w:rPr>
          <w:noProof/>
        </w:rPr>
        <w:t>. Selleks ajaks oli Euroopa struktuuri- ja investeerimisfondide kasu</w:t>
      </w:r>
      <w:r>
        <w:rPr>
          <w:noProof/>
        </w:rPr>
        <w:t>tada olevatest vahenditest võetud kulukohustusi 72 % suhtes</w:t>
      </w:r>
      <w:r>
        <w:rPr>
          <w:rStyle w:val="FootnoteReference"/>
          <w:rFonts w:cs="Times New Roman"/>
          <w:noProof/>
        </w:rPr>
        <w:footnoteReference w:id="5"/>
      </w:r>
      <w:r>
        <w:rPr>
          <w:noProof/>
        </w:rPr>
        <w:t>. Rahastatud projektidel on peamistes poliitikavaldkondades järjest suurem mõju, näiteks:</w:t>
      </w:r>
    </w:p>
    <w:p w:rsidR="001D5899" w:rsidRDefault="00102F57">
      <w:pPr>
        <w:pStyle w:val="ListParagraph"/>
        <w:numPr>
          <w:ilvl w:val="0"/>
          <w:numId w:val="48"/>
        </w:numPr>
        <w:spacing w:before="120"/>
        <w:rPr>
          <w:rFonts w:cs="Times New Roman"/>
          <w:noProof/>
        </w:rPr>
      </w:pPr>
      <w:r>
        <w:rPr>
          <w:noProof/>
        </w:rPr>
        <w:t>toetatakse rohkem kui 1,6 miljonit ettevõtet, sealhulgas põllumajandusettevõtteid;</w:t>
      </w:r>
    </w:p>
    <w:p w:rsidR="001D5899" w:rsidRDefault="00102F57">
      <w:pPr>
        <w:pStyle w:val="ListParagraph"/>
        <w:numPr>
          <w:ilvl w:val="0"/>
          <w:numId w:val="48"/>
        </w:numPr>
        <w:spacing w:before="120"/>
        <w:rPr>
          <w:rFonts w:cs="Times New Roman"/>
          <w:noProof/>
        </w:rPr>
      </w:pPr>
      <w:r>
        <w:rPr>
          <w:noProof/>
        </w:rPr>
        <w:t>toetust saavad ettevõtt</w:t>
      </w:r>
      <w:r>
        <w:rPr>
          <w:noProof/>
        </w:rPr>
        <w:t xml:space="preserve">ed loovad 300 000 uut töökohta; </w:t>
      </w:r>
    </w:p>
    <w:p w:rsidR="001D5899" w:rsidRDefault="00102F57">
      <w:pPr>
        <w:pStyle w:val="ListParagraph"/>
        <w:numPr>
          <w:ilvl w:val="0"/>
          <w:numId w:val="48"/>
        </w:numPr>
        <w:spacing w:before="120"/>
        <w:rPr>
          <w:rFonts w:cs="Times New Roman"/>
          <w:noProof/>
        </w:rPr>
      </w:pPr>
      <w:r>
        <w:rPr>
          <w:noProof/>
        </w:rPr>
        <w:t>26 miljonit inimest on saanud toetust koolituseks, hariduse omandamiseks või töö otsimiseks;</w:t>
      </w:r>
    </w:p>
    <w:p w:rsidR="001D5899" w:rsidRDefault="00102F57">
      <w:pPr>
        <w:pStyle w:val="ListParagraph"/>
        <w:numPr>
          <w:ilvl w:val="0"/>
          <w:numId w:val="48"/>
        </w:numPr>
        <w:spacing w:before="120"/>
        <w:rPr>
          <w:rFonts w:cs="Times New Roman"/>
          <w:noProof/>
        </w:rPr>
      </w:pPr>
      <w:r>
        <w:rPr>
          <w:noProof/>
        </w:rPr>
        <w:t>8,3 miljonil kodumajapidamisel on juurdepääs paremale lairibaühendusele;</w:t>
      </w:r>
    </w:p>
    <w:p w:rsidR="001D5899" w:rsidRDefault="00102F57">
      <w:pPr>
        <w:pStyle w:val="ListParagraph"/>
        <w:numPr>
          <w:ilvl w:val="0"/>
          <w:numId w:val="48"/>
        </w:numPr>
        <w:spacing w:before="120"/>
        <w:rPr>
          <w:rFonts w:cs="Times New Roman"/>
          <w:noProof/>
        </w:rPr>
      </w:pPr>
      <w:r>
        <w:rPr>
          <w:noProof/>
        </w:rPr>
        <w:t>ehitatakse või rekonstrueeritakse rohkem kui 3 900 km rau</w:t>
      </w:r>
      <w:r>
        <w:rPr>
          <w:noProof/>
        </w:rPr>
        <w:t xml:space="preserve">dteeliine; </w:t>
      </w:r>
    </w:p>
    <w:p w:rsidR="001D5899" w:rsidRDefault="00102F57">
      <w:pPr>
        <w:pStyle w:val="ListParagraph"/>
        <w:numPr>
          <w:ilvl w:val="0"/>
          <w:numId w:val="48"/>
        </w:numPr>
        <w:spacing w:before="120"/>
        <w:rPr>
          <w:rFonts w:cs="Times New Roman"/>
          <w:noProof/>
        </w:rPr>
      </w:pPr>
      <w:r>
        <w:rPr>
          <w:noProof/>
        </w:rPr>
        <w:t xml:space="preserve">tervishoiusektoris käimasolevatest projektidest saab kasu 60 miljonit inimest. </w:t>
      </w:r>
    </w:p>
    <w:p w:rsidR="001D5899" w:rsidRDefault="00102F57">
      <w:pPr>
        <w:spacing w:before="120"/>
        <w:rPr>
          <w:rFonts w:cs="Times New Roman"/>
          <w:noProof/>
        </w:rPr>
      </w:pPr>
      <w:r>
        <w:rPr>
          <w:noProof/>
        </w:rPr>
        <w:t>Käesolevas aruandes ning Euroopa struktuuri- ja investeerimisfondide avatud andmete platvormil antakse põhjalik ülevaade kõigi teemavaldkondade edusammudest</w:t>
      </w:r>
      <w:r>
        <w:rPr>
          <w:rStyle w:val="FootnoteReference"/>
          <w:rFonts w:cs="Times New Roman"/>
          <w:noProof/>
        </w:rPr>
        <w:footnoteReference w:id="6"/>
      </w:r>
      <w:r>
        <w:rPr>
          <w:noProof/>
        </w:rPr>
        <w:t>.</w:t>
      </w:r>
    </w:p>
    <w:p w:rsidR="001D5899" w:rsidRDefault="00102F57">
      <w:pPr>
        <w:spacing w:before="120"/>
        <w:rPr>
          <w:rFonts w:cs="Times New Roman"/>
          <w:noProof/>
        </w:rPr>
      </w:pPr>
      <w:r>
        <w:rPr>
          <w:noProof/>
        </w:rPr>
        <w:t>Polii</w:t>
      </w:r>
      <w:r>
        <w:rPr>
          <w:noProof/>
        </w:rPr>
        <w:t>tikavaldkonna praegune siht ja selle kohandatav raamistik võimaldavad Euroopa struktuuri- ja investeerimisfondidel aidata olulisel määral kaasa uute ja esilekerkivate probleemide lahendamisele. Enamiku rahastamisvaldkondadega juba toetatakse ÜRO kestliku a</w:t>
      </w:r>
      <w:r>
        <w:rPr>
          <w:noProof/>
        </w:rPr>
        <w:t xml:space="preserve">rengu eesmärke, kliimamuutustega kohanemist ja riskide vähendamise meetmeid ning nendele keskendumist saab vajaduse korral Euroopa struktuuri- ja investeerimisfondide programmide raames suurendada. </w:t>
      </w:r>
    </w:p>
    <w:p w:rsidR="001D5899" w:rsidRDefault="00102F57">
      <w:pPr>
        <w:pStyle w:val="Heading1"/>
        <w:rPr>
          <w:rFonts w:cstheme="minorBidi"/>
          <w:noProof/>
        </w:rPr>
      </w:pPr>
      <w:r>
        <w:rPr>
          <w:noProof/>
        </w:rPr>
        <w:br w:type="page"/>
      </w:r>
      <w:bookmarkStart w:id="3" w:name="_Toc28961401"/>
      <w:r>
        <w:rPr>
          <w:noProof/>
        </w:rPr>
        <w:t>1. KEERULINE JA KIIRESTI MUUTUV KONTEKST</w:t>
      </w:r>
      <w:bookmarkEnd w:id="3"/>
    </w:p>
    <w:p w:rsidR="001D5899" w:rsidRDefault="00102F57">
      <w:pPr>
        <w:spacing w:before="120"/>
        <w:rPr>
          <w:rFonts w:cs="Times New Roman"/>
          <w:noProof/>
        </w:rPr>
      </w:pPr>
      <w:r>
        <w:rPr>
          <w:noProof/>
        </w:rPr>
        <w:t>Liikmesriigid t</w:t>
      </w:r>
      <w:r>
        <w:rPr>
          <w:noProof/>
        </w:rPr>
        <w:t>unnistavad oma 2019. aasta eduaruannetes Euroopa struktuuri- ja investeerimisfondide otsustavat rolli keskkonnaalaste, majanduslike ja sotsiaalsete muutustega tegelemisel ning kestliku tuleviku tagamiseks vajalike reformide kehtestamisel. Finantskriisi jär</w:t>
      </w:r>
      <w:r>
        <w:rPr>
          <w:noProof/>
        </w:rPr>
        <w:t>el aitasid Euroopa struktuuri- ja investeerimisfondid toetada investeeringuid ja suunata majanduslik lähenemine taas õigele teele</w:t>
      </w:r>
      <w:r>
        <w:rPr>
          <w:rFonts w:cs="Times New Roman"/>
          <w:noProof/>
          <w:vertAlign w:val="superscript"/>
        </w:rPr>
        <w:footnoteReference w:id="7"/>
      </w:r>
      <w:r>
        <w:rPr>
          <w:noProof/>
        </w:rPr>
        <w:t>.</w:t>
      </w:r>
    </w:p>
    <w:p w:rsidR="001D5899" w:rsidRDefault="00102F57">
      <w:pPr>
        <w:spacing w:before="120"/>
        <w:rPr>
          <w:rFonts w:cs="Times New Roman"/>
          <w:noProof/>
        </w:rPr>
      </w:pPr>
      <w:r>
        <w:rPr>
          <w:noProof/>
        </w:rPr>
        <w:t>Mitu liikmesriiki juhib siiski tähelepanu püsivale territoriaalsele ja piirkondlikule ebavõrdsusele ja sotsiaalsele tõrjutus</w:t>
      </w:r>
      <w:r>
        <w:rPr>
          <w:noProof/>
        </w:rPr>
        <w:t>ele ning demograafiliste muutustega seotud probleemide suurenemisele. Erinevused piirkondade vahel ja sees ning linna- ja maapiirkondade vahel püsivad. Mitu piirkonda, mis on kaotanud oma konkurentsieelise, on jäänud n-ö keskmise sissetuleku lõksu</w:t>
      </w:r>
      <w:r>
        <w:rPr>
          <w:rFonts w:cs="Times New Roman"/>
          <w:noProof/>
          <w:vertAlign w:val="superscript"/>
        </w:rPr>
        <w:footnoteReference w:id="8"/>
      </w:r>
      <w:r>
        <w:rPr>
          <w:noProof/>
        </w:rPr>
        <w:t xml:space="preserve"> ning mõ</w:t>
      </w:r>
      <w:r>
        <w:rPr>
          <w:noProof/>
        </w:rPr>
        <w:t>ned piirkonnad võitlevad jätkuvalt kõrge töötuse määraga, eriti noorte hulgas. Teised on haavatavamad kliimamuutustest ja digiteerimisest tingitud kahesuunalise ülemineku mõju või pagulas- ja rändekriisi jätkuvate tagajärgede suhtes. Need geograafilised er</w:t>
      </w:r>
      <w:r>
        <w:rPr>
          <w:noProof/>
        </w:rPr>
        <w:t>inevused on tugevdanud ELi-vastast meelestatust</w:t>
      </w:r>
      <w:r>
        <w:rPr>
          <w:rFonts w:cs="Times New Roman"/>
          <w:noProof/>
          <w:vertAlign w:val="superscript"/>
        </w:rPr>
        <w:footnoteReference w:id="9"/>
      </w:r>
      <w:r>
        <w:rPr>
          <w:noProof/>
        </w:rPr>
        <w:t>.</w:t>
      </w:r>
    </w:p>
    <w:p w:rsidR="001D5899" w:rsidRDefault="00102F57">
      <w:pPr>
        <w:spacing w:before="120"/>
        <w:rPr>
          <w:rFonts w:cs="Times New Roman"/>
          <w:noProof/>
        </w:rPr>
      </w:pPr>
      <w:r>
        <w:rPr>
          <w:noProof/>
        </w:rPr>
        <w:t>Jagatud eelarve täitmise kaudu hallatavate Euroopa struktuuri- ja investeerimisfondidega võimestatakse kohalikke ja piirkondlikke osalejaid nende suundumustega võitlema, toetades territoriaalset ühtekuuluvu</w:t>
      </w:r>
      <w:r>
        <w:rPr>
          <w:noProof/>
        </w:rPr>
        <w:t>st, majanduskasvu soodustavaid investeeringuid, töökohtade loomist, ettevõtete konkurentsivõimet, teadusuuringuid ja innovatsiooni ning idufirmade ökosüsteeme, keskkonnameetmeid, kliimamuutustega kohanemist ja nendele vastupanu võimet, katastroofiohu vähen</w:t>
      </w:r>
      <w:r>
        <w:rPr>
          <w:noProof/>
        </w:rPr>
        <w:t xml:space="preserve">damist, sotsiaalset kaasatust ning tervishoiu- ja haridusprojekte, et muuta elu paremaks ja tuua EL inimestele lähemale. </w:t>
      </w:r>
    </w:p>
    <w:p w:rsidR="001D5899" w:rsidRDefault="001D5899">
      <w:pPr>
        <w:spacing w:before="120"/>
        <w:rPr>
          <w:rFonts w:cs="Times New Roman"/>
          <w:b/>
          <w:noProof/>
        </w:rPr>
      </w:pPr>
    </w:p>
    <w:p w:rsidR="001D5899" w:rsidRDefault="00102F57">
      <w:pPr>
        <w:pStyle w:val="Heading1"/>
        <w:rPr>
          <w:noProof/>
        </w:rPr>
      </w:pPr>
      <w:bookmarkStart w:id="4" w:name="_Toc28961402"/>
      <w:r>
        <w:rPr>
          <w:noProof/>
        </w:rPr>
        <w:t>2. INVESTEERIMINE ARUKASSE, KESTLIKKU JA KAASAVASSE MAJANDUSKASVU</w:t>
      </w:r>
      <w:bookmarkEnd w:id="4"/>
    </w:p>
    <w:p w:rsidR="001D5899" w:rsidRDefault="00102F57">
      <w:pPr>
        <w:pStyle w:val="Heading2"/>
        <w:rPr>
          <w:noProof/>
        </w:rPr>
      </w:pPr>
      <w:bookmarkStart w:id="5" w:name="_Toc28961403"/>
      <w:r>
        <w:rPr>
          <w:noProof/>
        </w:rPr>
        <w:t>2.1. Üldised edusammud</w:t>
      </w:r>
      <w:bookmarkEnd w:id="5"/>
    </w:p>
    <w:p w:rsidR="001D5899" w:rsidRDefault="00102F57">
      <w:pPr>
        <w:spacing w:before="120"/>
        <w:rPr>
          <w:rFonts w:cs="Times New Roman"/>
          <w:noProof/>
        </w:rPr>
      </w:pPr>
      <w:r>
        <w:rPr>
          <w:noProof/>
        </w:rPr>
        <w:t>Võttes arvesse määrusega (EL) nr 1303/2013 k</w:t>
      </w:r>
      <w:r>
        <w:rPr>
          <w:noProof/>
        </w:rPr>
        <w:t>ehtestatud uusi elemente, eelkõige investeeringute koondamist peamistele arengueesmärkidele ja suuremat keskendumist tulemuslikkusele, on Euroopa struktuuri- ja investeerimisfondide programmid suunatud ELi aruka, jätkusuutliku ja kaasava majanduskasvu eesm</w:t>
      </w:r>
      <w:r>
        <w:rPr>
          <w:noProof/>
        </w:rPr>
        <w:t>ärkide tulemuslikule ja tõhusale saavutamisele. Seda suundumust on veelgi tugevdanud komisjoni sekkuv ja paindlik lähenemisviis, eelkõige programmide muutmise, ohus olevate programmide järelevalve või mitme katsemeetme kaudu</w:t>
      </w:r>
      <w:r>
        <w:rPr>
          <w:rStyle w:val="FootnoteReference"/>
          <w:rFonts w:cs="Times New Roman"/>
          <w:noProof/>
        </w:rPr>
        <w:footnoteReference w:id="10"/>
      </w:r>
      <w:r>
        <w:rPr>
          <w:noProof/>
        </w:rPr>
        <w:t>, mis on aidanud pakkuda vajadu</w:t>
      </w:r>
      <w:r>
        <w:rPr>
          <w:noProof/>
        </w:rPr>
        <w:t xml:space="preserve">stele kohandatud abi ja saada kogemusi tulevase rakendamise tarbeks. </w:t>
      </w:r>
    </w:p>
    <w:p w:rsidR="001D5899" w:rsidRDefault="001D5899">
      <w:pPr>
        <w:spacing w:before="120"/>
        <w:rPr>
          <w:rFonts w:cs="Times New Roman"/>
          <w:b/>
          <w:noProof/>
        </w:rPr>
      </w:pPr>
    </w:p>
    <w:p w:rsidR="001D5899" w:rsidRDefault="00102F57">
      <w:pPr>
        <w:spacing w:before="120"/>
        <w:rPr>
          <w:rFonts w:cs="Times New Roman"/>
          <w:b/>
          <w:noProof/>
        </w:rPr>
      </w:pPr>
      <w:r>
        <w:rPr>
          <w:b/>
          <w:noProof/>
        </w:rPr>
        <w:t>Euroopa struktuuri- ja investeerimisfondide kavandatud nii ELi kui ka liikmesriikide koguinvesteeringud temaatiliste eesmärkide kaupa (miljardites eurodes)</w:t>
      </w:r>
      <w:r>
        <w:rPr>
          <w:rStyle w:val="FootnoteReference"/>
          <w:rFonts w:cs="Times New Roman"/>
          <w:b/>
          <w:noProof/>
        </w:rPr>
        <w:footnoteReference w:id="11"/>
      </w:r>
    </w:p>
    <w:p w:rsidR="001D5899" w:rsidRDefault="00102F57">
      <w:pPr>
        <w:spacing w:before="120"/>
        <w:rPr>
          <w:rFonts w:cs="Times New Roman"/>
          <w:noProof/>
        </w:rPr>
      </w:pPr>
      <w:r>
        <w:rPr>
          <w:noProof/>
          <w:lang w:val="en-GB" w:eastAsia="en-GB"/>
        </w:rPr>
        <w:drawing>
          <wp:inline distT="0" distB="0" distL="0" distR="0">
            <wp:extent cx="5731510" cy="3571240"/>
            <wp:effectExtent l="0" t="0" r="2540" b="1016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5899" w:rsidRDefault="00102F57">
      <w:pPr>
        <w:spacing w:before="120"/>
        <w:rPr>
          <w:rFonts w:cs="Times New Roman"/>
          <w:b/>
          <w:noProof/>
        </w:rPr>
      </w:pPr>
      <w:r>
        <w:rPr>
          <w:i/>
          <w:noProof/>
          <w:sz w:val="20"/>
          <w:szCs w:val="20"/>
        </w:rPr>
        <w:t xml:space="preserve">Allikas: Euroopa struktuuri- ja investeerimisfondide avatud andmed </w:t>
      </w:r>
      <w:hyperlink r:id="rId22" w:history="1">
        <w:r>
          <w:rPr>
            <w:rStyle w:val="Hyperlink"/>
            <w:i/>
            <w:noProof/>
            <w:sz w:val="20"/>
            <w:szCs w:val="20"/>
          </w:rPr>
          <w:t>https://cohesiondata.ec.europa.eu/d/e4v6-qrrq</w:t>
        </w:r>
      </w:hyperlink>
    </w:p>
    <w:p w:rsidR="001D5899" w:rsidRDefault="001D5899">
      <w:pPr>
        <w:spacing w:before="120"/>
        <w:rPr>
          <w:rFonts w:cs="Times New Roman"/>
          <w:noProof/>
        </w:rPr>
      </w:pPr>
    </w:p>
    <w:p w:rsidR="001D5899" w:rsidRDefault="00102F57">
      <w:pPr>
        <w:spacing w:before="120"/>
        <w:rPr>
          <w:rFonts w:cs="Times New Roman"/>
          <w:noProof/>
        </w:rPr>
      </w:pPr>
      <w:r>
        <w:rPr>
          <w:noProof/>
        </w:rPr>
        <w:t xml:space="preserve">Vaadeldes kokkuvõtvalt kõigi Euroopa struktuuri- ja investeerimisfondide </w:t>
      </w:r>
      <w:r>
        <w:rPr>
          <w:noProof/>
        </w:rPr>
        <w:t>arvandmeid, on väljavalitud projektide (rahastamisotsus tehtud) arv alates esimesest 2017. aastal koostatud strateegilisest aruandest enam kui kahekordistunud ja nende maht moodustab 464 miljardit eurot (72 % kõigist kavandatud investeeringutest). Edusammu</w:t>
      </w:r>
      <w:r>
        <w:rPr>
          <w:noProof/>
        </w:rPr>
        <w:t>d on märgatavad sellistes sektorites nagu teadusuuringud ja innovatsioon – eelkõige tänu aruka spetsialiseerumise strateegiate soodustavale mõjule –, info- ja kommunikatsioonitehnoloogia (IKT) ning transporditaristud. Projektide väljavalimine on samuti kii</w:t>
      </w:r>
      <w:r>
        <w:rPr>
          <w:noProof/>
        </w:rPr>
        <w:t>renenud – kuigi mõõdukamalt – sellistes valdkondades nagu vähese CO</w:t>
      </w:r>
      <w:r>
        <w:rPr>
          <w:noProof/>
          <w:vertAlign w:val="subscript"/>
        </w:rPr>
        <w:t>2</w:t>
      </w:r>
      <w:r>
        <w:rPr>
          <w:noProof/>
        </w:rPr>
        <w:t>-heitega majandus ning kestev ja kvaliteetne tööhõive.</w:t>
      </w:r>
    </w:p>
    <w:p w:rsidR="001D5899" w:rsidRDefault="00102F57">
      <w:pPr>
        <w:spacing w:before="120"/>
        <w:rPr>
          <w:rFonts w:cs="Times New Roman"/>
          <w:noProof/>
        </w:rPr>
      </w:pPr>
      <w:r>
        <w:rPr>
          <w:noProof/>
        </w:rPr>
        <w:t>Seoses tegelike kulutustega</w:t>
      </w:r>
      <w:r>
        <w:rPr>
          <w:rStyle w:val="FootnoteReference"/>
          <w:rFonts w:cs="Times New Roman"/>
          <w:noProof/>
        </w:rPr>
        <w:footnoteReference w:id="12"/>
      </w:r>
      <w:r>
        <w:rPr>
          <w:noProof/>
        </w:rPr>
        <w:t xml:space="preserve"> oli kõiki Euroopa struktuuri- ja investeerimisfonde arvestades liikmesriikidele makstud 2018. aasta dets</w:t>
      </w:r>
      <w:r>
        <w:rPr>
          <w:noProof/>
        </w:rPr>
        <w:t>embri lõpuks 27 % kasutada olevatest eelarvevahenditest (2019. aasta oktoobri lõpuks 36 %). See deklareeritud kulude tase on eelmiste perioodidega võrreldes madalam ja viitab sellele, et liikmesriikide tasandil tuleb endiselt keskenduda rohkem kuludele</w:t>
      </w:r>
      <w:r>
        <w:rPr>
          <w:rStyle w:val="FootnoteReference"/>
          <w:rFonts w:cs="Times New Roman"/>
          <w:noProof/>
        </w:rPr>
        <w:footnoteReference w:id="13"/>
      </w:r>
      <w:r>
        <w:rPr>
          <w:noProof/>
        </w:rPr>
        <w:t>.</w:t>
      </w:r>
    </w:p>
    <w:p w:rsidR="001D5899" w:rsidRDefault="00102F57">
      <w:pPr>
        <w:spacing w:before="120"/>
        <w:rPr>
          <w:rFonts w:cs="Times New Roman"/>
          <w:noProof/>
        </w:rPr>
      </w:pPr>
      <w:r>
        <w:rPr>
          <w:noProof/>
        </w:rPr>
        <w:t>S</w:t>
      </w:r>
      <w:r>
        <w:rPr>
          <w:noProof/>
        </w:rPr>
        <w:t>eoses rahastamisvahendite rakendamisega moodustasid programmide summad valitud rahastamisvahendite tegevustes 2018. aasta lõpu seisuga 21,9 miljardit eurot ehk ligikaudu 77 % programmides selle toetusvormi jaoks kavandatud summadest. See annab kinnitust, e</w:t>
      </w:r>
      <w:r>
        <w:rPr>
          <w:noProof/>
        </w:rPr>
        <w:t>t enamik rahastamisvahendeid annab kohapeal tulemusi kohapeal.</w:t>
      </w:r>
    </w:p>
    <w:p w:rsidR="001D5899" w:rsidRDefault="00102F57">
      <w:pPr>
        <w:pStyle w:val="Heading2"/>
        <w:rPr>
          <w:noProof/>
        </w:rPr>
      </w:pPr>
      <w:bookmarkStart w:id="6" w:name="_Toc28961404"/>
      <w:r>
        <w:rPr>
          <w:noProof/>
        </w:rPr>
        <w:t>2.2. Teadusuuringud, tehnoloogiaarendus ja innovatsioon, IKT ja VKEde konkurentsivõime</w:t>
      </w:r>
      <w:bookmarkEnd w:id="6"/>
    </w:p>
    <w:p w:rsidR="001D5899" w:rsidRDefault="00102F57">
      <w:pPr>
        <w:spacing w:before="120"/>
        <w:rPr>
          <w:rFonts w:cs="Times New Roman"/>
          <w:noProof/>
        </w:rPr>
      </w:pPr>
      <w:r>
        <w:rPr>
          <w:noProof/>
        </w:rPr>
        <w:t>Käesoleval programmitöö perioodil peetakse majanduskasvu ja lähenemise peamiseks edendajaks investeerimist</w:t>
      </w:r>
      <w:r>
        <w:rPr>
          <w:noProof/>
        </w:rPr>
        <w:t xml:space="preserve"> teadusuuringutesse ja innovatsiooni. Innovatsioonil põhineva territoriaalse arengu toetamine, eelkõige aruka spetsialiseerumise strateegiate kaudu, on järsult suurendanud teadusuuringute, tehnoloogiaarenduse ja innovatsiooni, IKT ning väikeste ja keskmise</w:t>
      </w:r>
      <w:r>
        <w:rPr>
          <w:noProof/>
        </w:rPr>
        <w:t xml:space="preserve"> suurusega ettevõtjate (VKEd) konkurentsivõime valdkonnas välja valitud projektide arvu. 2018. aasta lõpu seisuga moodustas väljavalitud projektide kogumaht kasutada olevast 163 miljardist eurost üle 117 miljardi euro.  </w:t>
      </w:r>
    </w:p>
    <w:p w:rsidR="001D5899" w:rsidRDefault="00102F57">
      <w:pPr>
        <w:pStyle w:val="ListParagraph"/>
        <w:numPr>
          <w:ilvl w:val="0"/>
          <w:numId w:val="5"/>
        </w:numPr>
        <w:spacing w:before="120" w:after="80"/>
        <w:ind w:left="714" w:hanging="357"/>
        <w:contextualSpacing w:val="0"/>
        <w:rPr>
          <w:rFonts w:cs="Times New Roman"/>
          <w:noProof/>
        </w:rPr>
      </w:pPr>
      <w:r>
        <w:rPr>
          <w:noProof/>
        </w:rPr>
        <w:t>Teadusuuringute, tehnoloogiaarendus</w:t>
      </w:r>
      <w:r>
        <w:rPr>
          <w:noProof/>
        </w:rPr>
        <w:t xml:space="preserve">e ja innovatsiooni valdkonnas on rohkem kui 42,6 miljardit eurot eraldatud projektidele, mille abil on toetatud peaaegu 20 000 uut teadlast ja aidatud ligikaudu 30 000 äriühingul viia turule uusi tooteid.   </w:t>
      </w:r>
    </w:p>
    <w:p w:rsidR="001D5899" w:rsidRDefault="00102F57">
      <w:pPr>
        <w:pStyle w:val="ListParagraph"/>
        <w:numPr>
          <w:ilvl w:val="0"/>
          <w:numId w:val="5"/>
        </w:numPr>
        <w:spacing w:before="120" w:after="80"/>
        <w:contextualSpacing w:val="0"/>
        <w:rPr>
          <w:rFonts w:cs="Times New Roman"/>
          <w:noProof/>
        </w:rPr>
      </w:pPr>
      <w:r>
        <w:rPr>
          <w:noProof/>
        </w:rPr>
        <w:t xml:space="preserve">Digitaalmajanduse projektidele on eraldatud üle </w:t>
      </w:r>
      <w:r>
        <w:rPr>
          <w:noProof/>
        </w:rPr>
        <w:t>12,3 miljardi euro, toetades muu hulgas lairibaühenduse kasutuselevõttu, digitaalseid avalikke teenuseid või e-kaubandust. See summa sisaldab 1,5 miljardit eurot EAFRD toetust maapiirkondade IKT taristule. 8,3 miljonil kodumajapidamisel on juurdepääs parem</w:t>
      </w:r>
      <w:r>
        <w:rPr>
          <w:noProof/>
        </w:rPr>
        <w:t xml:space="preserve">ale lairibaühendusele. </w:t>
      </w:r>
    </w:p>
    <w:p w:rsidR="001D5899" w:rsidRDefault="00102F57">
      <w:pPr>
        <w:pStyle w:val="ListParagraph"/>
        <w:numPr>
          <w:ilvl w:val="0"/>
          <w:numId w:val="5"/>
        </w:numPr>
        <w:spacing w:before="120" w:after="80"/>
        <w:contextualSpacing w:val="0"/>
        <w:rPr>
          <w:rFonts w:cs="Times New Roman"/>
          <w:noProof/>
        </w:rPr>
      </w:pPr>
      <w:r>
        <w:rPr>
          <w:noProof/>
        </w:rPr>
        <w:t>Üle 62,5 miljardi euro eraldatakse VKEde konkurentsivõime suurendamiseks välja valitud projektidele, mis on seotud enamiku 300 000 uue töökoha loomisega ERFi kaudu. Maapiirkondades saab üle 130 000 põllumajandusettevõtte rahalist to</w:t>
      </w:r>
      <w:r>
        <w:rPr>
          <w:noProof/>
        </w:rPr>
        <w:t>etust, et aidata neil oma tegevust restruktureerida ja ajakohastada ning saavutada tootlikkuse kasv.</w:t>
      </w:r>
    </w:p>
    <w:p w:rsidR="001D5899" w:rsidRDefault="00102F57">
      <w:pPr>
        <w:pStyle w:val="ListParagraph"/>
        <w:numPr>
          <w:ilvl w:val="0"/>
          <w:numId w:val="5"/>
        </w:numPr>
        <w:rPr>
          <w:rFonts w:cs="Times New Roman"/>
          <w:noProof/>
        </w:rPr>
      </w:pPr>
      <w:r>
        <w:rPr>
          <w:noProof/>
        </w:rPr>
        <w:t>Põllumajanduse tootlikkuse ja jätkusuutlikkuse Euroopa innovatsioonipartnerluse (EIP-AGRI) raames toetatakse 7 730 interaktiivset innovatsiooniprojekti. EI</w:t>
      </w:r>
      <w:r>
        <w:rPr>
          <w:noProof/>
        </w:rPr>
        <w:t xml:space="preserve">P-AGRI projektide abil loodud teadmisi ja innovatsiooni jagatakse riiklike innovatsiooni- ja maapiirkondade võrgustike ning EIP-AGRI võrgustiku kaudu. </w:t>
      </w:r>
    </w:p>
    <w:p w:rsidR="001D5899" w:rsidRDefault="00102F57">
      <w:pPr>
        <w:pStyle w:val="Heading2"/>
        <w:rPr>
          <w:noProof/>
        </w:rPr>
      </w:pPr>
      <w:bookmarkStart w:id="7" w:name="_Toc28961405"/>
      <w:r>
        <w:rPr>
          <w:noProof/>
        </w:rPr>
        <w:t>2.3. Vähese CO</w:t>
      </w:r>
      <w:r>
        <w:rPr>
          <w:noProof/>
          <w:vertAlign w:val="subscript"/>
        </w:rPr>
        <w:t>2</w:t>
      </w:r>
      <w:r>
        <w:rPr>
          <w:noProof/>
        </w:rPr>
        <w:t>-heitega majandus, kliimamuutused, keskkond, transport ja energia</w:t>
      </w:r>
      <w:bookmarkEnd w:id="7"/>
    </w:p>
    <w:p w:rsidR="001D5899" w:rsidRDefault="00102F57">
      <w:pPr>
        <w:spacing w:before="120"/>
        <w:rPr>
          <w:rFonts w:cs="Times New Roman"/>
          <w:noProof/>
        </w:rPr>
      </w:pPr>
      <w:r>
        <w:rPr>
          <w:noProof/>
        </w:rPr>
        <w:t>Käesoleval programmitöö</w:t>
      </w:r>
      <w:r>
        <w:rPr>
          <w:noProof/>
        </w:rPr>
        <w:t xml:space="preserve"> perioodil on eraldatud 20 % ELi eelarve vahenditest kliimameetmetele ja komisjon on teinud ettepaneku suurendada seda järgmise perioodi ELi eelarves 25 %-ni</w:t>
      </w:r>
      <w:r>
        <w:rPr>
          <w:rStyle w:val="FootnoteReference"/>
          <w:rFonts w:cs="Times New Roman"/>
          <w:noProof/>
        </w:rPr>
        <w:footnoteReference w:id="14"/>
      </w:r>
      <w:r>
        <w:rPr>
          <w:noProof/>
        </w:rPr>
        <w:t>. Euroopa struktuuri- ja investeerimisfondidel on olnud oluline roll sisuliste muutuste kujundamis</w:t>
      </w:r>
      <w:r>
        <w:rPr>
          <w:noProof/>
        </w:rPr>
        <w:t>el. Tänu eraldatud summadele ja investeeringute eeltingimustele on Euroopa struktuuri- ja investeerimisfondid aidanud selgelt suurendada kliimameetmete ja kestliku majanduskasvu valdkonnas poliitilist mõjuvõimu. 2018. aasta lõpuks oli piirkondade ja linnad</w:t>
      </w:r>
      <w:r>
        <w:rPr>
          <w:noProof/>
        </w:rPr>
        <w:t>e projektidele, millega toetatakse CO</w:t>
      </w:r>
      <w:r>
        <w:rPr>
          <w:noProof/>
          <w:vertAlign w:val="subscript"/>
        </w:rPr>
        <w:t>2</w:t>
      </w:r>
      <w:r>
        <w:rPr>
          <w:noProof/>
        </w:rPr>
        <w:t>-heite vähendamist, vastupanuvõimet kliimamuutuste suhtes ja riskide ennetamist, energiatõhusust või kestlikku transporti, eraldatud üle 169 miljardi euro.</w:t>
      </w:r>
    </w:p>
    <w:p w:rsidR="001D5899" w:rsidRDefault="00102F57">
      <w:pPr>
        <w:pStyle w:val="ListParagraph"/>
        <w:numPr>
          <w:ilvl w:val="0"/>
          <w:numId w:val="5"/>
        </w:numPr>
        <w:spacing w:before="120" w:after="80"/>
        <w:ind w:left="714" w:hanging="357"/>
        <w:contextualSpacing w:val="0"/>
        <w:rPr>
          <w:rFonts w:cs="Times New Roman"/>
          <w:noProof/>
        </w:rPr>
      </w:pPr>
      <w:r>
        <w:rPr>
          <w:noProof/>
        </w:rPr>
        <w:t>ERFi toetusega eraldati üle 31,8 miljardi euro vähese CO</w:t>
      </w:r>
      <w:r>
        <w:rPr>
          <w:noProof/>
          <w:vertAlign w:val="subscript"/>
        </w:rPr>
        <w:t>2</w:t>
      </w:r>
      <w:r>
        <w:rPr>
          <w:noProof/>
        </w:rPr>
        <w:t>-heit</w:t>
      </w:r>
      <w:r>
        <w:rPr>
          <w:noProof/>
        </w:rPr>
        <w:t>ega majanduse valdkonna projektidele, mis on seotud enam kui 400 000 kodumajapidamise energiatarbimise parandamisega.</w:t>
      </w:r>
    </w:p>
    <w:p w:rsidR="001D5899" w:rsidRDefault="00102F57">
      <w:pPr>
        <w:pStyle w:val="ListParagraph"/>
        <w:numPr>
          <w:ilvl w:val="0"/>
          <w:numId w:val="5"/>
        </w:numPr>
        <w:spacing w:before="120" w:after="80"/>
        <w:contextualSpacing w:val="0"/>
        <w:rPr>
          <w:rFonts w:cs="Times New Roman"/>
          <w:noProof/>
        </w:rPr>
      </w:pPr>
      <w:r>
        <w:rPr>
          <w:noProof/>
        </w:rPr>
        <w:t>Rohkem kui 52 miljardit eurot eraldati keskkonna- ja ressursitõhususe projektidele, tänu millele võetakse aastas üle 500 000 tonni jäätmei</w:t>
      </w:r>
      <w:r>
        <w:rPr>
          <w:noProof/>
        </w:rPr>
        <w:t>d rohkem ringlusse. Tänu projektidele, mille suhtes on rahastamisotsus tehtud, on 20 miljonil inimesel juurdepääs paremale reoveekäitlusele.</w:t>
      </w:r>
    </w:p>
    <w:p w:rsidR="001D5899" w:rsidRDefault="00102F57">
      <w:pPr>
        <w:pStyle w:val="ListParagraph"/>
        <w:numPr>
          <w:ilvl w:val="0"/>
          <w:numId w:val="5"/>
        </w:numPr>
        <w:spacing w:before="120" w:after="80"/>
        <w:ind w:left="714" w:hanging="357"/>
        <w:contextualSpacing w:val="0"/>
        <w:rPr>
          <w:rFonts w:cs="Times New Roman"/>
          <w:noProof/>
        </w:rPr>
      </w:pPr>
      <w:r>
        <w:rPr>
          <w:noProof/>
        </w:rPr>
        <w:t>Seoses põllumajandussektori kliimameetmetega (nt CO</w:t>
      </w:r>
      <w:r>
        <w:rPr>
          <w:noProof/>
          <w:vertAlign w:val="subscript"/>
        </w:rPr>
        <w:t>2</w:t>
      </w:r>
      <w:r>
        <w:rPr>
          <w:noProof/>
        </w:rPr>
        <w:t xml:space="preserve"> sidumine ning kasvuhoonegaaside ja ammoniaagi heitkoguste vähe</w:t>
      </w:r>
      <w:r>
        <w:rPr>
          <w:noProof/>
        </w:rPr>
        <w:t>ndamine) on tehtud suuri edusamme, eelkõige põllumajandustootjate ühinemisel vabatahtlike põllumajanduse keskkonna- ja kliimakavadega, et arendada põllumajandusettevõtete keskkonnasäästlikku juhtimist. Eesmärgiks on seatud, et ELi põllumajandusmaast i) 18 </w:t>
      </w:r>
      <w:r>
        <w:rPr>
          <w:noProof/>
        </w:rPr>
        <w:t>% majandataks bioloogilise mitmekesisuse, ii) 15 % parema mullamajandamise ja iii) 15 % parema veemajandamise nõuete kohaselt. Kõigil kolmel juhul on saavutatud üle 85 % eesmärkidest.</w:t>
      </w:r>
    </w:p>
    <w:p w:rsidR="001D5899" w:rsidRDefault="00102F57">
      <w:pPr>
        <w:pStyle w:val="ListParagraph"/>
        <w:numPr>
          <w:ilvl w:val="0"/>
          <w:numId w:val="5"/>
        </w:numPr>
        <w:spacing w:before="120" w:after="80"/>
        <w:ind w:left="714" w:hanging="357"/>
        <w:contextualSpacing w:val="0"/>
        <w:rPr>
          <w:rFonts w:cs="Times New Roman"/>
          <w:noProof/>
        </w:rPr>
      </w:pPr>
      <w:r>
        <w:rPr>
          <w:noProof/>
        </w:rPr>
        <w:t>Prioriteet on toetada transpordisektori digiteerimist ja CO</w:t>
      </w:r>
      <w:r>
        <w:rPr>
          <w:noProof/>
          <w:vertAlign w:val="subscript"/>
        </w:rPr>
        <w:t>2</w:t>
      </w:r>
      <w:r>
        <w:rPr>
          <w:noProof/>
        </w:rPr>
        <w:t>-heite vähen</w:t>
      </w:r>
      <w:r>
        <w:rPr>
          <w:noProof/>
        </w:rPr>
        <w:t>damist, eelkõige linnapiirkondades. Transpordi- ja energiavõrkudele on eraldatud üle 56 miljardi euro ning projektide abil, mille suhtes on rahastamisotsus tehtud, muu hulgas rajatakse või rekonstrueeritakse üle 3 900 km raudteeliine ning rajatakse või täi</w:t>
      </w:r>
      <w:r>
        <w:rPr>
          <w:noProof/>
        </w:rPr>
        <w:t>ustatakse üle 400 km trammi- või metrooliine.</w:t>
      </w:r>
    </w:p>
    <w:p w:rsidR="001D5899" w:rsidRDefault="00102F57">
      <w:pPr>
        <w:pStyle w:val="ListParagraph"/>
        <w:numPr>
          <w:ilvl w:val="0"/>
          <w:numId w:val="5"/>
        </w:numPr>
        <w:spacing w:before="120" w:after="80"/>
        <w:ind w:left="714" w:hanging="357"/>
        <w:contextualSpacing w:val="0"/>
        <w:rPr>
          <w:rFonts w:cs="Times New Roman"/>
          <w:noProof/>
        </w:rPr>
      </w:pPr>
      <w:r>
        <w:rPr>
          <w:noProof/>
        </w:rPr>
        <w:t>EMKF eraldas 1,25 miljardit eurot, et edendada kalalaevastike, kättesaadavate ressursside ja mereökosüsteemide kaitse vahelist jätkusuutlikku tasakaalu. Lisaks on eraldatud 428 miljonit eurot säästva vesiviljel</w:t>
      </w:r>
      <w:r>
        <w:rPr>
          <w:noProof/>
        </w:rPr>
        <w:t xml:space="preserve">use toetamiseks ja 625 miljoni euro ulatuses sektori sotsiaal-majandusliku arengu toetamiseks. Fondi abil on toetatud üle 34 000 tegevuse, millest 2 000 on seotud Natura 2000 alade parema juhtimisega ning üle 1 500 muude merekaitsealadega. </w:t>
      </w:r>
    </w:p>
    <w:p w:rsidR="001D5899" w:rsidRDefault="001D5899">
      <w:pPr>
        <w:pStyle w:val="ListParagraph"/>
        <w:spacing w:before="120" w:after="80"/>
        <w:ind w:left="714"/>
        <w:contextualSpacing w:val="0"/>
        <w:rPr>
          <w:rFonts w:cs="Times New Roman"/>
          <w:noProof/>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1D5899">
        <w:trPr>
          <w:trHeight w:val="557"/>
        </w:trPr>
        <w:tc>
          <w:tcPr>
            <w:tcW w:w="5000" w:type="pct"/>
            <w:shd w:val="clear" w:color="auto" w:fill="D9D9D9" w:themeFill="background1" w:themeFillShade="D9"/>
          </w:tcPr>
          <w:p w:rsidR="001D5899" w:rsidRDefault="00102F57">
            <w:pPr>
              <w:rPr>
                <w:b/>
                <w:bCs/>
                <w:noProof/>
              </w:rPr>
            </w:pPr>
            <w:r>
              <w:rPr>
                <w:b/>
                <w:bCs/>
                <w:noProof/>
              </w:rPr>
              <w:t>Kliimameetmete</w:t>
            </w:r>
            <w:r>
              <w:rPr>
                <w:b/>
                <w:bCs/>
                <w:noProof/>
              </w:rPr>
              <w:t xml:space="preserve"> elluviimine</w:t>
            </w:r>
          </w:p>
          <w:p w:rsidR="001D5899" w:rsidRDefault="00102F57">
            <w:pPr>
              <w:spacing w:before="120"/>
              <w:rPr>
                <w:noProof/>
              </w:rPr>
            </w:pPr>
            <w:r>
              <w:rPr>
                <w:noProof/>
              </w:rPr>
              <w:t>Euroopa struktuuri- ja investeerimisfondide, eelkõige EAFRD, ERFi ja Ühtekuuluvusfondi kaudu toetatakse pikaajalisi lahendusi liikmesriikide ja piirkondade probleemidele kliimaneutraalse majanduse suunas liikumisel. Rakendamine edeneb hästi: kliimamuutuste</w:t>
            </w:r>
            <w:r>
              <w:rPr>
                <w:noProof/>
              </w:rPr>
              <w:t>ga seotud meetmetele kavandatud 115 miljardist eurost oli 2018. aasta lõpuks projektidele eraldatud 88,1 miljardit eurot. ESFi osa kliimaeesmärkide saavutamises on viis korda suurem kui algselt kavandatud, eelkõige on selle kaudu toetatud keskkonnahoidlike</w:t>
            </w:r>
            <w:r>
              <w:rPr>
                <w:noProof/>
              </w:rPr>
              <w:t xml:space="preserve"> töökohtadega seotud koolitus- ja tööturumeetmeid (vt 3. lisa). </w:t>
            </w:r>
          </w:p>
        </w:tc>
      </w:tr>
    </w:tbl>
    <w:p w:rsidR="001D5899" w:rsidRDefault="00102F57">
      <w:pPr>
        <w:pStyle w:val="Heading2"/>
        <w:rPr>
          <w:noProof/>
        </w:rPr>
      </w:pPr>
      <w:bookmarkStart w:id="8" w:name="_Toc28961406"/>
      <w:r>
        <w:rPr>
          <w:noProof/>
        </w:rPr>
        <w:t>2.4. Tööhõive, sotsiaalne kaasamine, tervishoid ja haridus</w:t>
      </w:r>
      <w:bookmarkEnd w:id="8"/>
    </w:p>
    <w:p w:rsidR="001D5899" w:rsidRDefault="00102F57">
      <w:pPr>
        <w:spacing w:before="120"/>
        <w:rPr>
          <w:rFonts w:cs="Times New Roman"/>
          <w:noProof/>
        </w:rPr>
      </w:pPr>
      <w:r>
        <w:rPr>
          <w:noProof/>
        </w:rPr>
        <w:t>Viimastel aastatel on EL edendanud jõuliselt oma sotsiaalmeetmete kava, eelkõige Euroopa sotsiaalõiguste samba vastuvõtmisega 2017.</w:t>
      </w:r>
      <w:r>
        <w:rPr>
          <w:noProof/>
        </w:rPr>
        <w:t> aastal. Sellega seoses on Euroopa struktuuri- ja investeerimisfondide ning eriti ESFiga toetatud struktuurireforme, sealhulgas avalike teenuste ajakohastamist, noorte tööhõive edendamist ning vaesuse ja ebavõrdsuse vähendamist. 2018. aasta lõpu seisuga mo</w:t>
      </w:r>
      <w:r>
        <w:rPr>
          <w:noProof/>
        </w:rPr>
        <w:t>odustas väljavalitud projektide maht kaks kolmandikku kogu kavandatud eraldisest, st peaaegu 103 miljardit eurot.</w:t>
      </w:r>
    </w:p>
    <w:p w:rsidR="001D5899" w:rsidRDefault="00102F57">
      <w:pPr>
        <w:pStyle w:val="ListParagraph"/>
        <w:numPr>
          <w:ilvl w:val="0"/>
          <w:numId w:val="5"/>
        </w:numPr>
        <w:spacing w:before="120" w:after="80"/>
        <w:ind w:left="714" w:hanging="357"/>
        <w:contextualSpacing w:val="0"/>
        <w:rPr>
          <w:rFonts w:cs="Times New Roman"/>
          <w:noProof/>
        </w:rPr>
      </w:pPr>
      <w:r>
        <w:rPr>
          <w:noProof/>
        </w:rPr>
        <w:t>Töövõimaluste parandamist käsitlevate väljavalitud projektide summa moodustab üle 34 miljardi euro, mille abil toetatakse ESFi raames 23 miljo</w:t>
      </w:r>
      <w:r>
        <w:rPr>
          <w:noProof/>
        </w:rPr>
        <w:t xml:space="preserve">nit inimest. 2018. aasta lõpu seisuga oli leidnud töö, sealhulgas füüsilisest isikust ettevõtjana 2,1 miljonit inimest. </w:t>
      </w:r>
    </w:p>
    <w:p w:rsidR="001D5899" w:rsidRDefault="00102F57">
      <w:pPr>
        <w:pStyle w:val="ListParagraph"/>
        <w:numPr>
          <w:ilvl w:val="0"/>
          <w:numId w:val="5"/>
        </w:numPr>
        <w:spacing w:before="120" w:after="80"/>
        <w:ind w:left="714" w:hanging="357"/>
        <w:contextualSpacing w:val="0"/>
        <w:rPr>
          <w:rFonts w:cs="Times New Roman"/>
          <w:noProof/>
        </w:rPr>
      </w:pPr>
      <w:r>
        <w:rPr>
          <w:noProof/>
        </w:rPr>
        <w:t>Lisaks Euroopa struktuuri- ja investeerimisfondidele on hästi edenenud noorte tööhõive algatus: 2018. aasta lõpuks oli väljavalitud pro</w:t>
      </w:r>
      <w:r>
        <w:rPr>
          <w:noProof/>
        </w:rPr>
        <w:t>jektidele eraldatud ligikaudu 8,8 miljardit eurot. 2018. aasta lõpu seisuga oli noorte tööhõive algatuse raames toetatavatesse meetmetesse kaasatud ligikaudu 2,7 miljonit noort:</w:t>
      </w:r>
    </w:p>
    <w:p w:rsidR="001D5899" w:rsidRDefault="00102F57">
      <w:pPr>
        <w:pStyle w:val="ListParagraph"/>
        <w:numPr>
          <w:ilvl w:val="1"/>
          <w:numId w:val="5"/>
        </w:numPr>
        <w:spacing w:before="120" w:after="80"/>
        <w:contextualSpacing w:val="0"/>
        <w:rPr>
          <w:rFonts w:cs="Times New Roman"/>
          <w:noProof/>
        </w:rPr>
      </w:pPr>
      <w:r>
        <w:rPr>
          <w:noProof/>
        </w:rPr>
        <w:t xml:space="preserve">820 000 inimesele oli pakutud töökohta, täiendusõpet, praktikat või koolitust </w:t>
      </w:r>
      <w:r>
        <w:rPr>
          <w:noProof/>
        </w:rPr>
        <w:t>ning</w:t>
      </w:r>
    </w:p>
    <w:p w:rsidR="001D5899" w:rsidRDefault="00102F57">
      <w:pPr>
        <w:pStyle w:val="ListParagraph"/>
        <w:numPr>
          <w:ilvl w:val="1"/>
          <w:numId w:val="5"/>
        </w:numPr>
        <w:spacing w:before="120" w:after="80"/>
        <w:contextualSpacing w:val="0"/>
        <w:rPr>
          <w:rFonts w:cs="Times New Roman"/>
          <w:noProof/>
        </w:rPr>
      </w:pPr>
      <w:r>
        <w:rPr>
          <w:noProof/>
        </w:rPr>
        <w:t xml:space="preserve">üle 1,1 miljoni inimese, kes õppisid, olid omandanud kvalifikatsiooni või töötasid, sealhulgas füüsilisest isikust ettevõtjana. </w:t>
      </w:r>
    </w:p>
    <w:p w:rsidR="001D5899" w:rsidRDefault="00102F57">
      <w:pPr>
        <w:pStyle w:val="ListParagraph"/>
        <w:numPr>
          <w:ilvl w:val="0"/>
          <w:numId w:val="5"/>
        </w:numPr>
        <w:spacing w:before="120" w:after="80"/>
        <w:ind w:left="714" w:hanging="357"/>
        <w:contextualSpacing w:val="0"/>
        <w:rPr>
          <w:rFonts w:cs="Times New Roman"/>
          <w:noProof/>
        </w:rPr>
      </w:pPr>
      <w:r>
        <w:rPr>
          <w:noProof/>
        </w:rPr>
        <w:t>Sotsiaalse kaasamise valdkonnas, millest suurima osa moodustab ESF, on seni väljavalitud projektide maht üle 36 miljardi e</w:t>
      </w:r>
      <w:r>
        <w:rPr>
          <w:noProof/>
        </w:rPr>
        <w:t>uro. 2018. aasta lõpuks oli saanud abi 1,8 miljonit puuetega osalejat, 3,6 miljonit rändajat, teise riigi või vähemuse taustaga osalejat ja 4,2 miljonit muus ebasoodsas olukorras olevat inimest, et parandada oma töövõimalusi ja arendada tööturu jaoks õigei</w:t>
      </w:r>
      <w:r>
        <w:rPr>
          <w:noProof/>
        </w:rPr>
        <w:t>d oskusi. EAFRD raames toetati samuti üle 60 000 sotsiaalse kaasamise meetme elluviimist maapiirkondades.</w:t>
      </w:r>
    </w:p>
    <w:p w:rsidR="001D5899" w:rsidRDefault="00102F57">
      <w:pPr>
        <w:pStyle w:val="ListParagraph"/>
        <w:numPr>
          <w:ilvl w:val="0"/>
          <w:numId w:val="5"/>
        </w:numPr>
        <w:spacing w:before="120" w:after="80"/>
        <w:ind w:left="714" w:hanging="357"/>
        <w:contextualSpacing w:val="0"/>
        <w:rPr>
          <w:rFonts w:cs="Times New Roman"/>
          <w:noProof/>
        </w:rPr>
      </w:pPr>
      <w:r>
        <w:rPr>
          <w:noProof/>
        </w:rPr>
        <w:t xml:space="preserve">Edusamme on tehtud ka tervisega seotud meetmetesse investeerimisel. Seni on rohkem kui 7 000 tervisega seotud projekti (tervishoiualase ebavõrdsuse </w:t>
      </w:r>
      <w:r>
        <w:rPr>
          <w:noProof/>
        </w:rPr>
        <w:t>vähendamine, tervishoiusüsteemide reformimine, e-tervise edendamine, teadusuuringud ja innovatsioon) investeeritud üle 8 miljardi euro. Väljavalitud projektide eesmärk on parandada tervishoiuteenuseid rohkem kui 60 miljoni inimese jaoks.</w:t>
      </w:r>
    </w:p>
    <w:p w:rsidR="001D5899" w:rsidRDefault="00102F57">
      <w:pPr>
        <w:pStyle w:val="ListParagraph"/>
        <w:numPr>
          <w:ilvl w:val="0"/>
          <w:numId w:val="5"/>
        </w:numPr>
        <w:spacing w:before="120" w:after="80"/>
        <w:contextualSpacing w:val="0"/>
        <w:rPr>
          <w:rFonts w:cs="Times New Roman"/>
          <w:noProof/>
        </w:rPr>
      </w:pPr>
      <w:r>
        <w:rPr>
          <w:noProof/>
        </w:rPr>
        <w:t>Hariduse ja koolit</w:t>
      </w:r>
      <w:r>
        <w:rPr>
          <w:noProof/>
        </w:rPr>
        <w:t xml:space="preserve">use valdkonnas on konkreetsetele projektidele eraldatud 28,3 miljardit eurot. 2018. aasta lõpuks oli tänu ESFi toetusele aidatud 11,6 miljonit väheste oskustega isikut, 3,4 miljonit inimest oli omandanud kvalifikatsiooni ning 1,2 miljonit osales hariduses </w:t>
      </w:r>
      <w:r>
        <w:rPr>
          <w:noProof/>
        </w:rPr>
        <w:t>ja koolituses. Tänu ERFi investeeringutele saab rohkem kui 8 miljonit inimest kasu parematest lastehoiu- või haridusasutustest. Maapiirkondades toetati EAFRD raames rohkem kui ühte miljonit kutseõppemeedet.</w:t>
      </w:r>
    </w:p>
    <w:p w:rsidR="001D5899" w:rsidRDefault="001D5899">
      <w:pPr>
        <w:pStyle w:val="ListParagraph"/>
        <w:spacing w:before="120" w:after="80"/>
        <w:ind w:left="714"/>
        <w:contextualSpacing w:val="0"/>
        <w:rPr>
          <w:rFonts w:cs="Times New Roman"/>
          <w:noProof/>
        </w:rPr>
      </w:pPr>
    </w:p>
    <w:p w:rsidR="001D5899" w:rsidRDefault="00102F57">
      <w:pPr>
        <w:pStyle w:val="Heading1"/>
        <w:rPr>
          <w:noProof/>
        </w:rPr>
      </w:pPr>
      <w:bookmarkStart w:id="9" w:name="_Toc28961407"/>
      <w:r>
        <w:rPr>
          <w:noProof/>
        </w:rPr>
        <w:t>3. 2014.–2020. AASTA PEAMISTE REFORMIDE MÕJU</w:t>
      </w:r>
      <w:bookmarkEnd w:id="9"/>
    </w:p>
    <w:p w:rsidR="001D5899" w:rsidRDefault="00102F57">
      <w:pPr>
        <w:pStyle w:val="Heading2"/>
        <w:rPr>
          <w:i/>
          <w:iCs/>
          <w:caps/>
          <w:noProof/>
        </w:rPr>
      </w:pPr>
      <w:bookmarkStart w:id="10" w:name="_Toc28961408"/>
      <w:r>
        <w:rPr>
          <w:noProof/>
        </w:rPr>
        <w:t>3.1. Euroopa struktuuri- ja investeerimisfondide osa Euroopa poolaastas</w:t>
      </w:r>
      <w:bookmarkEnd w:id="10"/>
    </w:p>
    <w:p w:rsidR="001D5899" w:rsidRDefault="00102F57">
      <w:pPr>
        <w:spacing w:before="120"/>
        <w:rPr>
          <w:rFonts w:cs="Times New Roman"/>
          <w:noProof/>
        </w:rPr>
      </w:pPr>
      <w:r>
        <w:rPr>
          <w:noProof/>
        </w:rPr>
        <w:t>Enamik Euroopa poolaasta raames kindlaks tehtud struktuuri- ja poliitikaprobleeme on Euroopa struktuuri- ja investeerimisfondide seisukohast olulised. Praegustes programmides on juba a</w:t>
      </w:r>
      <w:r>
        <w:rPr>
          <w:noProof/>
        </w:rPr>
        <w:t>rvesse võetud investeeringutega seotud riigipõhistes soovitustes kindlaks tehtud struktuurseid probleeme. Nagu liikmesriigid oma eduaruannetes on rõhutanud, on Euroopa struktuuri- ja investeerimisfondidest toetatud reforme sellistes valdkondades nagu tööhõ</w:t>
      </w:r>
      <w:r>
        <w:rPr>
          <w:noProof/>
        </w:rPr>
        <w:t>ivekaitse ja sotsiaalpoliitika, ettevõtluskeskkond, teadusuuringud ja innovatsioon, energia- ja ressursitõhusus, telekommunikatsioon, transport, tervishoid, haridus ja haldusreformid.</w:t>
      </w:r>
    </w:p>
    <w:p w:rsidR="001D5899" w:rsidRDefault="00102F57">
      <w:pPr>
        <w:spacing w:before="120"/>
        <w:rPr>
          <w:rFonts w:cs="Times New Roman"/>
          <w:noProof/>
        </w:rPr>
      </w:pPr>
      <w:r>
        <w:rPr>
          <w:noProof/>
        </w:rPr>
        <w:t>Kuna 2014.–2015. aastal esitatud asjakohased riigipõhised soovitused oli</w:t>
      </w:r>
      <w:r>
        <w:rPr>
          <w:noProof/>
        </w:rPr>
        <w:t>d peamiselt seotud pikaajaliste arenguprobleemidega valdkondadega, on ELi ühtekuuluvuspoliitika rahastamine kindlalt kooskõlas 2019. aasta riigipõhistes soovitustes kindlaks määratud investeerimisvajadustega. Kõnealused riigipõhised soovitused ja käesoleva</w:t>
      </w:r>
      <w:r>
        <w:rPr>
          <w:noProof/>
        </w:rPr>
        <w:t xml:space="preserve"> aasta riigiaruanded moodustavad põhjaliku analüütilise raamistiku investeerimisprioriteetide kindlaksmääramiseks 2021.–2027. aastaks.</w:t>
      </w:r>
    </w:p>
    <w:p w:rsidR="001D5899" w:rsidRDefault="00102F57">
      <w:pPr>
        <w:pStyle w:val="Heading2"/>
        <w:rPr>
          <w:noProof/>
        </w:rPr>
      </w:pPr>
      <w:bookmarkStart w:id="11" w:name="_Toc28961409"/>
      <w:r>
        <w:rPr>
          <w:noProof/>
        </w:rPr>
        <w:t>3.2. Rahastamise eeltingimused</w:t>
      </w:r>
      <w:bookmarkEnd w:id="11"/>
    </w:p>
    <w:p w:rsidR="001D5899" w:rsidRDefault="00102F57">
      <w:pPr>
        <w:spacing w:before="120"/>
        <w:rPr>
          <w:rFonts w:cs="Times New Roman"/>
          <w:noProof/>
        </w:rPr>
      </w:pPr>
      <w:r>
        <w:rPr>
          <w:noProof/>
        </w:rPr>
        <w:t>Üks peamisi reforme aastatel 2014–2020 oli konkreetsete eeltingimuste kehtestamine, et tag</w:t>
      </w:r>
      <w:r>
        <w:rPr>
          <w:noProof/>
        </w:rPr>
        <w:t xml:space="preserve">ada Euroopa struktuuri- ja investeerimisfondide tulemuslik ja tõhus kasutamine liikmesriikides ja piirkondades. 2014.–2020. aasta eeltingimuste protsess on nüüdseks lõpule viidud. </w:t>
      </w:r>
    </w:p>
    <w:p w:rsidR="001D5899" w:rsidRDefault="00102F57">
      <w:pPr>
        <w:spacing w:before="120"/>
        <w:rPr>
          <w:rFonts w:cs="Times New Roman"/>
          <w:noProof/>
        </w:rPr>
      </w:pPr>
      <w:r>
        <w:rPr>
          <w:noProof/>
        </w:rPr>
        <w:t>Üldiselt on eeltingimused osutunud kasulikuks poliitikavahendiks, aidates e</w:t>
      </w:r>
      <w:r>
        <w:rPr>
          <w:noProof/>
        </w:rPr>
        <w:t>elkõige parandada investeerimiskeskkonda ELis ja soodustades mitme struktuurireformi alustamist</w:t>
      </w:r>
      <w:r>
        <w:rPr>
          <w:rStyle w:val="FootnoteReference"/>
          <w:rFonts w:cs="Times New Roman"/>
          <w:noProof/>
        </w:rPr>
        <w:footnoteReference w:id="15"/>
      </w:r>
      <w:r>
        <w:rPr>
          <w:noProof/>
        </w:rPr>
        <w:t>. Oma ettepanekus võtta vastu määrus, millega kehtestatakse ühissätted</w:t>
      </w:r>
      <w:r>
        <w:rPr>
          <w:rStyle w:val="FootnoteReference"/>
          <w:rFonts w:cs="Times New Roman"/>
          <w:noProof/>
        </w:rPr>
        <w:footnoteReference w:id="16"/>
      </w:r>
      <w:r>
        <w:rPr>
          <w:noProof/>
        </w:rPr>
        <w:t xml:space="preserve"> (edaspidi „ühissätete määruse ettepanek aastateks 2021–2027“), soovitab komisjon järgmis</w:t>
      </w:r>
      <w:r>
        <w:rPr>
          <w:noProof/>
        </w:rPr>
        <w:t>el programmitöö perioodil mehhanismi jätkata ja parandada, võttes kasutusele uue rakendamistingimuste süsteemi, millel on lihtsamad haldusmenetlused ning tõhusamad täitmis- ja järelevalvenõuded.</w:t>
      </w:r>
    </w:p>
    <w:p w:rsidR="001D5899" w:rsidRDefault="00102F57">
      <w:pPr>
        <w:pStyle w:val="Heading2"/>
        <w:rPr>
          <w:noProof/>
        </w:rPr>
      </w:pPr>
      <w:bookmarkStart w:id="12" w:name="_Toc28961410"/>
      <w:r>
        <w:rPr>
          <w:noProof/>
        </w:rPr>
        <w:t>3.3. Kulukohustustest vabastamise reegel N+3</w:t>
      </w:r>
      <w:bookmarkEnd w:id="12"/>
    </w:p>
    <w:p w:rsidR="001D5899" w:rsidRDefault="00102F57">
      <w:pPr>
        <w:spacing w:before="120"/>
        <w:rPr>
          <w:rFonts w:cs="Times New Roman"/>
          <w:noProof/>
        </w:rPr>
      </w:pPr>
      <w:r>
        <w:rPr>
          <w:noProof/>
        </w:rPr>
        <w:t>2014.–2020. aast</w:t>
      </w:r>
      <w:r>
        <w:rPr>
          <w:noProof/>
        </w:rPr>
        <w:t>a määruses võeti reegli N+2 asemel kasutusele kulukohustustest vabastamise reegel N+3, mille kohaselt võib kulukohustustega seotud ELi vahenditest, mida ei ole kolme aasta jooksul ära kasutatud, jääda ilma. Seda kohaldati esimest korda kõigi liikmesriikide</w:t>
      </w:r>
      <w:r>
        <w:rPr>
          <w:noProof/>
        </w:rPr>
        <w:t xml:space="preserve"> suhtes 2018. aastal.</w:t>
      </w:r>
    </w:p>
    <w:p w:rsidR="001D5899" w:rsidRDefault="00102F57">
      <w:pPr>
        <w:spacing w:before="120"/>
        <w:rPr>
          <w:rFonts w:cs="Times New Roman"/>
          <w:noProof/>
        </w:rPr>
      </w:pPr>
      <w:r>
        <w:rPr>
          <w:noProof/>
        </w:rPr>
        <w:t>Kuigi see reform andis korraldusasutustele rohkem aega projektide väljavalimiseks ja rakendamiseks, vähendas see survet eelarve kiireks täitmiseks. Koos raamatupidamise aastaaruannete ja jooksva lõpetamise protsessidega, mis on tekita</w:t>
      </w:r>
      <w:r>
        <w:rPr>
          <w:noProof/>
        </w:rPr>
        <w:t>nud ülemäärast ettevaatlikkust netofinantskorrektsioonide riski suhtes, täitis N+3 reegel olulist osa ELi eelarvest liikmesriikidele tehtavate maksete madalas tasemes. Järkjärguline tagasipöördumine N+2 reegli juurde, mida komisjon on kavandanud programmit</w:t>
      </w:r>
      <w:r>
        <w:rPr>
          <w:noProof/>
        </w:rPr>
        <w:t>öö perioodiks 2021–2027, samuti põhjalikud lihtsustamismeetmed ning juhtimis- ja kontrollisüsteemide pikendamine peaksid aitama kaasa kiiremale rakendamisele Euroopa kodanike hüvanguks.</w:t>
      </w:r>
    </w:p>
    <w:p w:rsidR="001D5899" w:rsidRDefault="00102F57">
      <w:pPr>
        <w:pStyle w:val="Heading2"/>
        <w:rPr>
          <w:noProof/>
        </w:rPr>
      </w:pPr>
      <w:bookmarkStart w:id="13" w:name="_Toc28961411"/>
      <w:r>
        <w:rPr>
          <w:noProof/>
        </w:rPr>
        <w:t>3.4. Tulemusraamistik</w:t>
      </w:r>
      <w:bookmarkEnd w:id="13"/>
    </w:p>
    <w:p w:rsidR="001D5899" w:rsidRDefault="00102F57">
      <w:pPr>
        <w:spacing w:before="120"/>
        <w:rPr>
          <w:rFonts w:cs="Times New Roman"/>
          <w:iCs/>
          <w:noProof/>
        </w:rPr>
      </w:pPr>
      <w:r>
        <w:rPr>
          <w:noProof/>
        </w:rPr>
        <w:t>Euroopa struktuuri- ja investeerimisfondide maja</w:t>
      </w:r>
      <w:r>
        <w:rPr>
          <w:noProof/>
        </w:rPr>
        <w:t>nduskasvu ja tööhõivesse investeerimise eesmärgi programmidele eraldatud vahenditest 6 % suunati tulemusreservi. Komisjon vaatas 2019. aastal programmide tulemuslikkuse läbi (tulemuslikkuse hindamine) ja vabastas tulemusreservi nende prioriteetide jaoks, m</w:t>
      </w:r>
      <w:r>
        <w:rPr>
          <w:noProof/>
        </w:rPr>
        <w:t xml:space="preserve">ille vahe-eesmärgid olid 2018. aasta lõpu seisuga saavutatud. </w:t>
      </w:r>
    </w:p>
    <w:p w:rsidR="001D5899" w:rsidRDefault="00102F57">
      <w:pPr>
        <w:spacing w:before="120"/>
        <w:rPr>
          <w:rFonts w:cs="Times New Roman"/>
          <w:iCs/>
          <w:noProof/>
        </w:rPr>
      </w:pPr>
      <w:r>
        <w:rPr>
          <w:noProof/>
        </w:rPr>
        <w:t>Tulemuslikkuse hindamine osutus heaks viisiks tulemuslikkuse stiimulite kasutuselevõtmiseks poliitikavaldkonna elluviimisel. Komisjoni ühissätete määruse ettepanekus aastateks 2021–2027 jääb tu</w:t>
      </w:r>
      <w:r>
        <w:rPr>
          <w:noProof/>
        </w:rPr>
        <w:t>lemustel põhinev lähenemisviis alles, kuid jätab rohkem ruumi poliitikavaldkonna kaalutlustele. Hindamine hõlmab programmide tulemuslikkuse laiemat ja kvalitatiivsemat hindamist, võttes arvesse 2024. aasta riigipõhistes soovitustes kindlaks tehtud probleem</w:t>
      </w:r>
      <w:r>
        <w:rPr>
          <w:noProof/>
        </w:rPr>
        <w:t>e, liikmesriikide või piirkondade sotsiaal-majanduslikku olukorda ning programmide vahe-eesmärkide saavutamisel tehtud edusamme. Komisjoni ettepanekus ühise põllumajanduspoliitika (ÜPP) strateegiakavade kohta aastateks 2021–2027</w:t>
      </w:r>
      <w:r>
        <w:rPr>
          <w:rStyle w:val="FootnoteReference"/>
          <w:rFonts w:cs="Times New Roman"/>
          <w:iCs/>
          <w:noProof/>
        </w:rPr>
        <w:footnoteReference w:id="17"/>
      </w:r>
      <w:r>
        <w:rPr>
          <w:noProof/>
        </w:rPr>
        <w:t xml:space="preserve"> on tulemustele keskendumin</w:t>
      </w:r>
      <w:r>
        <w:rPr>
          <w:noProof/>
        </w:rPr>
        <w:t>e endiselt tugev, kusjuures kulude rahastamiskõlblikkus on seotud tulemuste saavutamisega kohapeal.</w:t>
      </w:r>
    </w:p>
    <w:p w:rsidR="001D5899" w:rsidRDefault="00102F57">
      <w:pPr>
        <w:pStyle w:val="Heading2"/>
        <w:rPr>
          <w:noProof/>
        </w:rPr>
      </w:pPr>
      <w:bookmarkStart w:id="14" w:name="_Toc28961412"/>
      <w:r>
        <w:rPr>
          <w:noProof/>
        </w:rPr>
        <w:t>3.5. Integreeritud territoriaalse arengu toetamine</w:t>
      </w:r>
      <w:bookmarkEnd w:id="14"/>
    </w:p>
    <w:p w:rsidR="001D5899" w:rsidRDefault="00102F57">
      <w:pPr>
        <w:spacing w:before="120"/>
        <w:rPr>
          <w:rFonts w:cs="Times New Roman"/>
          <w:noProof/>
        </w:rPr>
      </w:pPr>
      <w:r>
        <w:rPr>
          <w:noProof/>
        </w:rPr>
        <w:t>Euroopa struktuuri- ja investeerimisfondid on ELi peamine vahend integreeritud territoriaalse arengu eden</w:t>
      </w:r>
      <w:r>
        <w:rPr>
          <w:noProof/>
        </w:rPr>
        <w:t>damiseks liikmesriikides ja piirkondades. EL rahastab rohkem kui 3 800 territoriaalset, linna- ja kohalikku strateegiat. Peale selle aitavad Euroopa struktuuri- ja investeerimisfondid liikmesriikidel rakendada meetmeid selliste konkreetsete territooriumide</w:t>
      </w:r>
      <w:r>
        <w:rPr>
          <w:noProof/>
        </w:rPr>
        <w:t xml:space="preserve"> vajaduste rahuldamiseks nagu vaesusest või sotsiaalsest tõrjutusest mõjutatud piirkonnad, hõredalt asustatud piirkonnad, mägipiirkonnad, saared ja äärepoolseimad piirkonnad. Seda kohandatud lähenemisviisi on tugevdatud komisjoni ühissätete määruse ettepan</w:t>
      </w:r>
      <w:r>
        <w:rPr>
          <w:noProof/>
        </w:rPr>
        <w:t>ekus aastateks 2021–2027, keskendudes eelkõige funktsionaalsetele territooriumidele (nt vesikonnad, rannikualad, mäed jms), et saada üle halduslikust kapseldumisest, ning kohalikele algatustele.</w:t>
      </w:r>
    </w:p>
    <w:p w:rsidR="001D5899" w:rsidRDefault="00102F57">
      <w:pPr>
        <w:pStyle w:val="Heading3"/>
        <w:rPr>
          <w:noProof/>
        </w:rPr>
      </w:pPr>
      <w:bookmarkStart w:id="15" w:name="_Toc28961413"/>
      <w:r>
        <w:rPr>
          <w:noProof/>
        </w:rPr>
        <w:t>3.5.1. Integreeritud investeeringud linnades</w:t>
      </w:r>
      <w:bookmarkEnd w:id="15"/>
    </w:p>
    <w:p w:rsidR="001D5899" w:rsidRDefault="00102F57">
      <w:pPr>
        <w:spacing w:before="120"/>
        <w:rPr>
          <w:rFonts w:cs="Times New Roman"/>
          <w:noProof/>
        </w:rPr>
      </w:pPr>
      <w:r>
        <w:rPr>
          <w:noProof/>
        </w:rPr>
        <w:t>Suurem keskendum</w:t>
      </w:r>
      <w:r>
        <w:rPr>
          <w:noProof/>
        </w:rPr>
        <w:t>ine linnaküsimustele käesoleval programmitöö perioodil ja ELi linnade tegevuskavast</w:t>
      </w:r>
      <w:r>
        <w:rPr>
          <w:rFonts w:cs="Times New Roman"/>
          <w:noProof/>
          <w:vertAlign w:val="superscript"/>
        </w:rPr>
        <w:footnoteReference w:id="18"/>
      </w:r>
      <w:r>
        <w:rPr>
          <w:noProof/>
        </w:rPr>
        <w:t xml:space="preserve"> tulenev ainulaadne poliitiline tõuge on andnud linnadele võimaluse töötada Euroopa struktuuri- ja investeerimisfondide toetusel välja oma integreeritud linnastrateegiad. L</w:t>
      </w:r>
      <w:r>
        <w:rPr>
          <w:noProof/>
        </w:rPr>
        <w:t>innapiirkondadesse 2018. aasta lõpu seisuga investeeritud 81 miljardist eurost on linnad valinud välja ligikaudu 10,8 miljardi euro väärtuses projekte, mida rakendatakse enam kui 900 integreeritud linnastrateegia kaudu. Samuti tasub esile tuua edukaid linn</w:t>
      </w:r>
      <w:r>
        <w:rPr>
          <w:noProof/>
        </w:rPr>
        <w:t>adega seotud uuenduslikke meetmeid, mis on aidanud linnapiirkondadel katsetada 75 meetme kaudu säästva linnaarengu uuenduslikke lahendusi</w:t>
      </w:r>
      <w:r>
        <w:rPr>
          <w:rFonts w:cs="Times New Roman"/>
          <w:noProof/>
          <w:vertAlign w:val="superscript"/>
        </w:rPr>
        <w:footnoteReference w:id="19"/>
      </w:r>
      <w:r>
        <w:rPr>
          <w:noProof/>
        </w:rPr>
        <w:t>.</w:t>
      </w:r>
    </w:p>
    <w:p w:rsidR="001D5899" w:rsidRDefault="00102F57">
      <w:pPr>
        <w:pStyle w:val="Heading3"/>
        <w:rPr>
          <w:noProof/>
        </w:rPr>
      </w:pPr>
      <w:bookmarkStart w:id="16" w:name="_Toc28961414"/>
      <w:r>
        <w:rPr>
          <w:noProof/>
        </w:rPr>
        <w:t>3.5.2. Territoriaalsete vahendite rakendamine</w:t>
      </w:r>
      <w:bookmarkEnd w:id="16"/>
    </w:p>
    <w:p w:rsidR="001D5899" w:rsidRDefault="00102F57">
      <w:pPr>
        <w:spacing w:before="120"/>
        <w:rPr>
          <w:rFonts w:cs="Times New Roman"/>
          <w:noProof/>
        </w:rPr>
      </w:pPr>
      <w:r>
        <w:rPr>
          <w:noProof/>
        </w:rPr>
        <w:t>Integreeritud territoriaalsed investeeringud ja kogukonna juhitud koha</w:t>
      </w:r>
      <w:r>
        <w:rPr>
          <w:noProof/>
        </w:rPr>
        <w:t xml:space="preserve">liku arengu meede võeti kasutusele selleks, et edendada integreeritud territoriaalse arengu strateegiaid väljaspool tavapärast riigi ja piirkonna tasandit. </w:t>
      </w:r>
    </w:p>
    <w:p w:rsidR="001D5899" w:rsidRDefault="00102F57">
      <w:pPr>
        <w:spacing w:before="120"/>
        <w:rPr>
          <w:rFonts w:cs="Times New Roman"/>
          <w:noProof/>
        </w:rPr>
      </w:pPr>
      <w:r>
        <w:rPr>
          <w:noProof/>
        </w:rPr>
        <w:t>Integreeritud territoriaalseid investeeringuid on kasutatud rohkem kui 200 linnastrateegia ja 120 t</w:t>
      </w:r>
      <w:r>
        <w:rPr>
          <w:noProof/>
        </w:rPr>
        <w:t>erritoriaalse strateegia rakendamiseks, võttes Euroopa struktuuri- ja investeerimisfondide raames kasutusele kokku 15,9 miljardit eurot. LEADERi meetodist</w:t>
      </w:r>
      <w:r>
        <w:rPr>
          <w:rStyle w:val="FootnoteReference"/>
          <w:rFonts w:cs="Times New Roman"/>
          <w:noProof/>
        </w:rPr>
        <w:footnoteReference w:id="20"/>
      </w:r>
      <w:r>
        <w:rPr>
          <w:noProof/>
        </w:rPr>
        <w:t xml:space="preserve"> tulenev kogukonna juhitud kohaliku arengu meede aitas Euroopa struktuuri- ja investeerimisfondide va</w:t>
      </w:r>
      <w:r>
        <w:rPr>
          <w:noProof/>
        </w:rPr>
        <w:t>henditest võtta kasutusele kokku 9,1 miljardit eurot. Praeguseks on kogu ELis loodud üle 3 000 kohaliku tegevusrühma, kes vastutavad kohalike kogukondade kaasamise ja kogukonna juhitud kohaliku arengu strateegiate rakendamise eest. Mitmel juhul algas integ</w:t>
      </w:r>
      <w:r>
        <w:rPr>
          <w:noProof/>
        </w:rPr>
        <w:t>reeritud territoriaalsete investeeringute ja kogukonna juhitud kohaliku arengu meetme elluviimine visalt, kuna kõigepealt oli vaja ette valmistada nendega seotud üldised strateegiad ja eri vahendite ühendamine oli keeruline. Eduaruannetest ilmneb siiski ül</w:t>
      </w:r>
      <w:r>
        <w:rPr>
          <w:noProof/>
        </w:rPr>
        <w:t xml:space="preserve">dine entusiasm nende vahendite suhtes: need on aidanud tulla toime linnaarengu meetmete rakendamisega seotud raskustega eri sektorites ja rahuldada paremini territoriaalseid vajadusi. </w:t>
      </w:r>
    </w:p>
    <w:p w:rsidR="001D5899" w:rsidRDefault="00102F57">
      <w:pPr>
        <w:spacing w:before="120"/>
        <w:rPr>
          <w:rFonts w:cs="Times New Roman"/>
          <w:noProof/>
        </w:rPr>
      </w:pPr>
      <w:r>
        <w:rPr>
          <w:noProof/>
        </w:rPr>
        <w:t>Uus poliitiline lähenemisviis, mille komisjon võttis kasutusele oma ühi</w:t>
      </w:r>
      <w:r>
        <w:rPr>
          <w:noProof/>
        </w:rPr>
        <w:t>ssätete määruse ettepanekus aastateks 2021–2027, tugineb integreeritud territoriaalsete investeeringute ja kogukonna juhitud kohaliku arengu meetme positiivsetele kogemustele ning aitab muuta territoriaalsete investeeringute tegemise lihtsamaks ja tõhusama</w:t>
      </w:r>
      <w:r>
        <w:rPr>
          <w:noProof/>
        </w:rPr>
        <w:t>ks. Peale selle oleks vastavalt komisjoni ettepanekule ÜPP strateegiakavade kohta aastateks 2021–2027 LEADER-programm endiselt kohustuslik ja nende kavade jaoks reserveeritaks EAFRD kogutoetusest vähemalt 5 %.</w:t>
      </w:r>
    </w:p>
    <w:p w:rsidR="001D5899" w:rsidRDefault="00102F57">
      <w:pPr>
        <w:pStyle w:val="Heading3"/>
        <w:rPr>
          <w:noProof/>
        </w:rPr>
      </w:pPr>
      <w:bookmarkStart w:id="17" w:name="_Toc28961415"/>
      <w:r>
        <w:rPr>
          <w:noProof/>
        </w:rPr>
        <w:t>3.5.3. Territoriaalne koostöö</w:t>
      </w:r>
      <w:bookmarkEnd w:id="17"/>
      <w:r>
        <w:rPr>
          <w:noProof/>
        </w:rPr>
        <w:t xml:space="preserve"> </w:t>
      </w:r>
    </w:p>
    <w:p w:rsidR="001D5899" w:rsidRDefault="00102F57">
      <w:pPr>
        <w:spacing w:before="120"/>
        <w:rPr>
          <w:rFonts w:cs="Times New Roman"/>
          <w:noProof/>
        </w:rPr>
      </w:pPr>
      <w:r>
        <w:rPr>
          <w:noProof/>
        </w:rPr>
        <w:t>Euroopa territo</w:t>
      </w:r>
      <w:r>
        <w:rPr>
          <w:noProof/>
        </w:rPr>
        <w:t>riaalse koostöö programme (Interreg) rakendatakse piiriülesel, riikidevahelisel ja piirkondadevahelisel tasandil. Projektide väljavalimine on edenenud kõigis Interregi programmides ja nende rahastamise maht oli 2018. aasta lõpu seisuga ligikaudu 9,7 miljar</w:t>
      </w:r>
      <w:r>
        <w:rPr>
          <w:noProof/>
        </w:rPr>
        <w:t>dit eurot. Peamised toetatavad sektorid on keskkonnakaitse ja ressursitõhusus (nt üleujutuste ennetamine, tulekahjude ärahoidmine, looduskaitse) ning teadusuuringud, tehnoloogiaarendus ja innovatsioon (nt piiriülesed klastrid, innovatsioonivõrgustikud). Vi</w:t>
      </w:r>
      <w:r>
        <w:rPr>
          <w:noProof/>
        </w:rPr>
        <w:t xml:space="preserve">imase kahe aasta jooksul on rohkem tähelepanu pööratud ka piirialadel investeeringuid ja majandusarengut takistavate õiguslike, haldus- ja institutsiooniliste takistuste kõrvaldamisele. Näiteks lõi komisjon spetsiaalse piirikeskuse, et aidata ületada neid </w:t>
      </w:r>
      <w:r>
        <w:rPr>
          <w:noProof/>
        </w:rPr>
        <w:t>takistusi konkreetsetes valdkondades, nagu transport, tööturg, tervishoid ja haridus</w:t>
      </w:r>
      <w:r>
        <w:rPr>
          <w:rStyle w:val="FootnoteReference"/>
          <w:rFonts w:cs="Times New Roman"/>
          <w:noProof/>
        </w:rPr>
        <w:footnoteReference w:id="21"/>
      </w:r>
      <w:r>
        <w:rPr>
          <w:noProof/>
        </w:rPr>
        <w:t xml:space="preserve">. </w:t>
      </w:r>
    </w:p>
    <w:p w:rsidR="001D5899" w:rsidRDefault="00102F57">
      <w:pPr>
        <w:spacing w:before="120"/>
        <w:rPr>
          <w:rFonts w:cs="Times New Roman"/>
          <w:b/>
          <w:bCs/>
          <w:noProof/>
        </w:rPr>
      </w:pPr>
      <w:r>
        <w:rPr>
          <w:noProof/>
        </w:rPr>
        <w:t>Seoses ELi makropiirkondlike strateegiatega rõhutati komisjoni teises aruandes</w:t>
      </w:r>
      <w:r>
        <w:rPr>
          <w:rFonts w:cs="Times New Roman"/>
          <w:noProof/>
          <w:vertAlign w:val="superscript"/>
        </w:rPr>
        <w:footnoteReference w:id="22"/>
      </w:r>
      <w:r>
        <w:rPr>
          <w:noProof/>
        </w:rPr>
        <w:t xml:space="preserve"> makropiirkondliku lähenemisviisi positiivset mõju, eelkõige seoses teadlikkuse parandamisega ühistest probleemidest funktsionaalsetes piirkondades (nt funktsionaalsed linnapiirkonnad, vesikonnad, rannikualad, mäed jms). Komisjoni aruandes märgitakse aga, </w:t>
      </w:r>
      <w:r>
        <w:rPr>
          <w:noProof/>
        </w:rPr>
        <w:t>et mõnes osalevas liikmesriigis puudub vastutus strateegiate eest, mistõttu ei eraldata piisavalt haldus- ja tehnilisi vahendeid. Siiski näitavad liikmesriikide esitatud aruanded, et makropiirkondlikke strateegiaid lõimitakse üha enam Euroopa struktuuri- j</w:t>
      </w:r>
      <w:r>
        <w:rPr>
          <w:noProof/>
        </w:rPr>
        <w:t>a investeerimisfondide programmidega. Hoo säilitamiseks soovitas komisjon osalevatel liikmesriikidel võtta Euroopa struktuuri- ja investeerimisfondide 2021.–2027. aasta programmitöö dokumentides arvesse makropiirkondlike strateegiate prioriteete. Euroopa L</w:t>
      </w:r>
      <w:r>
        <w:rPr>
          <w:noProof/>
        </w:rPr>
        <w:t>iidu Nõukogu toetas seda soovitust.</w:t>
      </w:r>
    </w:p>
    <w:p w:rsidR="001D5899" w:rsidRDefault="00102F57">
      <w:pPr>
        <w:pStyle w:val="Heading1"/>
        <w:rPr>
          <w:noProof/>
        </w:rPr>
      </w:pPr>
      <w:bookmarkStart w:id="18" w:name="_Toc28961416"/>
      <w:r>
        <w:rPr>
          <w:noProof/>
        </w:rPr>
        <w:t>4. PROGRAMMI PAREM JUHTIMINE</w:t>
      </w:r>
      <w:bookmarkEnd w:id="18"/>
    </w:p>
    <w:p w:rsidR="001D5899" w:rsidRDefault="00102F57">
      <w:pPr>
        <w:pStyle w:val="Heading2"/>
        <w:rPr>
          <w:noProof/>
        </w:rPr>
      </w:pPr>
      <w:bookmarkStart w:id="19" w:name="_Toc28961417"/>
      <w:r>
        <w:rPr>
          <w:noProof/>
        </w:rPr>
        <w:t>4.1. Ametiasutuste ja toetusesaajate suutlikkus</w:t>
      </w:r>
      <w:bookmarkEnd w:id="19"/>
      <w:r>
        <w:rPr>
          <w:noProof/>
        </w:rPr>
        <w:t xml:space="preserve"> </w:t>
      </w:r>
    </w:p>
    <w:p w:rsidR="001D5899" w:rsidRDefault="00102F57">
      <w:pPr>
        <w:spacing w:before="120"/>
        <w:rPr>
          <w:rFonts w:cs="Times New Roman"/>
          <w:noProof/>
        </w:rPr>
      </w:pPr>
      <w:r>
        <w:rPr>
          <w:noProof/>
        </w:rPr>
        <w:t>Komisjon on teinud kättesaadavaks palju konkreetseid vahendeid</w:t>
      </w:r>
      <w:r>
        <w:rPr>
          <w:rStyle w:val="FootnoteReference"/>
          <w:rFonts w:cs="Times New Roman"/>
          <w:noProof/>
        </w:rPr>
        <w:footnoteReference w:id="23"/>
      </w:r>
      <w:r>
        <w:rPr>
          <w:noProof/>
        </w:rPr>
        <w:t>, et toetada liikmesriikide jõupingutusi tagamaks, et programme haldavatel asut</w:t>
      </w:r>
      <w:r>
        <w:rPr>
          <w:noProof/>
        </w:rPr>
        <w:t xml:space="preserve">ustel ja toetusesaajatel on piisav haldussuutlikkus Euroopa struktuuri- ja investeerimisfondide tulemuslikuks rakendamiseks. See toetus hõlmab näiteks lühiajaliste kitsaskohtade kõrvaldamist (näiteks riigihangete ja riigiabiga tegelevate töötajate oskuste </w:t>
      </w:r>
      <w:r>
        <w:rPr>
          <w:noProof/>
        </w:rPr>
        <w:t>täiendamise abil) ning strateegilisemate ja vajadustele kohandatud meetmete väljatöötamist haldussuutlikkuse suurendamise valdkonnas. Näiteks 2018. aasta lõpuks oli platvormi TAIEX-REGIO Peer2Peer raames osalenud rohkem kui 170 seminaril, õppekülastusel ja</w:t>
      </w:r>
      <w:r>
        <w:rPr>
          <w:noProof/>
        </w:rPr>
        <w:t xml:space="preserve"> ekspertide lähetusel kõigist liikmesriikidest kokku 2 600 osalejat. Muud 2018. aasta algatused hõlmavad pädevusraamistiku ja enesehindamisvahendi käivitamist, et aidata haldusasutustel teha kindlaks pädevuslüngad ja need kõrvaldada. </w:t>
      </w:r>
    </w:p>
    <w:p w:rsidR="001D5899" w:rsidRDefault="00102F57">
      <w:pPr>
        <w:spacing w:before="120"/>
        <w:rPr>
          <w:rFonts w:cs="Times New Roman"/>
          <w:noProof/>
        </w:rPr>
      </w:pPr>
      <w:r>
        <w:rPr>
          <w:noProof/>
        </w:rPr>
        <w:t xml:space="preserve">Digitaalsel tasandil </w:t>
      </w:r>
      <w:r>
        <w:rPr>
          <w:noProof/>
        </w:rPr>
        <w:t>on pädevate lairibaühenduse asutuste võrgustik</w:t>
      </w:r>
      <w:r>
        <w:rPr>
          <w:rStyle w:val="FootnoteReference"/>
          <w:rFonts w:cs="Times New Roman"/>
          <w:noProof/>
        </w:rPr>
        <w:footnoteReference w:id="24"/>
      </w:r>
      <w:r>
        <w:rPr>
          <w:noProof/>
        </w:rPr>
        <w:t xml:space="preserve"> nüüd täielikult toimiv. See koondab 113 riiklikku ja piirkondlikku avaliku sektori asutust ja organit, kes toetavad lairibaühenduse kasutuselevõttu kõigis liikmesriikides. Komisjoni toetusel vahetavad pädevad</w:t>
      </w:r>
      <w:r>
        <w:rPr>
          <w:noProof/>
        </w:rPr>
        <w:t xml:space="preserve"> lairibaühenduse asutused teadmisi, häid tavasid ja kogemusi lairibastrateegiate ja -projektide kavandamise ja rakendamisega seotud ühiste probleemide lahendamisel. </w:t>
      </w:r>
    </w:p>
    <w:p w:rsidR="001D5899" w:rsidRDefault="00102F57">
      <w:pPr>
        <w:pStyle w:val="Heading2"/>
        <w:rPr>
          <w:noProof/>
        </w:rPr>
      </w:pPr>
      <w:bookmarkStart w:id="20" w:name="_Toc28961418"/>
      <w:r>
        <w:rPr>
          <w:noProof/>
        </w:rPr>
        <w:t>4.2. Lihtsamad menetlused toetusesaajatele</w:t>
      </w:r>
      <w:bookmarkEnd w:id="20"/>
    </w:p>
    <w:p w:rsidR="001D5899" w:rsidRDefault="00102F57">
      <w:pPr>
        <w:pStyle w:val="NormalWeb"/>
        <w:spacing w:before="120" w:after="120"/>
        <w:jc w:val="both"/>
        <w:rPr>
          <w:noProof/>
        </w:rPr>
      </w:pPr>
      <w:r>
        <w:rPr>
          <w:noProof/>
        </w:rPr>
        <w:t xml:space="preserve">Mitme Euroopa struktuuri- ja </w:t>
      </w:r>
      <w:r>
        <w:rPr>
          <w:noProof/>
        </w:rPr>
        <w:t>investeerimisfondide määruse</w:t>
      </w:r>
      <w:r>
        <w:rPr>
          <w:noProof/>
          <w:vertAlign w:val="superscript"/>
        </w:rPr>
        <w:footnoteReference w:id="25"/>
      </w:r>
      <w:r>
        <w:rPr>
          <w:noProof/>
        </w:rPr>
        <w:t xml:space="preserve"> 2018. aasta juulis tehtud muudatused andsid uusi võimalusi bürokraatia vähendamiseks 2014.–2020. aasta programmide rakendamisel. Muudatused hõlmasid lihtsustatud kuluvõimaluste laiemat kasutamist, mis võimaldab ametiasutustel </w:t>
      </w:r>
      <w:r>
        <w:rPr>
          <w:noProof/>
        </w:rPr>
        <w:t>keskenduda rohkem tulemustele ja suurendada samal ajal õiguskindlust kõigi osalejate jaoks, samuti rohkem võimalusi rahastamisallikate kombineerimiseks ning väikesemahuliste tegevuste auditikoormuse täiendavat vähendamist, laiendades „ainult ühe auditi“ re</w:t>
      </w:r>
      <w:r>
        <w:rPr>
          <w:noProof/>
        </w:rPr>
        <w:t xml:space="preserve">egli kohaldamisala. </w:t>
      </w:r>
    </w:p>
    <w:p w:rsidR="001D5899" w:rsidRDefault="00102F57">
      <w:pPr>
        <w:pStyle w:val="NormalWeb"/>
        <w:jc w:val="both"/>
        <w:rPr>
          <w:noProof/>
        </w:rPr>
      </w:pPr>
      <w:r>
        <w:rPr>
          <w:noProof/>
        </w:rPr>
        <w:t>Seoses lihtsustatud kuluvõimalustega käivitati 2018. aasta novembris lisaks ESFi valdkonnas käimasolevale riikidevahelisele võrgustikule eriplatvorm, mille kaudu ametiasutused saavad jagada teadmisi ja häid tavasid lihtsustatud kuluvõi</w:t>
      </w:r>
      <w:r>
        <w:rPr>
          <w:noProof/>
        </w:rPr>
        <w:t>maluste kasutamisel ERFi ja Ühtekuuluvusfondi raames. EAFRD puhul on lihtsustatud kuluvõimalusi tugevalt toetatud võrgustike loomise ja suutlikkuse suurendamise kaudu. ESFi puhul võttis komisjon alates 2018. aasta augustist mitme liikmesriigi, sealhulgas e</w:t>
      </w:r>
      <w:r>
        <w:rPr>
          <w:noProof/>
        </w:rPr>
        <w:t xml:space="preserve">simest korda Bulgaaria ja Portugali puhul kolm korda vastu uued ühikuhinnad ja kindlasummalised maksed. </w:t>
      </w:r>
    </w:p>
    <w:p w:rsidR="001D5899" w:rsidRDefault="00102F57">
      <w:pPr>
        <w:pStyle w:val="Heading2"/>
        <w:rPr>
          <w:noProof/>
        </w:rPr>
      </w:pPr>
      <w:bookmarkStart w:id="21" w:name="_Toc28961419"/>
      <w:r>
        <w:rPr>
          <w:noProof/>
        </w:rPr>
        <w:t>4.3.</w:t>
      </w:r>
      <w:r>
        <w:rPr>
          <w:caps/>
          <w:noProof/>
        </w:rPr>
        <w:t xml:space="preserve"> </w:t>
      </w:r>
      <w:r>
        <w:rPr>
          <w:noProof/>
        </w:rPr>
        <w:t>Partnerite roll programmide rakendamises</w:t>
      </w:r>
      <w:bookmarkEnd w:id="21"/>
    </w:p>
    <w:p w:rsidR="001D5899" w:rsidRDefault="00102F57">
      <w:pPr>
        <w:rPr>
          <w:noProof/>
        </w:rPr>
      </w:pPr>
      <w:r>
        <w:rPr>
          <w:noProof/>
        </w:rPr>
        <w:t>Partnerluse põhimõtte rakendamine on liikmesriigiti erinev ning sõltub nende halduskorraldusest ja instit</w:t>
      </w:r>
      <w:r>
        <w:rPr>
          <w:noProof/>
        </w:rPr>
        <w:t>utsioonilisest ülesehitusest. Kuid nagu ka 2017. aastal, näitavad eduaruanded siiski üldisi püüdlusi partnereid kaasata kooskõlas partnerluse tegevusjuhendiga. Paljudes liikmesriikides arutati eduaruandeid partneritega järelevalvekomiteedes või spetsiaalse</w:t>
      </w:r>
      <w:r>
        <w:rPr>
          <w:noProof/>
        </w:rPr>
        <w:t>tel foorumitel. Liikmesriigid on jätkanud partnerite kaasamist kas järelevalvekomiteede, nõuanderühmade, konkursikutsetega seotud konsultatsioonide või teavituskampaaniate ja seminaride kaudu. Näiteks on 11 liikmesriigis jälginud kodanikuühiskonna organisa</w:t>
      </w:r>
      <w:r>
        <w:rPr>
          <w:noProof/>
        </w:rPr>
        <w:t>tsioonid aktiivselt kogu hangete ja projektide rakendamise tsüklit 17 ausameelsuse kokkuleppe</w:t>
      </w:r>
      <w:r>
        <w:rPr>
          <w:rStyle w:val="FootnoteReference"/>
          <w:noProof/>
        </w:rPr>
        <w:footnoteReference w:id="26"/>
      </w:r>
      <w:r>
        <w:rPr>
          <w:noProof/>
        </w:rPr>
        <w:t xml:space="preserve"> raames, mida rahastab komisjon koostöös organisatsiooniga Transparency International. Üldiselt arvatakse, et partnerite kaasamisel on positiivne mõju programmi r</w:t>
      </w:r>
      <w:r>
        <w:rPr>
          <w:noProof/>
        </w:rPr>
        <w:t>akendamisele.</w:t>
      </w:r>
    </w:p>
    <w:p w:rsidR="001D5899" w:rsidRDefault="00102F57">
      <w:pPr>
        <w:pStyle w:val="Heading2"/>
        <w:rPr>
          <w:noProof/>
        </w:rPr>
      </w:pPr>
      <w:bookmarkStart w:id="22" w:name="_Toc28961420"/>
      <w:r>
        <w:rPr>
          <w:noProof/>
        </w:rPr>
        <w:t>4.4.</w:t>
      </w:r>
      <w:r>
        <w:rPr>
          <w:caps/>
          <w:noProof/>
        </w:rPr>
        <w:t xml:space="preserve"> </w:t>
      </w:r>
      <w:r>
        <w:rPr>
          <w:noProof/>
        </w:rPr>
        <w:t>Horisontaalsete põhimõtete ja poliitikaeesmärkide rakendamine</w:t>
      </w:r>
      <w:bookmarkEnd w:id="22"/>
    </w:p>
    <w:p w:rsidR="001D5899" w:rsidRDefault="00102F57">
      <w:pPr>
        <w:spacing w:before="120"/>
        <w:rPr>
          <w:rFonts w:cs="Times New Roman"/>
          <w:noProof/>
        </w:rPr>
      </w:pPr>
      <w:r>
        <w:rPr>
          <w:noProof/>
        </w:rPr>
        <w:t>Komisjon jätkab liikmesriikide toetamist horisontaalsete eesmärkide, sealhulgas keskkonna- ja kliimaeesmärkide rakendamisel – eelkõige korraldades korrapäraseid kohtumisi riik</w:t>
      </w:r>
      <w:r>
        <w:rPr>
          <w:noProof/>
        </w:rPr>
        <w:t>like energia- või keskkonnaasutuste ning energeetika või keskkonna valdkonna korraldusasutuste esindajatega</w:t>
      </w:r>
      <w:r>
        <w:rPr>
          <w:noProof/>
          <w:vertAlign w:val="superscript"/>
        </w:rPr>
        <w:t xml:space="preserve"> </w:t>
      </w:r>
      <w:r>
        <w:rPr>
          <w:noProof/>
        </w:rPr>
        <w:t>– ning soolise võrdõiguslikkuse valdkonnas. Mõnes liikmesriigis pakutakse projektiedendajatele konkreetseid positiivseid stiimuleid, millega kaasneb</w:t>
      </w:r>
      <w:r>
        <w:rPr>
          <w:noProof/>
        </w:rPr>
        <w:t xml:space="preserve"> uuenduslik lähenemisviis soolise perspektiivi lõimimisele. </w:t>
      </w:r>
    </w:p>
    <w:p w:rsidR="001D5899" w:rsidRDefault="00102F57">
      <w:pPr>
        <w:pStyle w:val="Heading2"/>
        <w:rPr>
          <w:noProof/>
        </w:rPr>
      </w:pPr>
      <w:bookmarkStart w:id="23" w:name="_Toc28961421"/>
      <w:r>
        <w:rPr>
          <w:noProof/>
        </w:rPr>
        <w:t>4.5. Parem vastastikune täiendavus suurema mõju saavutamiseks</w:t>
      </w:r>
      <w:bookmarkEnd w:id="23"/>
    </w:p>
    <w:p w:rsidR="001D5899" w:rsidRDefault="00102F57">
      <w:pPr>
        <w:spacing w:before="120"/>
        <w:rPr>
          <w:rFonts w:cs="Times New Roman"/>
          <w:i/>
          <w:iCs/>
          <w:noProof/>
          <w:u w:val="single"/>
        </w:rPr>
      </w:pPr>
      <w:r>
        <w:rPr>
          <w:noProof/>
        </w:rPr>
        <w:t>2014.–2020. aasta õigusraamistikuga tugevdati koordineerimist Euroopa struktuuri- ja investeerimisfondide vahel ja nende vastastikust</w:t>
      </w:r>
      <w:r>
        <w:rPr>
          <w:noProof/>
        </w:rPr>
        <w:t xml:space="preserve"> täiendavust muude ELi vahenditega. 2019. aasta eduaruannetes esitatud teabest nähtub, et mitu liikmesriiki on rakendanud selliseid meetmeid nagu riiklike rahastamiskõlblikkuse eeskirjade ühtlustamine, valdkondade- ja ministeeriumidevahelised kokkulepped, </w:t>
      </w:r>
      <w:r>
        <w:rPr>
          <w:noProof/>
        </w:rPr>
        <w:t>ühised järelevalvekomiteed või IT-lahendused, mis hõlmavad mitme fondi kavandamist ja rakendamist.</w:t>
      </w:r>
    </w:p>
    <w:p w:rsidR="001D5899" w:rsidRDefault="00102F57">
      <w:pPr>
        <w:spacing w:before="120"/>
        <w:rPr>
          <w:rFonts w:cs="Times New Roman"/>
          <w:noProof/>
        </w:rPr>
      </w:pPr>
      <w:r>
        <w:rPr>
          <w:noProof/>
        </w:rPr>
        <w:t>On ka uusi projekte, mis näitavad Euroopa struktuuri- ja investeerimisfondide ning Euroopa Strateegiliste Investeeringute Fondi (EFSI) vastastikust täiendavu</w:t>
      </w:r>
      <w:r>
        <w:rPr>
          <w:noProof/>
        </w:rPr>
        <w:t>st. Näiteks Réunioni saare lennujaam, mida rahastati nii ERFi kui ka EFSI vahenditest, ning Poznańi meditsiiniülikooli meditsiinilise simulatsiooni keskus, kus koos EFSI tagasimakstava toetusega anti ESFi toetust, et katta osa seadmete ja pädevuste paranda</w:t>
      </w:r>
      <w:r>
        <w:rPr>
          <w:noProof/>
        </w:rPr>
        <w:t>misega seotud kuludest. Aruanded näitavad siiski ka seda, et liikmesriigid alles hindavad, kuidas ja kas kasutada määruse (EL) nr 1303/2013 muutmisega</w:t>
      </w:r>
      <w:r>
        <w:rPr>
          <w:rStyle w:val="FootnoteReference"/>
          <w:rFonts w:cs="Times New Roman"/>
          <w:noProof/>
        </w:rPr>
        <w:footnoteReference w:id="27"/>
      </w:r>
      <w:r>
        <w:rPr>
          <w:noProof/>
        </w:rPr>
        <w:t xml:space="preserve"> loodud võimalust, et hõlbustada EFSI ning Euroopa struktuuri- ja investeerimisfondide kombineerimist. </w:t>
      </w:r>
    </w:p>
    <w:p w:rsidR="001D5899" w:rsidRDefault="00102F57">
      <w:pPr>
        <w:spacing w:before="120"/>
        <w:rPr>
          <w:rFonts w:cs="Times New Roman"/>
          <w:noProof/>
        </w:rPr>
      </w:pPr>
      <w:r>
        <w:rPr>
          <w:noProof/>
        </w:rPr>
        <w:t>P</w:t>
      </w:r>
      <w:r>
        <w:rPr>
          <w:noProof/>
        </w:rPr>
        <w:t>eale selle on enamikust liikmesriikidest ja mitmest assotsieerunud riigist pärit osalejad ühinenud kvaliteedimärgise algatuse raames praktikakogukonnaga. See aitab uuenduslikel VKEde projektidel, mida ei saanud programmi „Horisont 2020“ vahenditest rahasta</w:t>
      </w:r>
      <w:r>
        <w:rPr>
          <w:noProof/>
        </w:rPr>
        <w:t>da, taotleda muud toetust, sealhulgas ERFist. Seda algatust tuleks edendada seoses komisjoni ettepanekuga ELi järgmise perioodi eelarve kohta, mille eesmärk on lihtsustada komisjoni riigiabi eeskirju, et toetada veelgi uuenduslike projektide rahastamist av</w:t>
      </w:r>
      <w:r>
        <w:rPr>
          <w:noProof/>
        </w:rPr>
        <w:t xml:space="preserve">aliku sektori vahenditest. </w:t>
      </w:r>
    </w:p>
    <w:p w:rsidR="001D5899" w:rsidRDefault="00102F57">
      <w:pPr>
        <w:spacing w:before="120"/>
        <w:rPr>
          <w:rFonts w:cs="Times New Roman"/>
          <w:noProof/>
        </w:rPr>
      </w:pPr>
      <w:r>
        <w:rPr>
          <w:noProof/>
        </w:rPr>
        <w:t>Komisjon käivitas ka koostoime suurendamiseks mitu algatust, eelkõige tipptasemele jõudmist käsitleva katseprojekti, et aidata liikmesriikidel parandada oma innovatsioonisüsteeme ja luua sidemeid teiste riikide teadusringkondade</w:t>
      </w:r>
      <w:r>
        <w:rPr>
          <w:noProof/>
        </w:rPr>
        <w:t>ga ning seeläbi hõlbustada taotluste esitamist programmi „Horisont 2020“ taotlusvoorudes. Hoolimata võimalusest toetusi kumuleerida, on programmi „Horisont“ ning Euroopa struktuuri- ja investeerimisfondide vahendite kombineerimine samades projektides jätku</w:t>
      </w:r>
      <w:r>
        <w:rPr>
          <w:noProof/>
        </w:rPr>
        <w:t>valt siiski juhuslik</w:t>
      </w:r>
      <w:r>
        <w:rPr>
          <w:rStyle w:val="FootnoteReference"/>
          <w:rFonts w:cs="Times New Roman"/>
          <w:noProof/>
        </w:rPr>
        <w:footnoteReference w:id="28"/>
      </w:r>
      <w:r>
        <w:rPr>
          <w:noProof/>
        </w:rPr>
        <w:t>.</w:t>
      </w:r>
    </w:p>
    <w:p w:rsidR="001D5899" w:rsidRDefault="00102F57">
      <w:pPr>
        <w:spacing w:before="120"/>
        <w:rPr>
          <w:rFonts w:cs="Times New Roman"/>
          <w:noProof/>
        </w:rPr>
      </w:pPr>
      <w:r>
        <w:rPr>
          <w:noProof/>
        </w:rPr>
        <w:t>Põllumajanduse tootlikkuse ja jätkusuutlikkuse Euroopa innovatsioonipartnerlus (EIP-AGRI), mida toetatakse EAFRD vahenditest, on veel üks näide selle kohta, kuidas programmi „Horisont 2020“ raames välja töötatud teadusuuringuid üle k</w:t>
      </w:r>
      <w:r>
        <w:rPr>
          <w:noProof/>
        </w:rPr>
        <w:t>antakse ja kohapeal rakendatakse. EIP-AGRI koondab rahastamisvooge interaktiivse innovatsiooni edendamiseks, et aidata kaasa ELi aruka, jätkusuutliku ja kaasava majanduskasvu strateegiale.</w:t>
      </w:r>
    </w:p>
    <w:p w:rsidR="001D5899" w:rsidRDefault="00102F57">
      <w:pPr>
        <w:pStyle w:val="Heading2"/>
        <w:rPr>
          <w:noProof/>
        </w:rPr>
      </w:pPr>
      <w:bookmarkStart w:id="24" w:name="_Toc28961422"/>
      <w:r>
        <w:rPr>
          <w:noProof/>
        </w:rPr>
        <w:t>4.6. Euroopa struktuuri- ja investeerimisfondide hindamise kokkuvõt</w:t>
      </w:r>
      <w:r>
        <w:rPr>
          <w:noProof/>
        </w:rPr>
        <w:t>e</w:t>
      </w:r>
      <w:bookmarkEnd w:id="24"/>
    </w:p>
    <w:p w:rsidR="001D5899" w:rsidRDefault="00102F57">
      <w:pPr>
        <w:rPr>
          <w:noProof/>
        </w:rPr>
      </w:pPr>
      <w:r>
        <w:rPr>
          <w:noProof/>
        </w:rPr>
        <w:t>Ajavahemikus 2014–2020 on üha rohkem käsitletud hindamistes peamiselt rakendamisprotsessi ja edusamme seatud eesmärkide saavutamisel. Vaatamata lõpuleviidud projektide suurenevale hulgale, on ikka veel liiga vara hinnata programmide tulemusi ja mõju. Mõj</w:t>
      </w:r>
      <w:r>
        <w:rPr>
          <w:noProof/>
        </w:rPr>
        <w:t>u hindamiste alustamine, mis tehakse olemuslikult programmitsükli hilisemas etapis, on edasi lükkunud programmide hilise alguse ja paljude sekkumiste lõpuleviimise hilinemise tõttu. Arvestades seni lõpuleviidud riiklike mõjuhinnangute tulemusi, tuleb paran</w:t>
      </w:r>
      <w:r>
        <w:rPr>
          <w:noProof/>
        </w:rPr>
        <w:t xml:space="preserve">dada koostatavate hindamiste kvaliteeti. </w:t>
      </w:r>
    </w:p>
    <w:p w:rsidR="001D5899" w:rsidRDefault="00102F57">
      <w:pPr>
        <w:rPr>
          <w:noProof/>
        </w:rPr>
      </w:pPr>
      <w:r>
        <w:rPr>
          <w:noProof/>
        </w:rPr>
        <w:t>Hindamiste lõpuleviimine kiireneb tõenäoliselt oluliselt, kuna praegune periood hakkab lõpule jõudma. Kuid peaaegu pooled mõjuhinnangud kavatsetakse teha alles pärast 2020. aastat, kui selguvad programmide tulemuse</w:t>
      </w:r>
      <w:r>
        <w:rPr>
          <w:noProof/>
        </w:rPr>
        <w:t>d</w:t>
      </w:r>
      <w:r>
        <w:rPr>
          <w:rStyle w:val="FootnoteReference"/>
          <w:noProof/>
        </w:rPr>
        <w:footnoteReference w:id="29"/>
      </w:r>
      <w:r>
        <w:rPr>
          <w:noProof/>
        </w:rPr>
        <w:t>.</w:t>
      </w:r>
    </w:p>
    <w:p w:rsidR="001D5899" w:rsidRDefault="00102F57">
      <w:pPr>
        <w:pStyle w:val="Heading2"/>
        <w:rPr>
          <w:noProof/>
        </w:rPr>
      </w:pPr>
      <w:bookmarkStart w:id="25" w:name="_Toc28961423"/>
      <w:r>
        <w:rPr>
          <w:noProof/>
        </w:rPr>
        <w:t>4.7. Euroopa struktuuri- ja investeerimisfondidest teavitamine</w:t>
      </w:r>
      <w:bookmarkEnd w:id="25"/>
    </w:p>
    <w:p w:rsidR="001D5899" w:rsidRDefault="00102F57">
      <w:pPr>
        <w:rPr>
          <w:noProof/>
        </w:rPr>
      </w:pPr>
      <w:r>
        <w:rPr>
          <w:noProof/>
        </w:rPr>
        <w:t>Liikmesriigid on parandanud oma püüdlusi Euroopa struktuuri- ja investeerimisfondide saavutustest teavitamisel. See on aidanud suurendada üldsuse teadlikkust ELi toetuse kasulikkusest, nagu</w:t>
      </w:r>
      <w:r>
        <w:rPr>
          <w:noProof/>
        </w:rPr>
        <w:t xml:space="preserve"> näitasid näiteks viimase regionaalpoliitikat käsitleva Eurobaromeetri uuringu tulemused. Alates viimasest 2017. aastal tehtud uuringust on teadlikkus kogu ELis suurenenud viie protsendipunkti võrra ja jõudnud 40 %-ni</w:t>
      </w:r>
      <w:r>
        <w:rPr>
          <w:rStyle w:val="FootnoteReference"/>
          <w:noProof/>
        </w:rPr>
        <w:footnoteReference w:id="30"/>
      </w:r>
      <w:r>
        <w:rPr>
          <w:noProof/>
        </w:rPr>
        <w:t xml:space="preserve">. </w:t>
      </w:r>
    </w:p>
    <w:p w:rsidR="001D5899" w:rsidRDefault="00102F57">
      <w:pPr>
        <w:rPr>
          <w:noProof/>
        </w:rPr>
      </w:pPr>
      <w:r>
        <w:rPr>
          <w:noProof/>
        </w:rPr>
        <w:t>2018. aastal toimus komisjoni popul</w:t>
      </w:r>
      <w:r>
        <w:rPr>
          <w:noProof/>
        </w:rPr>
        <w:t xml:space="preserve">aarse juhtkampaania #EuinmyRegion raames üle 1 700 avatud uste ürituse, millest võttis osa hinnanguliselt 450 000 inimest. Institutsiooniliste tasandite koostöö oli otsustava tähtsusega ka kahe uuendusliku kampaania käivitamisel: i) Road Trip Project, mis </w:t>
      </w:r>
      <w:r>
        <w:rPr>
          <w:noProof/>
        </w:rPr>
        <w:t>on suunatud 18–24aastastele noortele; ning ii) 40 piirkondlikku kampaaniat, mis korraldati koos piirkondadega ja milles esitleti kohalikke juhtprojekte.</w:t>
      </w:r>
    </w:p>
    <w:p w:rsidR="001D5899" w:rsidRDefault="00102F57">
      <w:pPr>
        <w:rPr>
          <w:noProof/>
        </w:rPr>
      </w:pPr>
      <w:r>
        <w:rPr>
          <w:noProof/>
        </w:rPr>
        <w:t>EAFRD puhul korraldatakse rahastamisvõimalustest teadlikkuse suurendamiseks korrapäraselt mitmesuguseid</w:t>
      </w:r>
      <w:r>
        <w:rPr>
          <w:noProof/>
        </w:rPr>
        <w:t xml:space="preserve"> teavitusüritusi, nagu põllumajandusmessid, avatud uste päevad, konverentsid või sotsiaalmeedia kampaaniad. Euroopa maaelu arengu võrgustiku ülesanne on samuti jagada teavet ja vahetada häid tavasid maaelu arengu valdkonnas.</w:t>
      </w:r>
    </w:p>
    <w:p w:rsidR="001D5899" w:rsidRDefault="00102F57">
      <w:pPr>
        <w:rPr>
          <w:noProof/>
        </w:rPr>
      </w:pPr>
      <w:r>
        <w:rPr>
          <w:noProof/>
        </w:rPr>
        <w:t>Peale selle on liikmesriigid ja</w:t>
      </w:r>
      <w:r>
        <w:rPr>
          <w:noProof/>
        </w:rPr>
        <w:t xml:space="preserve"> piirkonnad teinud märkimisväärseid edusamme läbipaistvuse suurendamisel. Peaaegu kõik programmid on nüüdseks saavutanud täieliku vastavuse sellistele teabe- ja kommunikatsiooninõuetele nagu projektide nimekirjade avaldamine, teavitamisametnike määramine v</w:t>
      </w:r>
      <w:r>
        <w:rPr>
          <w:noProof/>
        </w:rPr>
        <w:t>õi edukate projektide tutvustamine oma veebisaitidel. Lisaks on Euroopa struktuuri- ja investeerimisfondide toel korraldatud enam kui 400 dialoogi raames olnud inimestel võimalus avaldada oma arvamust Euroopa küsimustes, eelkõige ELi rahastamisprioriteetid</w:t>
      </w:r>
      <w:r>
        <w:rPr>
          <w:noProof/>
        </w:rPr>
        <w:t>e kohta.</w:t>
      </w:r>
    </w:p>
    <w:p w:rsidR="001D5899" w:rsidRDefault="00102F57">
      <w:pPr>
        <w:pStyle w:val="Heading1"/>
        <w:rPr>
          <w:noProof/>
        </w:rPr>
      </w:pPr>
      <w:r>
        <w:rPr>
          <w:noProof/>
        </w:rPr>
        <w:br w:type="page"/>
      </w:r>
      <w:bookmarkStart w:id="26" w:name="_Toc28961424"/>
      <w:r>
        <w:rPr>
          <w:noProof/>
        </w:rPr>
        <w:t>KOKKUVÕTE</w:t>
      </w:r>
      <w:bookmarkEnd w:id="26"/>
    </w:p>
    <w:p w:rsidR="001D5899" w:rsidRDefault="00102F57">
      <w:pPr>
        <w:spacing w:before="120"/>
        <w:rPr>
          <w:rFonts w:cs="Times New Roman"/>
          <w:noProof/>
          <w:szCs w:val="24"/>
        </w:rPr>
      </w:pPr>
      <w:r>
        <w:rPr>
          <w:noProof/>
        </w:rPr>
        <w:t>Euroopa struktuuri- ja investeerimisfondid aitavad parandada miljonite eurooplaste elu. Olgu tegemist inimeste ja oskuste, ettevõtete, koolide, ülikoolide, keskkonna, kliima või taristuga, Euroopa struktuuri- ja investeerimisfondide inv</w:t>
      </w:r>
      <w:r>
        <w:rPr>
          <w:noProof/>
        </w:rPr>
        <w:t>esteeringutel on oluline roll piirkondade, linnade, maapiirkondade ja rannikukogukondade toetamisel, et pidada sammu ümbritsevate muutustega ja neid ennetada.</w:t>
      </w:r>
    </w:p>
    <w:p w:rsidR="001D5899" w:rsidRDefault="00102F57">
      <w:pPr>
        <w:spacing w:before="120"/>
        <w:rPr>
          <w:rFonts w:cs="Times New Roman"/>
          <w:noProof/>
          <w:szCs w:val="24"/>
        </w:rPr>
      </w:pPr>
      <w:r>
        <w:rPr>
          <w:noProof/>
        </w:rPr>
        <w:t>Rakendamise esimese viie aasta jooksul on programmid jõudsalt edenenud, et saavutada arukas, jätk</w:t>
      </w:r>
      <w:r>
        <w:rPr>
          <w:noProof/>
        </w:rPr>
        <w:t>usuutlik ja kaasav majanduskasv. 2019. aasta septembri lõpu seisuga olid liikmesriigid teatanud väljavalitud projektidest, mille kogukulu on 500 miljardit eurot – ligikaudu 77 % kavandatud kogukulust –, sealjuures teatati kulutustest rohkem kui 210 miljard</w:t>
      </w:r>
      <w:r>
        <w:rPr>
          <w:noProof/>
        </w:rPr>
        <w:t>i euro ulatuses. Nendel projektidel on tuntav mõju miljonitele eurooplastele, kuid loorberitele puhkama ei saa jääda. Komisjon jätkab tööd, et saavutada tõhusamaid ja sihipärasemaid tulemusi. Samuti jätkab komisjon vajalike kogemuste omandamist, et protses</w:t>
      </w:r>
      <w:r>
        <w:rPr>
          <w:noProof/>
        </w:rPr>
        <w:t xml:space="preserve">se veelgi lihtsustada ja tagada suurem keskendumine Euroopa struktuuri- ja investeerimisfondide saavutustele. </w:t>
      </w:r>
    </w:p>
    <w:p w:rsidR="001D5899" w:rsidRDefault="00102F57">
      <w:pPr>
        <w:spacing w:before="120"/>
        <w:rPr>
          <w:rFonts w:cs="Times New Roman"/>
          <w:noProof/>
          <w:szCs w:val="24"/>
        </w:rPr>
      </w:pPr>
      <w:r>
        <w:rPr>
          <w:noProof/>
        </w:rPr>
        <w:t>Oma ettepanekutega ühissätete määruse ja ÜPP kohta aastateks 2021–2027 püüab komisjon suurendada fondide osa Pariisi kokkuleppe eesmärkide saavut</w:t>
      </w:r>
      <w:r>
        <w:rPr>
          <w:noProof/>
        </w:rPr>
        <w:t>amisel, inimestesse investeerimisel, uuendustegevuse edendamisel ning piirkondade, linnade ning maa- ja rannikupiirkondade kestliku arengu eesmärkide elluviimise võimestamisel. Kuigi komisjoni ettepanekus ühissätete määruse kohta aastateks 2021–2027 seda e</w:t>
      </w:r>
      <w:r>
        <w:rPr>
          <w:noProof/>
        </w:rPr>
        <w:t>i käsitleta, on EAFRD jätkuvalt tihedalt seotud ERFi, ESF+-i, Ühtekuuluvusfondi ja EMKFiga, näiteks kohalike algatuste toetamisel kogukonna juhitud kohaliku arengu või rahastamisvahendite kaudu.</w:t>
      </w:r>
    </w:p>
    <w:p w:rsidR="001D5899" w:rsidRDefault="00102F57">
      <w:pPr>
        <w:spacing w:before="120"/>
        <w:rPr>
          <w:rFonts w:cs="Times New Roman"/>
          <w:noProof/>
          <w:szCs w:val="24"/>
        </w:rPr>
      </w:pPr>
      <w:r>
        <w:rPr>
          <w:noProof/>
        </w:rPr>
        <w:t>Praegu ettevalmistamisel olevad järgmise põlvkonna programmid</w:t>
      </w:r>
      <w:r>
        <w:rPr>
          <w:noProof/>
        </w:rPr>
        <w:t xml:space="preserve"> kujutavad endast ainulaadset võimalust panna alus ELi kestlikule tulevikule. Need programmid aitavad koos õiglase ülemineku fondiga tagada õiglase ülemineku kõigile, luues uusi ja erinevaid võimalusi kogu Euroopas, jätmata kedagi kõrvale.</w:t>
      </w:r>
    </w:p>
    <w:sectPr w:rsidR="001D589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99" w:rsidRDefault="00102F57">
      <w:pPr>
        <w:spacing w:after="0"/>
      </w:pPr>
      <w:r>
        <w:separator/>
      </w:r>
    </w:p>
  </w:endnote>
  <w:endnote w:type="continuationSeparator" w:id="0">
    <w:p w:rsidR="001D5899" w:rsidRDefault="00102F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02F57">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92663"/>
      <w:docPartObj>
        <w:docPartGallery w:val="Page Numbers (Bottom of Page)"/>
        <w:docPartUnique/>
      </w:docPartObj>
    </w:sdtPr>
    <w:sdtEndPr>
      <w:rPr>
        <w:noProof/>
      </w:rPr>
    </w:sdtEndPr>
    <w:sdtContent>
      <w:p w:rsidR="001D5899" w:rsidRDefault="00102F57">
        <w:pPr>
          <w:pStyle w:val="Footer"/>
          <w:jc w:val="center"/>
        </w:pPr>
        <w:r>
          <w:fldChar w:fldCharType="begin"/>
        </w:r>
        <w:r>
          <w:instrText xml:space="preserve"> PAGE   \* MERGEFORMAT </w:instrText>
        </w:r>
        <w:r>
          <w:fldChar w:fldCharType="separate"/>
        </w:r>
        <w:r>
          <w:rPr>
            <w:noProof/>
          </w:rPr>
          <w:t>1</w:t>
        </w:r>
        <w:r>
          <w:fldChar w:fldCharType="end"/>
        </w:r>
      </w:p>
    </w:sdtContent>
  </w:sdt>
  <w:p w:rsidR="001D5899" w:rsidRDefault="001D5899">
    <w:pPr>
      <w:pStyle w:val="Footer"/>
      <w:tabs>
        <w:tab w:val="clear" w:pos="4535"/>
        <w:tab w:val="clear" w:pos="9071"/>
        <w:tab w:val="clear" w:pos="9921"/>
        <w:tab w:val="left" w:pos="400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353642"/>
      <w:docPartObj>
        <w:docPartGallery w:val="Page Numbers (Bottom of Page)"/>
        <w:docPartUnique/>
      </w:docPartObj>
    </w:sdtPr>
    <w:sdtEndPr>
      <w:rPr>
        <w:noProof/>
      </w:rPr>
    </w:sdtEndPr>
    <w:sdtContent>
      <w:p w:rsidR="001D5899" w:rsidRDefault="00102F57">
        <w:pPr>
          <w:pStyle w:val="Footer"/>
          <w:jc w:val="center"/>
        </w:pPr>
        <w:r>
          <w:fldChar w:fldCharType="begin"/>
        </w:r>
        <w:r>
          <w:instrText xml:space="preserve"> PAGE   \* MERGEFORMAT </w:instrText>
        </w:r>
        <w:r>
          <w:fldChar w:fldCharType="separate"/>
        </w:r>
        <w:r>
          <w:rPr>
            <w:noProof/>
          </w:rPr>
          <w:t>2</w:t>
        </w:r>
        <w:r>
          <w:fldChar w:fldCharType="end"/>
        </w:r>
      </w:p>
    </w:sdtContent>
  </w:sdt>
  <w:p w:rsidR="001D5899" w:rsidRDefault="001D5899">
    <w:pPr>
      <w:pStyle w:val="Footer"/>
      <w:tabs>
        <w:tab w:val="clear" w:pos="4535"/>
        <w:tab w:val="clear" w:pos="9071"/>
        <w:tab w:val="clear" w:pos="9921"/>
        <w:tab w:val="left" w:pos="4005"/>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99" w:rsidRDefault="00102F57">
      <w:pPr>
        <w:spacing w:after="0"/>
      </w:pPr>
      <w:r>
        <w:separator/>
      </w:r>
    </w:p>
  </w:footnote>
  <w:footnote w:type="continuationSeparator" w:id="0">
    <w:p w:rsidR="001D5899" w:rsidRDefault="00102F57">
      <w:pPr>
        <w:spacing w:after="0"/>
      </w:pPr>
      <w:r>
        <w:continuationSeparator/>
      </w:r>
    </w:p>
  </w:footnote>
  <w:footnote w:id="1">
    <w:p w:rsidR="001D5899" w:rsidRDefault="00102F57">
      <w:pPr>
        <w:pStyle w:val="FootnoteText"/>
      </w:pPr>
      <w:r>
        <w:rPr>
          <w:rStyle w:val="FootnoteReference"/>
        </w:rPr>
        <w:footnoteRef/>
      </w:r>
      <w:r>
        <w:tab/>
        <w:t>Euroopa struktuuri- ja investeerimisfondid on Ühtekuuluvusfond, Euroopa Regionaalarengu Fond (ERF), Euroopa Sotsiaalfond (ESF), Euroopa Maaelu Arengu Põllumajandusfond (EAFRD) ning Euroopa Merendus- ja Kalandusfond (E</w:t>
      </w:r>
      <w:r>
        <w:t>MKF).</w:t>
      </w:r>
    </w:p>
  </w:footnote>
  <w:footnote w:id="2">
    <w:p w:rsidR="001D5899" w:rsidRDefault="00102F57">
      <w:pPr>
        <w:pStyle w:val="FootnoteText"/>
      </w:pPr>
      <w:r>
        <w:rPr>
          <w:rStyle w:val="FootnoteReference"/>
        </w:rPr>
        <w:footnoteRef/>
      </w:r>
      <w:r>
        <w:tab/>
        <w:t>2018. aastal oli Euroopa struktuuri- ja investeerimisfondide eelarve ligikaudu 460 miljardit eurot ja riikliku kaasrahastamisega üle 643 miljardi euro.</w:t>
      </w:r>
    </w:p>
  </w:footnote>
  <w:footnote w:id="3">
    <w:p w:rsidR="001D5899" w:rsidRDefault="00102F57">
      <w:pPr>
        <w:pStyle w:val="FootnoteText"/>
      </w:pPr>
      <w:r>
        <w:rPr>
          <w:rStyle w:val="FootnoteReference"/>
        </w:rPr>
        <w:footnoteRef/>
      </w:r>
      <w:r>
        <w:tab/>
        <w:t>Nõutav ühissätete määruse (määrus (EL) nr 1303/2013) artikli 53 alusel.</w:t>
      </w:r>
    </w:p>
  </w:footnote>
  <w:footnote w:id="4">
    <w:p w:rsidR="001D5899" w:rsidRDefault="00102F57">
      <w:pPr>
        <w:pStyle w:val="FootnoteText"/>
      </w:pPr>
      <w:r>
        <w:rPr>
          <w:rStyle w:val="FootnoteReference"/>
        </w:rPr>
        <w:footnoteRef/>
      </w:r>
      <w:r>
        <w:tab/>
        <w:t>Kõik väärtused on se</w:t>
      </w:r>
      <w:r>
        <w:t>otud 2018. aasta lõpuga, nagu need olid kättesaadavad 5. novembri 2019. aasta seisuga, kui ei ole märgitud teisiti.</w:t>
      </w:r>
    </w:p>
  </w:footnote>
  <w:footnote w:id="5">
    <w:p w:rsidR="001D5899" w:rsidRDefault="00102F57">
      <w:pPr>
        <w:pStyle w:val="FootnoteText"/>
      </w:pPr>
      <w:r>
        <w:rPr>
          <w:rStyle w:val="FootnoteReference"/>
        </w:rPr>
        <w:footnoteRef/>
      </w:r>
      <w:r>
        <w:tab/>
        <w:t>Selles dokumendis projektid on projektid, mis on välja valitud ja mida rakendatakse käesoleval programmitöö perioodil.</w:t>
      </w:r>
    </w:p>
  </w:footnote>
  <w:footnote w:id="6">
    <w:p w:rsidR="001D5899" w:rsidRDefault="00102F57">
      <w:pPr>
        <w:pStyle w:val="FootnoteText"/>
      </w:pPr>
      <w:r>
        <w:rPr>
          <w:rStyle w:val="FootnoteReference"/>
        </w:rPr>
        <w:footnoteRef/>
      </w:r>
      <w:r>
        <w:tab/>
        <w:t>Avatud andmete pl</w:t>
      </w:r>
      <w:r>
        <w:t>atvormil on esitatud värskeimad kättesaadavad andmed Euroopa struktuuri- ja investeerimisfondide programmide lõpu seisuga (</w:t>
      </w:r>
      <w:hyperlink r:id="rId1" w:history="1">
        <w:r>
          <w:rPr>
            <w:rStyle w:val="Hyperlink"/>
          </w:rPr>
          <w:t>https://cohesiondata.ec.europa.eu</w:t>
        </w:r>
      </w:hyperlink>
      <w:r>
        <w:t xml:space="preserve">). </w:t>
      </w:r>
    </w:p>
  </w:footnote>
  <w:footnote w:id="7">
    <w:p w:rsidR="001D5899" w:rsidRDefault="00102F57">
      <w:pPr>
        <w:pStyle w:val="FootnoteText"/>
      </w:pPr>
      <w:r>
        <w:rPr>
          <w:rStyle w:val="FootnoteReference"/>
        </w:rPr>
        <w:footnoteRef/>
      </w:r>
      <w:r>
        <w:tab/>
        <w:t>Seitsmes aruanne majandusliku, sotsiaalse ja</w:t>
      </w:r>
      <w:r>
        <w:t xml:space="preserve"> territoriaalse ühtekuuluvuse kohta, september 2017.</w:t>
      </w:r>
      <w:r>
        <w:tab/>
        <w:t xml:space="preserve"> </w:t>
      </w:r>
      <w:hyperlink r:id="rId2" w:history="1">
        <w:r>
          <w:rPr>
            <w:rStyle w:val="Hyperlink"/>
          </w:rPr>
          <w:t>https://ec.europa.eu/regional_policy/et/information/p</w:t>
        </w:r>
        <w:r>
          <w:rPr>
            <w:rStyle w:val="Hyperlink"/>
          </w:rPr>
          <w:t>ublications/reports/2017/7th-report-on-economic-social-and-territorial-cohesion</w:t>
        </w:r>
      </w:hyperlink>
    </w:p>
  </w:footnote>
  <w:footnote w:id="8">
    <w:p w:rsidR="001D5899" w:rsidRDefault="00102F57">
      <w:pPr>
        <w:pStyle w:val="FootnoteText"/>
      </w:pPr>
      <w:r>
        <w:rPr>
          <w:rStyle w:val="FootnoteReference"/>
        </w:rPr>
        <w:footnoteRef/>
      </w:r>
      <w:r>
        <w:rPr>
          <w:i/>
        </w:rPr>
        <w:tab/>
      </w:r>
      <w:r>
        <w:t>Seitsmendas aruandes majandusliku, sotsiaalse ja territoriaalse ühtekuuluvuse kohta (2017) tegi Euroopa Komisjon kindlaks konkreetsed probleemid, millega peab toime tulema mi</w:t>
      </w:r>
      <w:r>
        <w:t>tu piirkonda, mille SKP elaniku kohta on ELi keskmise lähedal. Suured kulud ning kahanev tootmissektor ja nõrk innovatsiooni- ja ekspordivõime on muutnud need vähem konkurentsivõimeliseks ja üleilmastumisele vähem vastupidavaks kui piirkonnad, mille SKP el</w:t>
      </w:r>
      <w:r>
        <w:t>aniku kohta on väiksem ja suurem.</w:t>
      </w:r>
    </w:p>
  </w:footnote>
  <w:footnote w:id="9">
    <w:p w:rsidR="001D5899" w:rsidRDefault="00102F57">
      <w:pPr>
        <w:pStyle w:val="FootnoteText"/>
      </w:pPr>
      <w:r>
        <w:rPr>
          <w:rStyle w:val="FootnoteReference"/>
        </w:rPr>
        <w:footnoteRef/>
      </w:r>
      <w:r>
        <w:tab/>
        <w:t>Dijkstra, Lewis, Poelman, Hugo ja Rodríguez-Pose, Andrés, „The geography of EU discontent“, regionaal- ja linnapoliitika peadirektoraadi töödokument 12/2018.</w:t>
      </w:r>
    </w:p>
  </w:footnote>
  <w:footnote w:id="10">
    <w:p w:rsidR="001D5899" w:rsidRDefault="00102F57">
      <w:pPr>
        <w:pStyle w:val="FootnoteText"/>
      </w:pPr>
      <w:r>
        <w:rPr>
          <w:rStyle w:val="FootnoteReference"/>
        </w:rPr>
        <w:footnoteRef/>
      </w:r>
      <w:r>
        <w:tab/>
        <w:t>Eelkõige seoses piirkondade järele aitamisega, tööstusliku ü</w:t>
      </w:r>
      <w:r>
        <w:t>leminekuga piirkondadega, söekaevanduspiirkondadega, piirkondadevaheliste innovatsiooniinvesteeringutega ja arukate külade algatusega.</w:t>
      </w:r>
    </w:p>
  </w:footnote>
  <w:footnote w:id="11">
    <w:p w:rsidR="001D5899" w:rsidRDefault="00102F57">
      <w:pPr>
        <w:pStyle w:val="FootnoteText"/>
      </w:pPr>
      <w:r>
        <w:rPr>
          <w:rStyle w:val="FootnoteReference"/>
        </w:rPr>
        <w:footnoteRef/>
      </w:r>
      <w:r>
        <w:tab/>
        <w:t>Täpsemat teavet on esitatud lisades 1.1 ja 1.2. Eespool oleval diagrammil esitatud arvud ei hõlma valdkondadele mitut v</w:t>
      </w:r>
      <w:r>
        <w:t>aldkonda hõlmavate prioriteetide raames eraldatud osa, samas kui lisades esitatud arvude puhul on see nii.</w:t>
      </w:r>
    </w:p>
  </w:footnote>
  <w:footnote w:id="12">
    <w:p w:rsidR="001D5899" w:rsidRDefault="00102F57">
      <w:pPr>
        <w:pStyle w:val="FootnoteText"/>
      </w:pPr>
      <w:r>
        <w:rPr>
          <w:rStyle w:val="FootnoteReference"/>
        </w:rPr>
        <w:footnoteRef/>
      </w:r>
      <w:r>
        <w:tab/>
        <w:t>Liikmesriikidelt saadud maksetaotlused.</w:t>
      </w:r>
    </w:p>
  </w:footnote>
  <w:footnote w:id="13">
    <w:p w:rsidR="001D5899" w:rsidRDefault="00102F57">
      <w:pPr>
        <w:pStyle w:val="FootnoteText"/>
      </w:pPr>
      <w:r>
        <w:rPr>
          <w:rStyle w:val="FootnoteReference"/>
        </w:rPr>
        <w:footnoteRef/>
      </w:r>
      <w:r>
        <w:tab/>
        <w:t xml:space="preserve">Projektide väljavalimise ja kulutuste jaotus temaatiliste eesmärkide ja liikmesriikide kaupa on esitatud </w:t>
      </w:r>
      <w:r>
        <w:t>1. ja 2. lisa tabelites.</w:t>
      </w:r>
    </w:p>
  </w:footnote>
  <w:footnote w:id="14">
    <w:p w:rsidR="001D5899" w:rsidRDefault="00102F57">
      <w:pPr>
        <w:pStyle w:val="FootnoteText"/>
      </w:pPr>
      <w:r>
        <w:rPr>
          <w:rStyle w:val="FootnoteReference"/>
        </w:rPr>
        <w:footnoteRef/>
      </w:r>
      <w:r>
        <w:tab/>
        <w:t>Ettepanek: Nõukogu määrus, millega määratakse kindlaks mitmeaastane finantsraamistik aastateks 2021–2027 (COM(2018) 322 final).</w:t>
      </w:r>
    </w:p>
  </w:footnote>
  <w:footnote w:id="15">
    <w:p w:rsidR="001D5899" w:rsidRDefault="00102F57">
      <w:pPr>
        <w:pStyle w:val="FootnoteText"/>
      </w:pPr>
      <w:r>
        <w:rPr>
          <w:rStyle w:val="FootnoteReference"/>
        </w:rPr>
        <w:footnoteRef/>
      </w:r>
      <w:r>
        <w:tab/>
        <w:t>Vt nt Viță, V, „Research for REGI Committee – Conditionalities in Cohesion Policy“, Euroopa Parlame</w:t>
      </w:r>
      <w:r>
        <w:t>nt, struktuuri- ja ühtekuuluvuspoliitika osakond, Brüssel, 2018.</w:t>
      </w:r>
    </w:p>
  </w:footnote>
  <w:footnote w:id="16">
    <w:p w:rsidR="001D5899" w:rsidRDefault="00102F57">
      <w:pPr>
        <w:pStyle w:val="FootnoteText"/>
      </w:pPr>
      <w:r>
        <w:rPr>
          <w:rStyle w:val="FootnoteReference"/>
        </w:rPr>
        <w:footnoteRef/>
      </w:r>
      <w:r>
        <w:tab/>
        <w:t>Ettepanek: Euroopa Parlamendi ja nõukogu määrus, millega kehtestatakse ühissätted Euroopa Regionaalarengu Fondi, Euroopa Sotsiaalfondi+, Ühtekuuluvusfondi ning Euroopa Merendus- ja Kalandus</w:t>
      </w:r>
      <w:r>
        <w:t xml:space="preserve">fondi kohta ning nende ja Varjupaiga-, Rände- ja Integratsioonifondi, Sisejulgeolekufondi ning piirihalduse ja viisade rahastamisvahendi suhtes kohaldatavad finantseeskirjad (COM(2018) 375 final). </w:t>
      </w:r>
    </w:p>
  </w:footnote>
  <w:footnote w:id="17">
    <w:p w:rsidR="001D5899" w:rsidRDefault="00102F57">
      <w:pPr>
        <w:pStyle w:val="FootnoteText"/>
      </w:pPr>
      <w:r>
        <w:rPr>
          <w:rStyle w:val="FootnoteReference"/>
        </w:rPr>
        <w:footnoteRef/>
      </w:r>
      <w:r>
        <w:tab/>
        <w:t>Ettepanek: Euroopa Parlamendi ja nõukogu määrus, millega</w:t>
      </w:r>
      <w:r>
        <w:t xml:space="preserve"> kehtestatakse eeskirjad, kuidas toetada liikmesriikide koostatavaid Euroopa Põllumajanduse Tagatisfondist (EAGF) ja Euroopa Maaelu Arengu Põllumajandusfondist (EAFRD) rahastatavaid ühise põllumajanduspoliitika strateegiakavu (ÜPP strateegiakavad), ning mi</w:t>
      </w:r>
      <w:r>
        <w:t>llega tunnistatakse kehtetuks Euroopa Parlamendi ja nõukogu määrused (EL) nr 1305/2013 ja (EL) nr 1307/2013 (COM(2018) 392 final).</w:t>
      </w:r>
    </w:p>
  </w:footnote>
  <w:footnote w:id="18">
    <w:p w:rsidR="001D5899" w:rsidRDefault="00102F57">
      <w:pPr>
        <w:pStyle w:val="FootnoteText"/>
      </w:pPr>
      <w:r>
        <w:rPr>
          <w:rStyle w:val="FootnoteReference"/>
        </w:rPr>
        <w:footnoteRef/>
      </w:r>
      <w:r>
        <w:tab/>
      </w:r>
      <w:hyperlink r:id="rId3" w:history="1">
        <w:r>
          <w:rPr>
            <w:rStyle w:val="Hyperlink"/>
          </w:rPr>
          <w:t>https://ec.europa.eu/futurium/en/urban-agenda</w:t>
        </w:r>
      </w:hyperlink>
      <w:r>
        <w:t xml:space="preserve"> </w:t>
      </w:r>
    </w:p>
  </w:footnote>
  <w:footnote w:id="19">
    <w:p w:rsidR="001D5899" w:rsidRDefault="00102F57">
      <w:pPr>
        <w:pStyle w:val="FootnoteText"/>
      </w:pPr>
      <w:r>
        <w:rPr>
          <w:rStyle w:val="FootnoteReference"/>
        </w:rPr>
        <w:footnoteRef/>
      </w:r>
      <w:r>
        <w:tab/>
      </w:r>
      <w:hyperlink r:id="rId4" w:history="1">
        <w:r>
          <w:rPr>
            <w:rStyle w:val="Hyperlink"/>
          </w:rPr>
          <w:t>https://www.uia-initiative.eu/en</w:t>
        </w:r>
      </w:hyperlink>
      <w:r>
        <w:t xml:space="preserve"> </w:t>
      </w:r>
    </w:p>
  </w:footnote>
  <w:footnote w:id="20">
    <w:p w:rsidR="001D5899" w:rsidRDefault="00102F57">
      <w:pPr>
        <w:pStyle w:val="FootnoteText"/>
      </w:pPr>
      <w:r>
        <w:rPr>
          <w:rStyle w:val="FootnoteReference"/>
        </w:rPr>
        <w:footnoteRef/>
      </w:r>
      <w:r>
        <w:tab/>
        <w:t>LEADER-programm on alt ülespoole suunatud kohaliku arengu meetod, mida kaasrahastab EAFRD ja mis võeti kasutusele 1991. aastal, et kaasata kohalikke osalejaid maapiirkondade</w:t>
      </w:r>
      <w:r>
        <w:t xml:space="preserve"> arengusse. 2007. aastal hakati LEADER-programmi rakendama ka EMKFi raames ning 2014. aastal ERFi ja ESFi raames kogukonna juhitud kohaliku arengu meetme vormis.</w:t>
      </w:r>
    </w:p>
  </w:footnote>
  <w:footnote w:id="21">
    <w:p w:rsidR="001D5899" w:rsidRDefault="00102F57">
      <w:pPr>
        <w:pStyle w:val="FootnoteText"/>
      </w:pPr>
      <w:r>
        <w:rPr>
          <w:rStyle w:val="FootnoteReference"/>
        </w:rPr>
        <w:footnoteRef/>
      </w:r>
      <w:r>
        <w:tab/>
        <w:t>„Majanduskasvu ja ühtekuuluvuse edendamine ELi piirialadel“, COM(2017) 534 final.</w:t>
      </w:r>
    </w:p>
  </w:footnote>
  <w:footnote w:id="22">
    <w:p w:rsidR="001D5899" w:rsidRDefault="00102F57">
      <w:pPr>
        <w:pStyle w:val="FootnoteText"/>
      </w:pPr>
      <w:r>
        <w:rPr>
          <w:rStyle w:val="FootnoteReference"/>
        </w:rPr>
        <w:footnoteRef/>
      </w:r>
      <w:r>
        <w:tab/>
        <w:t>COM(2019</w:t>
      </w:r>
      <w:r>
        <w:t>) 21 final.</w:t>
      </w:r>
    </w:p>
  </w:footnote>
  <w:footnote w:id="23">
    <w:p w:rsidR="001D5899" w:rsidRDefault="00102F57">
      <w:pPr>
        <w:pStyle w:val="FootnoteText"/>
      </w:pPr>
      <w:r>
        <w:rPr>
          <w:rStyle w:val="FootnoteReference"/>
        </w:rPr>
        <w:footnoteRef/>
      </w:r>
      <w:r>
        <w:tab/>
      </w:r>
      <w:hyperlink r:id="rId5" w:history="1">
        <w:r>
          <w:rPr>
            <w:rStyle w:val="Hyperlink"/>
          </w:rPr>
          <w:t>https://ec.europa.eu/regional_policy/et/policy/how/improving-investment/</w:t>
        </w:r>
      </w:hyperlink>
      <w:r>
        <w:t xml:space="preserve"> </w:t>
      </w:r>
    </w:p>
  </w:footnote>
  <w:footnote w:id="24">
    <w:p w:rsidR="001D5899" w:rsidRDefault="00102F57">
      <w:pPr>
        <w:pStyle w:val="FootnoteText"/>
      </w:pPr>
      <w:r>
        <w:rPr>
          <w:rStyle w:val="FootnoteReference"/>
        </w:rPr>
        <w:footnoteRef/>
      </w:r>
      <w:r>
        <w:tab/>
      </w:r>
      <w:hyperlink r:id="rId6" w:history="1">
        <w:r>
          <w:rPr>
            <w:rStyle w:val="Hyperlink"/>
          </w:rPr>
          <w:t>https://ec.europa.eu/digital-single-market/en/broadband-competence-offices</w:t>
        </w:r>
      </w:hyperlink>
      <w:r>
        <w:t xml:space="preserve"> </w:t>
      </w:r>
    </w:p>
  </w:footnote>
  <w:footnote w:id="25">
    <w:p w:rsidR="001D5899" w:rsidRDefault="00102F57">
      <w:pPr>
        <w:pStyle w:val="FootnoteText"/>
      </w:pPr>
      <w:r>
        <w:rPr>
          <w:rStyle w:val="FootnoteReference"/>
        </w:rPr>
        <w:footnoteRef/>
      </w:r>
      <w:r>
        <w:tab/>
        <w:t>Euroopa Parlamendi ja nõukogu 18. juuli 2018. aasta määrus (EL, Euratom) 2018/1046, mis käsitleb liidu üldeelarve suhtes kohaldatavaid finantsreegleid ja millega mu</w:t>
      </w:r>
      <w:r>
        <w:t>udetakse määrusi (EL) nr 1296/2013, (EL) nr 1301/2013, (EL) nr 1303/2013, (EL) nr 1304/2013, (EL) nr 1309/2013, (EL) nr 1316/2013, (EL) nr 223/2014 ja (EL) nr 283/2014 ja otsust nr 541/2014/EL ning tunnistatakse kehtetuks määrus (EL, Euratom) nr 966/2012 (</w:t>
      </w:r>
      <w:r>
        <w:t>ELT L 193, 30.7.2018, lk 1).</w:t>
      </w:r>
    </w:p>
  </w:footnote>
  <w:footnote w:id="26">
    <w:p w:rsidR="001D5899" w:rsidRDefault="00102F57">
      <w:pPr>
        <w:pStyle w:val="FootnoteText"/>
      </w:pPr>
      <w:r>
        <w:rPr>
          <w:rStyle w:val="FootnoteReference"/>
        </w:rPr>
        <w:footnoteRef/>
      </w:r>
      <w:r>
        <w:tab/>
        <w:t>Vt joonealune märkus 23.</w:t>
      </w:r>
    </w:p>
  </w:footnote>
  <w:footnote w:id="27">
    <w:p w:rsidR="001D5899" w:rsidRDefault="00102F57">
      <w:pPr>
        <w:pStyle w:val="FootnoteText"/>
      </w:pPr>
      <w:r>
        <w:rPr>
          <w:rStyle w:val="FootnoteReference"/>
        </w:rPr>
        <w:footnoteRef/>
      </w:r>
      <w:r>
        <w:tab/>
        <w:t>Vt joonealune märkus 25.</w:t>
      </w:r>
    </w:p>
  </w:footnote>
  <w:footnote w:id="28">
    <w:p w:rsidR="001D5899" w:rsidRDefault="00102F57">
      <w:pPr>
        <w:pStyle w:val="FootnoteText"/>
      </w:pPr>
      <w:r>
        <w:rPr>
          <w:rStyle w:val="FootnoteReference"/>
        </w:rPr>
        <w:footnoteRef/>
      </w:r>
      <w:r>
        <w:tab/>
        <w:t xml:space="preserve">Näiteks sellised ühisettevõtted nagu ECSEL ja CleanSky, mis võtsid Itaalia ja Hispaania piirkondades oma programmi „Horisont 2020“ projektides kasutusele täiendavaid ERFi </w:t>
      </w:r>
      <w:r>
        <w:t>vahendeid.</w:t>
      </w:r>
    </w:p>
  </w:footnote>
  <w:footnote w:id="29">
    <w:p w:rsidR="001D5899" w:rsidRDefault="00102F57">
      <w:pPr>
        <w:pStyle w:val="FootnoteText"/>
      </w:pPr>
      <w:r>
        <w:rPr>
          <w:rStyle w:val="FootnoteReference"/>
        </w:rPr>
        <w:footnoteRef/>
      </w:r>
      <w:r>
        <w:tab/>
        <w:t>Vt komisjoni talituste töödokument „Synthesis of the findings of the evaluations of ESIF programmes“.</w:t>
      </w:r>
    </w:p>
  </w:footnote>
  <w:footnote w:id="30">
    <w:p w:rsidR="001D5899" w:rsidRDefault="00102F57">
      <w:pPr>
        <w:pStyle w:val="FootnoteText"/>
      </w:pPr>
      <w:r>
        <w:rPr>
          <w:rStyle w:val="FootnoteReference"/>
        </w:rPr>
        <w:footnoteRef/>
      </w:r>
      <w:r>
        <w:tab/>
        <w:t xml:space="preserve">Eurobaromeetri olulised faktid: </w:t>
      </w:r>
      <w:hyperlink r:id="rId7" w:history="1">
        <w:r>
          <w:rPr>
            <w:rStyle w:val="Hyperlink"/>
          </w:rPr>
          <w:t>https://cohesiondata.ec.europa.eu/sto</w:t>
        </w:r>
        <w:r>
          <w:rPr>
            <w:rStyle w:val="Hyperlink"/>
          </w:rPr>
          <w:t>ries/s/eyh3-tjuv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
    </w:pPr>
  </w:p>
  <w:p w:rsidR="001D5899" w:rsidRDefault="001D58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
    </w:pPr>
  </w:p>
  <w:p w:rsidR="001D5899" w:rsidRDefault="001D58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99" w:rsidRDefault="001D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B42F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14B2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8A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C07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7C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6C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B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688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6EA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59E"/>
    <w:multiLevelType w:val="hybridMultilevel"/>
    <w:tmpl w:val="C65EB4A4"/>
    <w:lvl w:ilvl="0" w:tplc="25DE3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202C00"/>
    <w:multiLevelType w:val="multilevel"/>
    <w:tmpl w:val="67E89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2C32E87"/>
    <w:multiLevelType w:val="hybridMultilevel"/>
    <w:tmpl w:val="62E4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2826DF"/>
    <w:multiLevelType w:val="hybridMultilevel"/>
    <w:tmpl w:val="DBD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AB11A6"/>
    <w:multiLevelType w:val="multilevel"/>
    <w:tmpl w:val="6C487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65F2B7F"/>
    <w:multiLevelType w:val="hybridMultilevel"/>
    <w:tmpl w:val="412C9A2C"/>
    <w:lvl w:ilvl="0" w:tplc="08090001">
      <w:start w:val="1"/>
      <w:numFmt w:val="bullet"/>
      <w:lvlText w:val=""/>
      <w:lvlJc w:val="left"/>
      <w:pPr>
        <w:ind w:left="720" w:hanging="360"/>
      </w:pPr>
      <w:rPr>
        <w:rFonts w:ascii="Symbol" w:hAnsi="Symbol" w:hint="default"/>
      </w:rPr>
    </w:lvl>
    <w:lvl w:ilvl="1" w:tplc="225C991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E154D7"/>
    <w:multiLevelType w:val="hybridMultilevel"/>
    <w:tmpl w:val="E2906484"/>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9E2312"/>
    <w:multiLevelType w:val="multilevel"/>
    <w:tmpl w:val="64823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B071441"/>
    <w:multiLevelType w:val="hybridMultilevel"/>
    <w:tmpl w:val="67D0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3701AC"/>
    <w:multiLevelType w:val="hybridMultilevel"/>
    <w:tmpl w:val="B132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B746B3"/>
    <w:multiLevelType w:val="multilevel"/>
    <w:tmpl w:val="0088C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8AF79C5"/>
    <w:multiLevelType w:val="hybridMultilevel"/>
    <w:tmpl w:val="9CD07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026CA8"/>
    <w:multiLevelType w:val="hybridMultilevel"/>
    <w:tmpl w:val="662AF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A995FBF"/>
    <w:multiLevelType w:val="hybridMultilevel"/>
    <w:tmpl w:val="6D20D8DE"/>
    <w:lvl w:ilvl="0" w:tplc="760ACF2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53717"/>
    <w:multiLevelType w:val="multilevel"/>
    <w:tmpl w:val="3412F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FEB78E3"/>
    <w:multiLevelType w:val="hybridMultilevel"/>
    <w:tmpl w:val="8A94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D344F"/>
    <w:multiLevelType w:val="hybridMultilevel"/>
    <w:tmpl w:val="F1A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6514C9"/>
    <w:multiLevelType w:val="multilevel"/>
    <w:tmpl w:val="2842F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7E1778F"/>
    <w:multiLevelType w:val="hybridMultilevel"/>
    <w:tmpl w:val="05667E1C"/>
    <w:lvl w:ilvl="0" w:tplc="25DE33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2E6E93"/>
    <w:multiLevelType w:val="multilevel"/>
    <w:tmpl w:val="77F8D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A97671A"/>
    <w:multiLevelType w:val="multilevel"/>
    <w:tmpl w:val="30E40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BBF3C59"/>
    <w:multiLevelType w:val="hybridMultilevel"/>
    <w:tmpl w:val="D41481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3EB14AE0"/>
    <w:multiLevelType w:val="multilevel"/>
    <w:tmpl w:val="917CE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506317E"/>
    <w:multiLevelType w:val="hybridMultilevel"/>
    <w:tmpl w:val="B64406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636475D"/>
    <w:multiLevelType w:val="hybridMultilevel"/>
    <w:tmpl w:val="F3D4B77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4D9754B7"/>
    <w:multiLevelType w:val="hybridMultilevel"/>
    <w:tmpl w:val="83AE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A37022"/>
    <w:multiLevelType w:val="hybridMultilevel"/>
    <w:tmpl w:val="414ED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361FD"/>
    <w:multiLevelType w:val="hybridMultilevel"/>
    <w:tmpl w:val="08DA0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909C5"/>
    <w:multiLevelType w:val="multilevel"/>
    <w:tmpl w:val="DC148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B337E75"/>
    <w:multiLevelType w:val="multilevel"/>
    <w:tmpl w:val="5E404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1234F7B"/>
    <w:multiLevelType w:val="multilevel"/>
    <w:tmpl w:val="BC408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3AC0DF9"/>
    <w:multiLevelType w:val="multilevel"/>
    <w:tmpl w:val="6CC2CC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6B16778"/>
    <w:multiLevelType w:val="hybridMultilevel"/>
    <w:tmpl w:val="8CCA90B6"/>
    <w:lvl w:ilvl="0" w:tplc="25DE3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BB760F"/>
    <w:multiLevelType w:val="hybridMultilevel"/>
    <w:tmpl w:val="6F4A0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460974"/>
    <w:multiLevelType w:val="hybridMultilevel"/>
    <w:tmpl w:val="C97E8F1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5" w15:restartNumberingAfterBreak="0">
    <w:nsid w:val="752978AF"/>
    <w:multiLevelType w:val="hybridMultilevel"/>
    <w:tmpl w:val="866A1D96"/>
    <w:lvl w:ilvl="0" w:tplc="6FC2E61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4643AD"/>
    <w:multiLevelType w:val="hybridMultilevel"/>
    <w:tmpl w:val="2474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D1710"/>
    <w:multiLevelType w:val="hybridMultilevel"/>
    <w:tmpl w:val="D960BBCE"/>
    <w:lvl w:ilvl="0" w:tplc="7A0E10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C09FA"/>
    <w:multiLevelType w:val="hybridMultilevel"/>
    <w:tmpl w:val="FB62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D5F49"/>
    <w:multiLevelType w:val="hybridMultilevel"/>
    <w:tmpl w:val="80F49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28"/>
  </w:num>
  <w:num w:numId="4">
    <w:abstractNumId w:val="35"/>
  </w:num>
  <w:num w:numId="5">
    <w:abstractNumId w:val="36"/>
  </w:num>
  <w:num w:numId="6">
    <w:abstractNumId w:val="15"/>
  </w:num>
  <w:num w:numId="7">
    <w:abstractNumId w:val="34"/>
  </w:num>
  <w:num w:numId="8">
    <w:abstractNumId w:val="13"/>
  </w:num>
  <w:num w:numId="9">
    <w:abstractNumId w:val="48"/>
  </w:num>
  <w:num w:numId="10">
    <w:abstractNumId w:val="9"/>
  </w:num>
  <w:num w:numId="11">
    <w:abstractNumId w:val="7"/>
  </w:num>
  <w:num w:numId="12">
    <w:abstractNumId w:val="6"/>
  </w:num>
  <w:num w:numId="13">
    <w:abstractNumId w:val="5"/>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7"/>
  </w:num>
  <w:num w:numId="21">
    <w:abstractNumId w:val="39"/>
  </w:num>
  <w:num w:numId="22">
    <w:abstractNumId w:val="41"/>
  </w:num>
  <w:num w:numId="23">
    <w:abstractNumId w:val="38"/>
  </w:num>
  <w:num w:numId="24">
    <w:abstractNumId w:val="17"/>
  </w:num>
  <w:num w:numId="25">
    <w:abstractNumId w:val="29"/>
  </w:num>
  <w:num w:numId="26">
    <w:abstractNumId w:val="24"/>
  </w:num>
  <w:num w:numId="27">
    <w:abstractNumId w:val="30"/>
  </w:num>
  <w:num w:numId="28">
    <w:abstractNumId w:val="14"/>
  </w:num>
  <w:num w:numId="29">
    <w:abstractNumId w:val="40"/>
  </w:num>
  <w:num w:numId="30">
    <w:abstractNumId w:val="11"/>
  </w:num>
  <w:num w:numId="31">
    <w:abstractNumId w:val="32"/>
  </w:num>
  <w:num w:numId="32">
    <w:abstractNumId w:val="26"/>
  </w:num>
  <w:num w:numId="33">
    <w:abstractNumId w:val="49"/>
  </w:num>
  <w:num w:numId="34">
    <w:abstractNumId w:val="42"/>
  </w:num>
  <w:num w:numId="35">
    <w:abstractNumId w:val="10"/>
  </w:num>
  <w:num w:numId="36">
    <w:abstractNumId w:val="16"/>
  </w:num>
  <w:num w:numId="37">
    <w:abstractNumId w:val="44"/>
  </w:num>
  <w:num w:numId="38">
    <w:abstractNumId w:val="18"/>
  </w:num>
  <w:num w:numId="39">
    <w:abstractNumId w:val="22"/>
  </w:num>
  <w:num w:numId="40">
    <w:abstractNumId w:val="21"/>
  </w:num>
  <w:num w:numId="41">
    <w:abstractNumId w:val="25"/>
  </w:num>
  <w:num w:numId="42">
    <w:abstractNumId w:val="12"/>
  </w:num>
  <w:num w:numId="43">
    <w:abstractNumId w:val="37"/>
  </w:num>
  <w:num w:numId="44">
    <w:abstractNumId w:val="47"/>
  </w:num>
  <w:num w:numId="45">
    <w:abstractNumId w:val="46"/>
  </w:num>
  <w:num w:numId="46">
    <w:abstractNumId w:val="23"/>
  </w:num>
  <w:num w:numId="47">
    <w:abstractNumId w:val="43"/>
  </w:num>
  <w:num w:numId="48">
    <w:abstractNumId w:val="31"/>
  </w:num>
  <w:num w:numId="49">
    <w:abstractNumId w:val="3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2DBDEAA-9566-492D-ABFB-CB7DAF9B61E1"/>
    <w:docVar w:name="LW_COVERPAGE_TYPE" w:val="1"/>
    <w:docVar w:name="LW_CROSSREFERENCE" w:val="&lt;UNUSED&gt;"/>
    <w:docVar w:name="LW_DocType" w:val="NORMAL"/>
    <w:docVar w:name="LW_EMISSION" w:val="17.12.2019"/>
    <w:docVar w:name="LW_EMISSION_ISODATE" w:val="2019-12-17"/>
    <w:docVar w:name="LW_EMISSION_LOCATION" w:val="BRX"/>
    <w:docVar w:name="LW_EMISSION_PREFIX" w:val="Brüssel,"/>
    <w:docVar w:name="LW_EMISSION_SUFFIX" w:val=" "/>
    <w:docVar w:name="LW_ID_DOCTYPE_NONLW" w:val="CP-008"/>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6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2019. aasta strateegiline aruanne Euroopa struktuuri- ja investeerimisfondide rakendamise kohta"/>
    <w:docVar w:name="LW_TYPE.DOC.CP" w:val="KOMISJONI ARUANNE EUROOPA PARLAMENDILE, NÕUKOGULE, EUROOPA MAJANDUS- JA SOTSIAALKOMITEELE NING REGIOONIDE KOMITEELE"/>
  </w:docVars>
  <w:rsids>
    <w:rsidRoot w:val="001D5899"/>
    <w:rsid w:val="00102F57"/>
    <w:rsid w:val="001D58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554D7CC-F0F8-4215-86D9-9AA8A4B1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48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pPr>
      <w:keepNext/>
      <w:keepLines/>
      <w:spacing w:before="36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before="24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lang w:val="et-EE"/>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lang w:val="et-EE"/>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sz w:val="24"/>
      <w:lang w:val="et-EE"/>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val="et-E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
    <w:basedOn w:val="Normal"/>
    <w:link w:val="FootnoteTextChar"/>
    <w:unhideWhenUsed/>
    <w:qFormat/>
    <w:pPr>
      <w:spacing w:after="0"/>
      <w:ind w:left="357" w:hanging="357"/>
    </w:pPr>
    <w:rPr>
      <w:rFonts w:cs="Times New Roman"/>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rFonts w:ascii="Times New Roman" w:hAnsi="Times New Roman" w:cs="Times New Roman"/>
      <w:sz w:val="20"/>
      <w:szCs w:val="20"/>
      <w:lang w:val="et-EE"/>
    </w:rPr>
  </w:style>
  <w:style w:type="character" w:styleId="FootnoteReference">
    <w:name w:val="footnote reference"/>
    <w:aliases w:val="Footnote symbol,Footnote Reference Number,Footnote reference number,Times 10 Point,Exposant 3 Point,EN Footnote Reference,note TESI,-E Fußnotenzeichen,SUPERS,Appel note de bas de p,Footnote Reference/,number,ftref"/>
    <w:basedOn w:val="DefaultParagraphFont"/>
    <w:link w:val="FootnotesymbolCarZchn"/>
    <w:uiPriority w:val="99"/>
    <w:unhideWhenUsed/>
    <w:qFormat/>
    <w:rPr>
      <w:vertAlign w:val="superscript"/>
    </w:rPr>
  </w:style>
  <w:style w:type="paragraph" w:styleId="NoSpacing">
    <w:name w:val="No Spacing"/>
    <w:uiPriority w:val="1"/>
    <w:qFormat/>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hAnsi="Times New Roman"/>
      <w:sz w:val="24"/>
      <w:lang w:val="et-EE"/>
    </w:rPr>
  </w:style>
  <w:style w:type="paragraph" w:styleId="ListBullet5">
    <w:name w:val="List Bullet 5"/>
    <w:basedOn w:val="Normal"/>
    <w:autoRedefine/>
    <w:pPr>
      <w:numPr>
        <w:numId w:val="1"/>
      </w:numPr>
      <w:spacing w:after="240"/>
    </w:pPr>
    <w:rPr>
      <w:rFonts w:eastAsia="Times New Roman" w:cs="Times New Roman"/>
      <w:szCs w:val="20"/>
    </w:rPr>
  </w:style>
  <w:style w:type="paragraph" w:customStyle="1" w:styleId="SECTIONTITLE">
    <w:name w:val="SECTION TITLE"/>
    <w:basedOn w:val="Normal"/>
    <w:link w:val="SECTIONTITLEChar"/>
    <w:qFormat/>
    <w:pPr>
      <w:keepNext/>
      <w:spacing w:before="480"/>
    </w:pPr>
    <w:rPr>
      <w:b/>
      <w:bCs/>
      <w:caps/>
    </w:rPr>
  </w:style>
  <w:style w:type="paragraph" w:customStyle="1" w:styleId="Subsectiontitle">
    <w:name w:val="Subsection title"/>
    <w:basedOn w:val="Normal"/>
    <w:link w:val="SubsectiontitleChar"/>
    <w:qFormat/>
    <w:pPr>
      <w:spacing w:after="80"/>
    </w:pPr>
    <w:rPr>
      <w:bCs/>
      <w:i/>
      <w:sz w:val="20"/>
      <w:szCs w:val="20"/>
    </w:rPr>
  </w:style>
  <w:style w:type="character" w:customStyle="1" w:styleId="SECTIONTITLEChar">
    <w:name w:val="SECTION TITLE Char"/>
    <w:basedOn w:val="DefaultParagraphFont"/>
    <w:link w:val="SECTIONTITLE"/>
    <w:rPr>
      <w:rFonts w:ascii="Times New Roman" w:hAnsi="Times New Roman"/>
      <w:b/>
      <w:bCs/>
      <w:caps/>
      <w:sz w:val="24"/>
      <w:lang w:val="et-EE"/>
    </w:rPr>
  </w:style>
  <w:style w:type="character" w:customStyle="1" w:styleId="SubsectiontitleChar">
    <w:name w:val="Subsection title Char"/>
    <w:basedOn w:val="DefaultParagraphFont"/>
    <w:link w:val="Subsectiontitle"/>
    <w:rPr>
      <w:rFonts w:ascii="Times New Roman" w:hAnsi="Times New Roman"/>
      <w:bCs/>
      <w:i/>
      <w:sz w:val="20"/>
      <w:szCs w:val="20"/>
      <w:lang w:val="et-EE"/>
    </w:rPr>
  </w:style>
  <w:style w:type="paragraph" w:styleId="TOC1">
    <w:name w:val="toc 1"/>
    <w:basedOn w:val="Normal"/>
    <w:next w:val="Normal"/>
    <w:autoRedefine/>
    <w:uiPriority w:val="39"/>
    <w:unhideWhenUsed/>
    <w:pPr>
      <w:spacing w:after="100"/>
    </w:pPr>
    <w:rPr>
      <w:b/>
    </w:rPr>
  </w:style>
  <w:style w:type="paragraph" w:styleId="TOC2">
    <w:name w:val="toc 2"/>
    <w:basedOn w:val="Normal"/>
    <w:next w:val="Normal"/>
    <w:autoRedefine/>
    <w:uiPriority w:val="39"/>
    <w:unhideWhenUsed/>
    <w:pPr>
      <w:spacing w:after="100"/>
      <w:ind w:left="221"/>
    </w:pPr>
  </w:style>
  <w:style w:type="paragraph" w:styleId="Header">
    <w:name w:val="header"/>
    <w:basedOn w:val="Normal"/>
    <w:link w:val="HeaderChar"/>
    <w:uiPriority w:val="99"/>
    <w:unhideWhenUsed/>
    <w:pPr>
      <w:tabs>
        <w:tab w:val="center" w:pos="4535"/>
        <w:tab w:val="right" w:pos="9071"/>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sz w:val="22"/>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aliases w:val="TR-Caption,Inscription,Beschriftung Char Char Char,Beschriftung Char Char,Caption-tables,Table legend,Tab_Überschrift,Figure reference,Caption1 Char Char Char Char Char Char Char Char,Beschriftung Char2 Char,Beschriftung Char1 Cha...,Char Char"/>
    <w:basedOn w:val="Normal"/>
    <w:next w:val="Normal"/>
    <w:link w:val="CaptionChar"/>
    <w:uiPriority w:val="35"/>
    <w:qFormat/>
    <w:pPr>
      <w:spacing w:before="120"/>
    </w:pPr>
    <w:rPr>
      <w:rFonts w:eastAsia="Times New Roman" w:cs="Times New Roman"/>
      <w:b/>
      <w:szCs w:val="20"/>
    </w:rPr>
  </w:style>
  <w:style w:type="character" w:customStyle="1" w:styleId="CaptionChar">
    <w:name w:val="Caption Char"/>
    <w:aliases w:val="TR-Caption Char,Inscription Char,Beschriftung Char Char Char Char,Beschriftung Char Char Char1,Caption-tables Char,Table legend Char,Tab_Überschrift Char,Figure reference Char,Caption1 Char Char Char Char Char Char Char Char Char"/>
    <w:link w:val="Caption"/>
    <w:uiPriority w:val="35"/>
    <w:locked/>
    <w:rPr>
      <w:rFonts w:ascii="Times New Roman" w:eastAsia="Times New Roman" w:hAnsi="Times New Roman" w:cs="Times New Roman"/>
      <w:b/>
      <w:sz w:val="24"/>
      <w:szCs w:val="20"/>
      <w:lang w:val="et-EE"/>
    </w:rPr>
  </w:style>
  <w:style w:type="paragraph" w:customStyle="1" w:styleId="Chaptertitle">
    <w:name w:val="Chapter title"/>
    <w:basedOn w:val="Normal"/>
    <w:pPr>
      <w:keepNext/>
      <w:spacing w:before="480"/>
    </w:pPr>
    <w:rPr>
      <w:rFonts w:cs="Times New Roman"/>
      <w:b/>
      <w:caps/>
      <w:szCs w:val="24"/>
    </w:rPr>
  </w:style>
  <w:style w:type="paragraph" w:customStyle="1" w:styleId="Sub1">
    <w:name w:val="Sub 1"/>
    <w:basedOn w:val="Normal"/>
    <w:pPr>
      <w:keepNext/>
      <w:spacing w:before="120" w:after="80"/>
    </w:pPr>
    <w:rPr>
      <w:rFonts w:cs="Times New Roman"/>
      <w:b/>
      <w:bCs/>
      <w:i/>
      <w:szCs w:val="24"/>
    </w:rPr>
  </w:style>
  <w:style w:type="paragraph" w:customStyle="1" w:styleId="Sub2">
    <w:name w:val="Sub2"/>
    <w:basedOn w:val="Normal"/>
    <w:link w:val="Sub2Char"/>
    <w:pPr>
      <w:keepNext/>
      <w:spacing w:before="120" w:after="80"/>
    </w:pPr>
    <w:rPr>
      <w:rFonts w:cs="Times New Roman"/>
      <w:b/>
      <w:szCs w:val="24"/>
    </w:rPr>
  </w:style>
  <w:style w:type="paragraph" w:styleId="TOC3">
    <w:name w:val="toc 3"/>
    <w:basedOn w:val="Normal"/>
    <w:next w:val="Normal"/>
    <w:autoRedefine/>
    <w:uiPriority w:val="39"/>
    <w:unhideWhenUsed/>
    <w:pPr>
      <w:spacing w:after="100"/>
      <w:ind w:left="440"/>
    </w:pPr>
    <w:rPr>
      <w:i/>
    </w:rPr>
  </w:style>
  <w:style w:type="character" w:customStyle="1" w:styleId="Sub2Char">
    <w:name w:val="Sub2 Char"/>
    <w:basedOn w:val="DefaultParagraphFont"/>
    <w:link w:val="Sub2"/>
    <w:rPr>
      <w:rFonts w:ascii="Times New Roman" w:hAnsi="Times New Roman" w:cs="Times New Roman"/>
      <w:b/>
      <w:sz w:val="24"/>
      <w:szCs w:val="24"/>
      <w:lang w:val="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NoteHead">
    <w:name w:val="NoteHead"/>
    <w:basedOn w:val="Normal"/>
    <w:next w:val="Subject"/>
    <w:pPr>
      <w:spacing w:before="720" w:after="720"/>
      <w:jc w:val="center"/>
    </w:pPr>
    <w:rPr>
      <w:rFonts w:eastAsia="Times New Roman" w:cs="Times New Roman"/>
      <w:b/>
      <w:smallCaps/>
      <w:szCs w:val="20"/>
    </w:rPr>
  </w:style>
  <w:style w:type="paragraph" w:customStyle="1" w:styleId="Subject">
    <w:name w:val="Subject"/>
    <w:basedOn w:val="Normal"/>
    <w:next w:val="Normal"/>
    <w:pPr>
      <w:spacing w:after="480"/>
      <w:ind w:left="1531" w:hanging="1531"/>
      <w:jc w:val="left"/>
    </w:pPr>
    <w:rPr>
      <w:rFonts w:eastAsia="Times New Roman" w:cs="Times New Roman"/>
      <w:b/>
      <w:szCs w:val="20"/>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paragraph" w:customStyle="1" w:styleId="Declassification">
    <w:name w:val="Declassification"/>
    <w:basedOn w:val="Normal"/>
    <w:next w:val="Normal"/>
    <w:pPr>
      <w:spacing w:after="0"/>
    </w:pPr>
    <w:rPr>
      <w:rFonts w:cs="Times New Roman"/>
    </w:rPr>
  </w:style>
  <w:style w:type="paragraph" w:customStyle="1" w:styleId="HeaderLandscape">
    <w:name w:val="HeaderLandscape"/>
    <w:basedOn w:val="Normal"/>
    <w:pPr>
      <w:tabs>
        <w:tab w:val="center" w:pos="7285"/>
        <w:tab w:val="right" w:pos="14003"/>
      </w:tabs>
    </w:pPr>
    <w:rPr>
      <w:rFonts w:cs="Times New Roman"/>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cs="Times New Roman"/>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after="0"/>
      <w:jc w:val="left"/>
    </w:pPr>
    <w:rPr>
      <w:rFonts w:cs="Times New Roman"/>
      <w:szCs w:val="24"/>
      <w:lang w:eastAsia="en-GB"/>
    </w:rPr>
  </w:style>
  <w:style w:type="paragraph" w:customStyle="1" w:styleId="SecurityMarking">
    <w:name w:val="SecurityMarking"/>
    <w:basedOn w:val="Normal"/>
    <w:pPr>
      <w:spacing w:after="0" w:line="276" w:lineRule="auto"/>
      <w:ind w:left="5103"/>
      <w:jc w:val="left"/>
    </w:pPr>
    <w:rPr>
      <w:rFonts w:cs="Times New Roman"/>
      <w:sz w:val="28"/>
    </w:rPr>
  </w:style>
  <w:style w:type="paragraph" w:customStyle="1" w:styleId="DateMarking">
    <w:name w:val="DateMarking"/>
    <w:basedOn w:val="Normal"/>
    <w:pPr>
      <w:spacing w:after="0" w:line="276" w:lineRule="auto"/>
      <w:ind w:left="5103"/>
      <w:jc w:val="left"/>
    </w:pPr>
    <w:rPr>
      <w:rFonts w:cs="Times New Roman"/>
      <w:i/>
      <w:sz w:val="28"/>
    </w:rPr>
  </w:style>
  <w:style w:type="paragraph" w:customStyle="1" w:styleId="ReleasableTo">
    <w:name w:val="ReleasableTo"/>
    <w:basedOn w:val="Normal"/>
    <w:pPr>
      <w:spacing w:after="0" w:line="276" w:lineRule="auto"/>
      <w:ind w:left="5103"/>
      <w:jc w:val="left"/>
    </w:pPr>
    <w:rPr>
      <w:rFonts w:cs="Times New Roman"/>
      <w:i/>
      <w:sz w:val="28"/>
    </w:rPr>
  </w:style>
  <w:style w:type="paragraph" w:customStyle="1" w:styleId="HeaderSensitivityRight">
    <w:name w:val="Header Sensitivity Right"/>
    <w:basedOn w:val="Normal"/>
    <w:pPr>
      <w:jc w:val="right"/>
    </w:pPr>
    <w:rPr>
      <w:sz w:val="28"/>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lang w:val="et-EE"/>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hesiondata.ec.europa.eu/d/e4v6-qrrq" TargetMode="Externa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uturium/en/urban-agenda" TargetMode="External"/><Relationship Id="rId7" Type="http://schemas.openxmlformats.org/officeDocument/2006/relationships/hyperlink" Target="https://cohesiondata.ec.europa.eu/stories/s/eyh3-tjuv" TargetMode="External"/><Relationship Id="rId2" Type="http://schemas.openxmlformats.org/officeDocument/2006/relationships/hyperlink" Target="https://ec.europa.eu/regional_policy/et/information/publications/reports/2017/7th-report-on-economic-social-and-territorial-cohesion" TargetMode="External"/><Relationship Id="rId1" Type="http://schemas.openxmlformats.org/officeDocument/2006/relationships/hyperlink" Target="https://cohesiondata.ec.europa.eu" TargetMode="External"/><Relationship Id="rId6" Type="http://schemas.openxmlformats.org/officeDocument/2006/relationships/hyperlink" Target="https://ec.europa.eu/digital-single-market/en/broadband-competence-offices" TargetMode="External"/><Relationship Id="rId5" Type="http://schemas.openxmlformats.org/officeDocument/2006/relationships/hyperlink" Target="https://ec.europa.eu/regional_policy/et/policy/how/improving-investment/" TargetMode="External"/><Relationship Id="rId4" Type="http://schemas.openxmlformats.org/officeDocument/2006/relationships/hyperlink" Target="https://www.uia-initiative.eu/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hthhe\AppData\Local\Temp\7zO0D6947D9\REGIO-2019-80082-00-01-ET-SRC-0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Sheet1!$C$2</c:f>
              <c:strCache>
                <c:ptCount val="1"/>
                <c:pt idx="0">
                  <c:v>Total planned (EUR bn)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Sheet1!$B$3:$B$16</c:f>
              <c:strCache>
                <c:ptCount val="14"/>
                <c:pt idx="0">
                  <c:v>Tehniline abi</c:v>
                </c:pt>
                <c:pt idx="1">
                  <c:v>Lõpetatud meetmed (EAFRD)</c:v>
                </c:pt>
                <c:pt idx="2">
                  <c:v>Äärepoolseimad ja hõredalt asustatud piirkonnad</c:v>
                </c:pt>
                <c:pt idx="3">
                  <c:v>Tõhus avalik haldus</c:v>
                </c:pt>
                <c:pt idx="4">
                  <c:v>Haridus ja kutseõpe</c:v>
                </c:pt>
                <c:pt idx="5">
                  <c:v>Sotsiaalne kaasatus</c:v>
                </c:pt>
                <c:pt idx="6">
                  <c:v>Jätkusuutlik ja kvaliteetne tööhõive</c:v>
                </c:pt>
                <c:pt idx="7">
                  <c:v>Transpordi- ja energiavõrkude taristu</c:v>
                </c:pt>
                <c:pt idx="8">
                  <c:v>Keskkonnakaitse ja ressursitõhusus</c:v>
                </c:pt>
                <c:pt idx="9">
                  <c:v>Kliimamuutustega kohanemine ja riskiennetus</c:v>
                </c:pt>
                <c:pt idx="10">
                  <c:v>Vähese CO2-heitega majandus</c:v>
                </c:pt>
                <c:pt idx="11">
                  <c:v>VKEde konkurentsivõime</c:v>
                </c:pt>
                <c:pt idx="12">
                  <c:v>Info- ja kommunikatsioonitehnoloogia</c:v>
                </c:pt>
                <c:pt idx="13">
                  <c:v>Teadusuuringud ja innovatsioon</c:v>
                </c:pt>
              </c:strCache>
            </c:strRef>
          </c:cat>
          <c:val>
            <c:numRef>
              <c:f>Sheet1!$C$3:$C$16</c:f>
              <c:numCache>
                <c:formatCode>_-* #\ ##0.0_-;\-* #\ ##0.0_-;_-* "-"??_-;_-@_-</c:formatCode>
                <c:ptCount val="14"/>
                <c:pt idx="0">
                  <c:v>19.021393246839999</c:v>
                </c:pt>
                <c:pt idx="1">
                  <c:v>0.73200095659999986</c:v>
                </c:pt>
                <c:pt idx="2">
                  <c:v>0.81975682500000002</c:v>
                </c:pt>
                <c:pt idx="3">
                  <c:v>6.4132118489999996</c:v>
                </c:pt>
                <c:pt idx="4">
                  <c:v>49.300399224090015</c:v>
                </c:pt>
                <c:pt idx="5">
                  <c:v>64.409524180940039</c:v>
                </c:pt>
                <c:pt idx="6">
                  <c:v>58.978546943609985</c:v>
                </c:pt>
                <c:pt idx="7">
                  <c:v>69.430620063000006</c:v>
                </c:pt>
                <c:pt idx="8">
                  <c:v>87.221497541460067</c:v>
                </c:pt>
                <c:pt idx="9">
                  <c:v>41.714535817669983</c:v>
                </c:pt>
                <c:pt idx="10">
                  <c:v>63.134842438430027</c:v>
                </c:pt>
                <c:pt idx="11">
                  <c:v>96.025084575340003</c:v>
                </c:pt>
                <c:pt idx="12">
                  <c:v>20.060783500810007</c:v>
                </c:pt>
                <c:pt idx="13">
                  <c:v>65.889940727380022</c:v>
                </c:pt>
              </c:numCache>
            </c:numRef>
          </c:val>
          <c:extLst>
            <c:ext xmlns:c16="http://schemas.microsoft.com/office/drawing/2014/chart" uri="{C3380CC4-5D6E-409C-BE32-E72D297353CC}">
              <c16:uniqueId val="{00000000-59E9-408B-BBC8-0BEDCECFA2F7}"/>
            </c:ext>
          </c:extLst>
        </c:ser>
        <c:dLbls>
          <c:showLegendKey val="0"/>
          <c:showVal val="0"/>
          <c:showCatName val="0"/>
          <c:showSerName val="0"/>
          <c:showPercent val="0"/>
          <c:showBubbleSize val="0"/>
        </c:dLbls>
        <c:gapWidth val="44"/>
        <c:axId val="101883904"/>
        <c:axId val="101885440"/>
      </c:barChart>
      <c:catAx>
        <c:axId val="101883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85440"/>
        <c:crossesAt val="0"/>
        <c:auto val="1"/>
        <c:lblAlgn val="ctr"/>
        <c:lblOffset val="100"/>
        <c:noMultiLvlLbl val="0"/>
      </c:catAx>
      <c:valAx>
        <c:axId val="10188544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_-* #,##0_-;\-* #,##0_-;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83904"/>
        <c:crosses val="autoZero"/>
        <c:crossBetween val="between"/>
        <c:majorUnit val="10"/>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CC6BE3-BEC0-4129-8056-8931A942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16</Pages>
  <Words>4220</Words>
  <Characters>33596</Characters>
  <Application>Microsoft Office Word</Application>
  <DocSecurity>0</DocSecurity>
  <Lines>524</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23</cp:revision>
  <cp:lastPrinted>2019-11-15T09:37:00Z</cp:lastPrinted>
  <dcterms:created xsi:type="dcterms:W3CDTF">2019-11-15T09:33:00Z</dcterms:created>
  <dcterms:modified xsi:type="dcterms:W3CDTF">2020-01-03T15:29:00Z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 Build 20190717</vt:lpwstr>
  </property>
  <property fmtid="{D5CDD505-2E9C-101B-9397-08002B2CF9AE}" pid="8" name="Created using">
    <vt:lpwstr>LW 7.0, Build 20190717</vt:lpwstr>
  </property>
</Properties>
</file>