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24" w:rsidRDefault="005F107E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34DBF3E-59CA-4FD5-AD87-6372C02D8B5A" style="width:450.75pt;height:321pt">
            <v:imagedata r:id="rId8" o:title=""/>
          </v:shape>
        </w:pict>
      </w:r>
    </w:p>
    <w:bookmarkEnd w:id="0"/>
    <w:p w:rsidR="00B14F24" w:rsidRDefault="00B14F24">
      <w:pPr>
        <w:rPr>
          <w:noProof/>
        </w:rPr>
        <w:sectPr w:rsidR="00B14F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bookmarkStart w:id="1" w:name="_GoBack"/>
    <w:bookmarkEnd w:id="1"/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r>
        <w:rPr>
          <w:rFonts w:asciiTheme="minorHAnsi" w:hAnsiTheme="minorHAnsi"/>
          <w:bCs/>
          <w:caps/>
          <w:noProof/>
          <w:sz w:val="22"/>
        </w:rPr>
        <w:lastRenderedPageBreak/>
        <w:fldChar w:fldCharType="begin"/>
      </w:r>
      <w:r>
        <w:rPr>
          <w:rFonts w:asciiTheme="minorHAnsi" w:hAnsiTheme="minorHAnsi"/>
          <w:bCs/>
          <w:caps/>
          <w:noProof/>
          <w:sz w:val="22"/>
        </w:rPr>
        <w:instrText xml:space="preserve"> TOC \o "1-3" \h \z \u </w:instrText>
      </w:r>
      <w:r>
        <w:rPr>
          <w:rFonts w:asciiTheme="minorHAnsi" w:hAnsiTheme="minorHAnsi"/>
          <w:bCs/>
          <w:caps/>
          <w:noProof/>
          <w:sz w:val="22"/>
        </w:rPr>
        <w:fldChar w:fldCharType="separate"/>
      </w:r>
      <w:hyperlink w:anchor="_Toc28961372" w:history="1">
        <w:r w:rsidRPr="00643060">
          <w:rPr>
            <w:rStyle w:val="Hyperlink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hyperlink w:anchor="_Toc28961373" w:history="1">
        <w:r w:rsidRPr="00643060">
          <w:rPr>
            <w:rStyle w:val="Hyperlink"/>
            <w:noProof/>
          </w:rPr>
          <w:t>1. NÁROČNÉ A RÝCHLO SA MENIACE PROSTREDIE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hyperlink w:anchor="_Toc28961374" w:history="1">
        <w:r w:rsidRPr="00643060">
          <w:rPr>
            <w:rStyle w:val="Hyperlink"/>
            <w:noProof/>
          </w:rPr>
          <w:t>2. POSKYTOVANIE INVESTÍCIÍ PRE INTELIGENTNÝ, UDRŽATEĽNÝ A INKLUZÍVNY RAST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75" w:history="1">
        <w:r w:rsidRPr="00643060">
          <w:rPr>
            <w:rStyle w:val="Hyperlink"/>
            <w:noProof/>
          </w:rPr>
          <w:t>2.1. Celkový pokrok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76" w:history="1">
        <w:r w:rsidRPr="00643060">
          <w:rPr>
            <w:rStyle w:val="Hyperlink"/>
            <w:noProof/>
          </w:rPr>
          <w:t>2.2. Výskum, technologický rozvoj a inovácie, IKT a konkurencieschopnosť MSP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77" w:history="1">
        <w:r w:rsidRPr="00643060">
          <w:rPr>
            <w:rStyle w:val="Hyperlink"/>
            <w:noProof/>
          </w:rPr>
          <w:t>2.3. Nízkouhlíkové hospodárstvo, zmena klímy, životné prostredie, doprava a energetika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78" w:history="1">
        <w:r w:rsidRPr="00643060">
          <w:rPr>
            <w:rStyle w:val="Hyperlink"/>
            <w:noProof/>
          </w:rPr>
          <w:t>2.4. Zamestnanosť, sociálne začlenenie, zdravie a vzdelávanie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hyperlink w:anchor="_Toc28961379" w:history="1">
        <w:r w:rsidRPr="00643060">
          <w:rPr>
            <w:rStyle w:val="Hyperlink"/>
            <w:noProof/>
          </w:rPr>
          <w:t>3. VPLYV HLAVNÝCH REFORIEM V OBDOBÍ ROKOV 2014 –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0" w:history="1">
        <w:r w:rsidRPr="00643060">
          <w:rPr>
            <w:rStyle w:val="Hyperlink"/>
            <w:noProof/>
          </w:rPr>
          <w:t>3.1. Príspevok EŠIF k európskemu semestru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1" w:history="1">
        <w:r w:rsidRPr="00643060">
          <w:rPr>
            <w:rStyle w:val="Hyperlink"/>
            <w:noProof/>
          </w:rPr>
          <w:t xml:space="preserve">3.2. Podmienky financovania: </w:t>
        </w:r>
        <w:r w:rsidRPr="00643060">
          <w:rPr>
            <w:rStyle w:val="Hyperlink"/>
            <w:i/>
            <w:iCs/>
            <w:noProof/>
          </w:rPr>
          <w:t>ex ante</w:t>
        </w:r>
        <w:r w:rsidRPr="00643060">
          <w:rPr>
            <w:rStyle w:val="Hyperlink"/>
            <w:noProof/>
          </w:rPr>
          <w:t xml:space="preserve"> kondicionality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2" w:history="1">
        <w:r w:rsidRPr="00643060">
          <w:rPr>
            <w:rStyle w:val="Hyperlink"/>
            <w:noProof/>
          </w:rPr>
          <w:t>3.3. Pravidlo o zrušení viazanosti rozpočtových prostriedkov „N + 3“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3" w:history="1">
        <w:r w:rsidRPr="00643060">
          <w:rPr>
            <w:rStyle w:val="Hyperlink"/>
            <w:noProof/>
          </w:rPr>
          <w:t>3.4. Výkonnostný rámec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4" w:history="1">
        <w:r w:rsidRPr="00643060">
          <w:rPr>
            <w:rStyle w:val="Hyperlink"/>
            <w:noProof/>
          </w:rPr>
          <w:t>3.5. Podpora integrovaného územného rozvoja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val="en-GB" w:eastAsia="en-GB"/>
        </w:rPr>
      </w:pPr>
      <w:hyperlink w:anchor="_Toc28961385" w:history="1">
        <w:r w:rsidRPr="00643060">
          <w:rPr>
            <w:rStyle w:val="Hyperlink"/>
            <w:noProof/>
          </w:rPr>
          <w:t>3.5.1. Integrované investície do miest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val="en-GB" w:eastAsia="en-GB"/>
        </w:rPr>
      </w:pPr>
      <w:hyperlink w:anchor="_Toc28961386" w:history="1">
        <w:r w:rsidRPr="00643060">
          <w:rPr>
            <w:rStyle w:val="Hyperlink"/>
            <w:noProof/>
          </w:rPr>
          <w:t>3.5.2. Zavádzanie územných nástrojov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val="en-GB" w:eastAsia="en-GB"/>
        </w:rPr>
      </w:pPr>
      <w:hyperlink w:anchor="_Toc28961387" w:history="1">
        <w:r w:rsidRPr="00643060">
          <w:rPr>
            <w:rStyle w:val="Hyperlink"/>
            <w:noProof/>
          </w:rPr>
          <w:t>3.5.3. Územná spolupráca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hyperlink w:anchor="_Toc28961388" w:history="1">
        <w:r w:rsidRPr="00643060">
          <w:rPr>
            <w:rStyle w:val="Hyperlink"/>
            <w:noProof/>
          </w:rPr>
          <w:t>4. LEPŠIE RIADENIE PROGRAMOV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89" w:history="1">
        <w:r w:rsidRPr="00643060">
          <w:rPr>
            <w:rStyle w:val="Hyperlink"/>
            <w:noProof/>
          </w:rPr>
          <w:t>4.1. Kapacita orgánov a prijímateľov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0" w:history="1">
        <w:r w:rsidRPr="00643060">
          <w:rPr>
            <w:rStyle w:val="Hyperlink"/>
            <w:noProof/>
          </w:rPr>
          <w:t>4.2. Zjednodušenie pre prijímateľov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1" w:history="1">
        <w:r w:rsidRPr="00643060">
          <w:rPr>
            <w:rStyle w:val="Hyperlink"/>
            <w:noProof/>
          </w:rPr>
          <w:t>4.3.</w:t>
        </w:r>
        <w:r w:rsidRPr="00643060">
          <w:rPr>
            <w:rStyle w:val="Hyperlink"/>
            <w:caps/>
            <w:noProof/>
          </w:rPr>
          <w:t xml:space="preserve"> </w:t>
        </w:r>
        <w:r w:rsidRPr="00643060">
          <w:rPr>
            <w:rStyle w:val="Hyperlink"/>
            <w:noProof/>
          </w:rPr>
          <w:t>Úloha partnerov pri vykonávaní programov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2" w:history="1">
        <w:r w:rsidRPr="00643060">
          <w:rPr>
            <w:rStyle w:val="Hyperlink"/>
            <w:noProof/>
          </w:rPr>
          <w:t>4.4.</w:t>
        </w:r>
        <w:r w:rsidRPr="00643060">
          <w:rPr>
            <w:rStyle w:val="Hyperlink"/>
            <w:caps/>
            <w:noProof/>
          </w:rPr>
          <w:t xml:space="preserve"> </w:t>
        </w:r>
        <w:r w:rsidRPr="00643060">
          <w:rPr>
            <w:rStyle w:val="Hyperlink"/>
            <w:noProof/>
          </w:rPr>
          <w:t>Vykonávanie horizontálnych zásad a cieľov politík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3" w:history="1">
        <w:r w:rsidRPr="00643060">
          <w:rPr>
            <w:rStyle w:val="Hyperlink"/>
            <w:noProof/>
          </w:rPr>
          <w:t>4.5. Väčší vplyv vďaka lepšej komplementárnosti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4" w:history="1">
        <w:r w:rsidRPr="00643060">
          <w:rPr>
            <w:rStyle w:val="Hyperlink"/>
            <w:noProof/>
          </w:rPr>
          <w:t>4.6. Súhrn hodnotenia EŠIF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28961395" w:history="1">
        <w:r w:rsidRPr="00643060">
          <w:rPr>
            <w:rStyle w:val="Hyperlink"/>
            <w:noProof/>
          </w:rPr>
          <w:t>4.7. Informovanie o EŠIF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107E" w:rsidRDefault="005F107E">
      <w:pPr>
        <w:pStyle w:val="TOC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val="en-GB" w:eastAsia="en-GB"/>
        </w:rPr>
      </w:pPr>
      <w:hyperlink w:anchor="_Toc28961396" w:history="1">
        <w:r w:rsidRPr="00643060">
          <w:rPr>
            <w:rStyle w:val="Hyperlink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_Toc28961396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4F24" w:rsidRDefault="005F107E">
      <w:pPr>
        <w:pStyle w:val="Heading1"/>
        <w:rPr>
          <w:rFonts w:asciiTheme="minorHAnsi" w:eastAsiaTheme="minorHAnsi" w:hAnsiTheme="minorHAnsi" w:cstheme="minorBidi"/>
          <w:bCs w:val="0"/>
          <w:caps w:val="0"/>
          <w:noProof/>
          <w:sz w:val="22"/>
          <w:szCs w:val="22"/>
        </w:rPr>
        <w:sectPr w:rsidR="00B14F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pgNumType w:start="1"/>
          <w:cols w:space="720"/>
          <w:docGrid w:linePitch="360"/>
        </w:sectPr>
      </w:pPr>
      <w:r>
        <w:rPr>
          <w:rFonts w:asciiTheme="minorHAnsi" w:eastAsiaTheme="minorHAnsi" w:hAnsiTheme="minorHAnsi" w:cstheme="minorBidi"/>
          <w:bCs w:val="0"/>
          <w:caps w:val="0"/>
          <w:noProof/>
          <w:sz w:val="22"/>
          <w:szCs w:val="22"/>
        </w:rPr>
        <w:fldChar w:fldCharType="end"/>
      </w:r>
      <w:bookmarkStart w:id="2" w:name="_Toc493149322"/>
      <w:bookmarkStart w:id="3" w:name="_Toc493153388"/>
      <w:bookmarkStart w:id="4" w:name="_Toc493153488"/>
      <w:bookmarkStart w:id="5" w:name="_Toc493153741"/>
      <w:bookmarkStart w:id="6" w:name="_Toc493250387"/>
      <w:bookmarkStart w:id="7" w:name="_Toc493499392"/>
      <w:bookmarkStart w:id="8" w:name="_Toc493499450"/>
      <w:bookmarkStart w:id="9" w:name="_Toc493517098"/>
      <w:bookmarkStart w:id="10" w:name="_Toc493598969"/>
      <w:bookmarkStart w:id="11" w:name="_Toc493604577"/>
      <w:bookmarkStart w:id="12" w:name="_Toc493682263"/>
      <w:bookmarkStart w:id="13" w:name="_Toc493689679"/>
      <w:bookmarkStart w:id="14" w:name="_Toc493760306"/>
      <w:bookmarkStart w:id="15" w:name="_Toc493765786"/>
      <w:bookmarkStart w:id="16" w:name="_Toc493778769"/>
      <w:bookmarkStart w:id="17" w:name="_Toc496777515"/>
      <w:bookmarkStart w:id="18" w:name="_Toc13500377"/>
      <w:bookmarkStart w:id="19" w:name="_Toc13555761"/>
      <w:bookmarkStart w:id="20" w:name="_Toc13571354"/>
    </w:p>
    <w:p w:rsidR="00B14F24" w:rsidRDefault="005F107E">
      <w:pPr>
        <w:pStyle w:val="Heading1"/>
        <w:rPr>
          <w:rFonts w:asciiTheme="minorHAnsi" w:eastAsiaTheme="minorHAnsi" w:hAnsiTheme="minorHAnsi" w:cstheme="minorBidi"/>
          <w:bCs w:val="0"/>
          <w:caps w:val="0"/>
          <w:noProof/>
          <w:sz w:val="22"/>
          <w:szCs w:val="22"/>
        </w:rPr>
      </w:pPr>
      <w:bookmarkStart w:id="21" w:name="_Toc28961372"/>
      <w:r>
        <w:rPr>
          <w:noProof/>
        </w:rPr>
        <w:lastRenderedPageBreak/>
        <w:t>ÚVOD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Hlavným účelom európskych </w:t>
      </w:r>
      <w:r>
        <w:rPr>
          <w:noProof/>
        </w:rPr>
        <w:t>štrukturálnych a investičných fondov</w:t>
      </w:r>
      <w:r>
        <w:rPr>
          <w:rStyle w:val="FootnoteReference"/>
          <w:rFonts w:cs="Times New Roman"/>
          <w:noProof/>
        </w:rPr>
        <w:footnoteReference w:id="1"/>
      </w:r>
      <w:r>
        <w:rPr>
          <w:noProof/>
        </w:rPr>
        <w:t xml:space="preserve"> (ďalej len „EŠIF“) je podporovať trvalú sociálno-ekonomickú konvergenciu, odolnosť a územnú súdržnosť. EŠIF prinášajú kritické množstvo investícií</w:t>
      </w:r>
      <w:r>
        <w:rPr>
          <w:rFonts w:cs="Times New Roman"/>
          <w:noProof/>
          <w:vertAlign w:val="superscript"/>
        </w:rPr>
        <w:footnoteReference w:id="2"/>
      </w:r>
      <w:r>
        <w:rPr>
          <w:noProof/>
        </w:rPr>
        <w:t xml:space="preserve"> do prioritných oblastí EÚ prostredníctvom zdieľaného riadenia medzi Ko</w:t>
      </w:r>
      <w:r>
        <w:rPr>
          <w:noProof/>
        </w:rPr>
        <w:t xml:space="preserve">misiou a členskými štátmi. Podporovaním vytvárania pracovných miest, rastu a investícií, posilňovania jednotného trhu, energetickej únie a správy hospodárskych záležitostí tieto investície reagujú na potreby reálnej ekonomiky.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Táto druhá strategická </w:t>
      </w:r>
      <w:r>
        <w:rPr>
          <w:noProof/>
        </w:rPr>
        <w:t>správa</w:t>
      </w:r>
      <w:r>
        <w:rPr>
          <w:rStyle w:val="FootnoteReference"/>
          <w:rFonts w:cs="Times New Roman"/>
          <w:noProof/>
        </w:rPr>
        <w:footnoteReference w:id="3"/>
      </w:r>
      <w:r>
        <w:rPr>
          <w:noProof/>
        </w:rPr>
        <w:t xml:space="preserve"> je založená na správach členských štátov o vykonávaní a pokroku pri vykonávaní programov EŠIF na roky 2014 – 2020 do konca roku 2018</w:t>
      </w:r>
      <w:r>
        <w:rPr>
          <w:rStyle w:val="FootnoteReference"/>
          <w:rFonts w:cs="Times New Roman"/>
          <w:noProof/>
        </w:rPr>
        <w:footnoteReference w:id="4"/>
      </w:r>
      <w:r>
        <w:rPr>
          <w:noProof/>
        </w:rPr>
        <w:t>. V tom čase bolo viazaných 72 % dostupných zdrojov EŠIF</w:t>
      </w:r>
      <w:r>
        <w:rPr>
          <w:rStyle w:val="FootnoteReference"/>
          <w:rFonts w:cs="Times New Roman"/>
          <w:noProof/>
        </w:rPr>
        <w:footnoteReference w:id="5"/>
      </w:r>
      <w:r>
        <w:rPr>
          <w:noProof/>
        </w:rPr>
        <w:t>. Projekty, ktoré sú už financované, majú čoraz väčší vply</w:t>
      </w:r>
      <w:r>
        <w:rPr>
          <w:noProof/>
        </w:rPr>
        <w:t>v v kľúčových oblastiach politiky, napríklad: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>podpora sa poskytuje viac ako 1,6 milióna podnikom – vrátane fariem,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 xml:space="preserve">podporované firmy vytvárajú 300 000 nových pracovných miest, 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>26 miliónom ľudí sa poskytla pomoc pri odbornej príprave, vzdelávaní či hľadaní</w:t>
      </w:r>
      <w:r>
        <w:rPr>
          <w:noProof/>
        </w:rPr>
        <w:t xml:space="preserve"> práce,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>8,3 milióna domácností bude mať prístup k lepšiemu širokopásmovému pripojeniu,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 xml:space="preserve">stavia alebo rekonštruuje sa viac ako 3 900 km železničných tratí, </w:t>
      </w:r>
    </w:p>
    <w:p w:rsidR="00B14F24" w:rsidRDefault="005F107E">
      <w:pPr>
        <w:pStyle w:val="ListParagraph"/>
        <w:numPr>
          <w:ilvl w:val="0"/>
          <w:numId w:val="48"/>
        </w:numPr>
        <w:spacing w:before="120"/>
        <w:rPr>
          <w:rFonts w:cs="Times New Roman"/>
          <w:noProof/>
        </w:rPr>
      </w:pPr>
      <w:r>
        <w:rPr>
          <w:noProof/>
        </w:rPr>
        <w:t xml:space="preserve">prebiehajúce projekty v zdravotníctve využíva 60 miliónov ľudí.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Táto správa a otvorená platforma úda</w:t>
      </w:r>
      <w:r>
        <w:rPr>
          <w:noProof/>
        </w:rPr>
        <w:t>jov o EŠIF poskytujú podrobný prehľad o pokroku vo všetkých tematických oblastiach</w:t>
      </w:r>
      <w:r>
        <w:rPr>
          <w:rStyle w:val="FootnoteReference"/>
          <w:rFonts w:cs="Times New Roman"/>
          <w:noProof/>
        </w:rPr>
        <w:footnoteReference w:id="6"/>
      </w:r>
      <w:r>
        <w:rPr>
          <w:noProof/>
        </w:rPr>
        <w:t>.</w:t>
      </w:r>
      <w:bookmarkStart w:id="22" w:name="_Toc483217485"/>
      <w:bookmarkStart w:id="23" w:name="_Toc493149323"/>
      <w:bookmarkStart w:id="24" w:name="_Toc493153389"/>
      <w:bookmarkStart w:id="25" w:name="_Toc493153489"/>
      <w:bookmarkStart w:id="26" w:name="_Toc493153742"/>
      <w:bookmarkStart w:id="27" w:name="_Toc493250388"/>
      <w:bookmarkStart w:id="28" w:name="_Toc493499393"/>
      <w:bookmarkStart w:id="29" w:name="_Toc493499451"/>
      <w:bookmarkStart w:id="30" w:name="_Toc493517099"/>
      <w:bookmarkStart w:id="31" w:name="_Toc493598970"/>
      <w:bookmarkStart w:id="32" w:name="_Toc493604578"/>
      <w:bookmarkStart w:id="33" w:name="_Toc493682264"/>
      <w:bookmarkStart w:id="34" w:name="_Toc493689680"/>
      <w:bookmarkStart w:id="35" w:name="_Toc493760307"/>
      <w:bookmarkStart w:id="36" w:name="_Toc493765787"/>
      <w:bookmarkStart w:id="37" w:name="_Toc493778770"/>
      <w:bookmarkStart w:id="38" w:name="_Toc496777516"/>
      <w:bookmarkStart w:id="39" w:name="_Toc13500378"/>
      <w:bookmarkStart w:id="40" w:name="_Toc13555762"/>
      <w:bookmarkStart w:id="41" w:name="_Toc13571355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Súčasné zameranie politiky a jej prispôsobiteľný rámec umožňujú, aby EŠIF významne prispievali k novým a vznikajúcim výzvam. Väčšina oblastí financovania už podporuje ciel</w:t>
      </w:r>
      <w:r>
        <w:rPr>
          <w:noProof/>
        </w:rPr>
        <w:t xml:space="preserve">e OSN v oblasti udržateľného rozvoja, opatrenia na adaptáciu na zmenu klímy a znižovanie rizika, pričom toto zameranie možno v rámci programov EŠIF podľa potreby posilniť. 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B14F24" w:rsidRDefault="005F107E">
      <w:pPr>
        <w:pStyle w:val="Heading1"/>
        <w:rPr>
          <w:rFonts w:cstheme="minorBidi"/>
          <w:noProof/>
        </w:rPr>
      </w:pPr>
      <w:r>
        <w:rPr>
          <w:noProof/>
        </w:rPr>
        <w:br w:type="page"/>
      </w:r>
      <w:bookmarkStart w:id="42" w:name="_Toc28961373"/>
      <w:r>
        <w:rPr>
          <w:noProof/>
        </w:rPr>
        <w:t>1. NÁROČNÉ A RÝCHLO SA MENIACE PROSTREDIE</w:t>
      </w:r>
      <w:bookmarkEnd w:id="42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Členské štáty vo svojich správach o pokr</w:t>
      </w:r>
      <w:r>
        <w:rPr>
          <w:noProof/>
        </w:rPr>
        <w:t>oku za rok 2019 uznávajú rozhodujúcu úlohu, ktorú EŠIF zohrávajú pri riešení environmentálnych, hospodárskych a sociálnych zmien a pri zavádzaní reforiem potrebných na zabezpečenie udržateľnej budúcnosti. V období po finančnej kríze boli EŠIF zásadné pri p</w:t>
      </w:r>
      <w:r>
        <w:rPr>
          <w:noProof/>
        </w:rPr>
        <w:t>odpore investícií a pri opätovnom nastolení hospodárskej konvergencie</w:t>
      </w:r>
      <w:r>
        <w:rPr>
          <w:rFonts w:cs="Times New Roman"/>
          <w:noProof/>
          <w:vertAlign w:val="superscript"/>
        </w:rPr>
        <w:footnoteReference w:id="7"/>
      </w:r>
      <w:r>
        <w:rPr>
          <w:noProof/>
        </w:rPr>
        <w:t>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Niekoľko členských štátov však poukazuje na pretrvávajúce územné a regionálne nerovnosti a sociálne vylúčenie, ako aj na rastúce problémy spojené s demografickými zmenami. Stále pretrv</w:t>
      </w:r>
      <w:r>
        <w:rPr>
          <w:noProof/>
        </w:rPr>
        <w:t>ávajú rozdiely medzi regiónmi a v rámci nich a medzi mestskými a vidieckymi oblasťami. Niekoľko regiónov, ktoré stratili svoje konkurenčné postavenie, uviazlo v „pasci stredných príjmov“</w:t>
      </w:r>
      <w:r>
        <w:rPr>
          <w:rFonts w:cs="Times New Roman"/>
          <w:noProof/>
          <w:vertAlign w:val="superscript"/>
        </w:rPr>
        <w:footnoteReference w:id="8"/>
      </w:r>
      <w:r>
        <w:rPr>
          <w:noProof/>
        </w:rPr>
        <w:t xml:space="preserve"> a niektoré naďalej zápasia s vysokou mierou nezamestnanosti, najmä m</w:t>
      </w:r>
      <w:r>
        <w:rPr>
          <w:noProof/>
        </w:rPr>
        <w:t>edzi mladými ľuďmi. Iné sú zraniteľnejšie voči účinkom dvojitého prechodu vyplývajúcemu z opatrení v oblasti klímy a digitalizácie alebo z pretrvávajúcich dôsledkov utečeneckej a migračnej krízy. Tieto geografické nezrovnalosti sú katalyzátorom antipatie v</w:t>
      </w:r>
      <w:r>
        <w:rPr>
          <w:noProof/>
        </w:rPr>
        <w:t>oči EÚ</w:t>
      </w:r>
      <w:r>
        <w:rPr>
          <w:rFonts w:cs="Times New Roman"/>
          <w:noProof/>
          <w:vertAlign w:val="superscript"/>
        </w:rPr>
        <w:footnoteReference w:id="9"/>
      </w:r>
      <w:r>
        <w:rPr>
          <w:noProof/>
        </w:rPr>
        <w:t>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EŠIF prostredníctvom zdieľaného riadenia splnomocňujú miestne a regionálne subjekty, aby bojovali proti týmto trendom, a to podporovaním územnej súdržnosti, investícií na podporu rastu, vytvárania pracovných miest, konkurencieschopnosti podnikov, </w:t>
      </w:r>
      <w:r>
        <w:rPr>
          <w:noProof/>
        </w:rPr>
        <w:t>výskumu a inovácií a začínajúcich ekosystémov, environmentálnych opatrení, adaptácie na zmenu klímy a odolnosti proti zmene klímy, znižovania rizika katastrof, projektov sociálneho začlenenia a projektov v oblasti zdravia a vzdelávania s cieľom zlepšiť živ</w:t>
      </w:r>
      <w:r>
        <w:rPr>
          <w:noProof/>
        </w:rPr>
        <w:t xml:space="preserve">ot a priblížiť EÚ ľuďom. </w:t>
      </w:r>
    </w:p>
    <w:p w:rsidR="00B14F24" w:rsidRDefault="00B14F24">
      <w:pPr>
        <w:spacing w:before="120"/>
        <w:rPr>
          <w:rFonts w:cs="Times New Roman"/>
          <w:b/>
          <w:noProof/>
        </w:rPr>
      </w:pPr>
    </w:p>
    <w:p w:rsidR="00B14F24" w:rsidRDefault="005F107E">
      <w:pPr>
        <w:pStyle w:val="Heading1"/>
        <w:rPr>
          <w:noProof/>
        </w:rPr>
      </w:pPr>
      <w:bookmarkStart w:id="43" w:name="_Toc493149326"/>
      <w:bookmarkStart w:id="44" w:name="_Toc493153392"/>
      <w:bookmarkStart w:id="45" w:name="_Toc493153492"/>
      <w:bookmarkStart w:id="46" w:name="_Toc493153745"/>
      <w:bookmarkStart w:id="47" w:name="_Toc493250391"/>
      <w:bookmarkStart w:id="48" w:name="_Toc493499396"/>
      <w:bookmarkStart w:id="49" w:name="_Toc493499454"/>
      <w:bookmarkStart w:id="50" w:name="_Toc493517102"/>
      <w:bookmarkStart w:id="51" w:name="_Toc493598973"/>
      <w:bookmarkStart w:id="52" w:name="_Toc493604581"/>
      <w:bookmarkStart w:id="53" w:name="_Toc493682267"/>
      <w:bookmarkStart w:id="54" w:name="_Toc493689683"/>
      <w:bookmarkStart w:id="55" w:name="_Toc493760310"/>
      <w:bookmarkStart w:id="56" w:name="_Toc493765790"/>
      <w:bookmarkStart w:id="57" w:name="_Toc493778773"/>
      <w:bookmarkStart w:id="58" w:name="_Toc496777519"/>
      <w:bookmarkStart w:id="59" w:name="_Toc13500379"/>
      <w:bookmarkStart w:id="60" w:name="_Toc13555763"/>
      <w:bookmarkStart w:id="61" w:name="_Toc13571356"/>
      <w:bookmarkStart w:id="62" w:name="_Toc28961374"/>
      <w:r>
        <w:rPr>
          <w:noProof/>
        </w:rPr>
        <w:t xml:space="preserve">2. </w:t>
      </w:r>
      <w:bookmarkStart w:id="63" w:name="_Toc483217488"/>
      <w:r>
        <w:rPr>
          <w:noProof/>
        </w:rPr>
        <w:t>POSKYTOVANIE INVESTÍCIÍ PRE INTELIGENTNÝ, UDRŽATEĽNÝ A </w:t>
      </w:r>
      <w:bookmarkEnd w:id="63"/>
      <w:r>
        <w:rPr>
          <w:noProof/>
        </w:rPr>
        <w:t>INKLUZÍVNY RAST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14F24" w:rsidRDefault="005F107E">
      <w:pPr>
        <w:pStyle w:val="Heading2"/>
        <w:rPr>
          <w:noProof/>
        </w:rPr>
      </w:pPr>
      <w:bookmarkStart w:id="64" w:name="_Toc493149327"/>
      <w:bookmarkStart w:id="65" w:name="_Toc493153393"/>
      <w:bookmarkStart w:id="66" w:name="_Toc493153493"/>
      <w:bookmarkStart w:id="67" w:name="_Toc493153746"/>
      <w:bookmarkStart w:id="68" w:name="_Toc493250392"/>
      <w:bookmarkStart w:id="69" w:name="_Toc493499397"/>
      <w:bookmarkStart w:id="70" w:name="_Toc493499455"/>
      <w:bookmarkStart w:id="71" w:name="_Toc493517103"/>
      <w:bookmarkStart w:id="72" w:name="_Toc493598974"/>
      <w:bookmarkStart w:id="73" w:name="_Toc493604582"/>
      <w:bookmarkStart w:id="74" w:name="_Toc493682268"/>
      <w:bookmarkStart w:id="75" w:name="_Toc493689684"/>
      <w:bookmarkStart w:id="76" w:name="_Toc493760311"/>
      <w:bookmarkStart w:id="77" w:name="_Toc493765791"/>
      <w:bookmarkStart w:id="78" w:name="_Toc493778774"/>
      <w:bookmarkStart w:id="79" w:name="_Toc496777520"/>
      <w:bookmarkStart w:id="80" w:name="_Toc13500380"/>
      <w:bookmarkStart w:id="81" w:name="_Toc13555764"/>
      <w:bookmarkStart w:id="82" w:name="_Toc13571357"/>
      <w:bookmarkStart w:id="83" w:name="_Toc28961375"/>
      <w:r>
        <w:rPr>
          <w:noProof/>
        </w:rPr>
        <w:t>2.1. Celkový pokrok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Vďaka novým prvkom zavedeným v nariadení (EÚ) č. 1303/2013, ako je najmä sústredenie investícií na kľúčové rozvojové ciele a výraznejši</w:t>
      </w:r>
      <w:r>
        <w:rPr>
          <w:noProof/>
        </w:rPr>
        <w:t>e zameranie na výkonnosť, sú programy EŠIF zamerané na efektívne a účinné dosahovanie cieľov EÚ v oblasti inteligentného, udržateľného a inkluzívneho rastu. Tento trend sa ďalej posilnil angažovaným a flexibilným prístupom Komisie, najmä prostredníctvom zm</w:t>
      </w:r>
      <w:r>
        <w:rPr>
          <w:noProof/>
        </w:rPr>
        <w:t>eny programov, monitorovania rizikových programov alebo niekoľkých pilotných opatrení</w:t>
      </w:r>
      <w:r>
        <w:rPr>
          <w:rStyle w:val="FootnoteReference"/>
          <w:rFonts w:cs="Times New Roman"/>
          <w:noProof/>
        </w:rPr>
        <w:footnoteReference w:id="10"/>
      </w:r>
      <w:r>
        <w:rPr>
          <w:noProof/>
        </w:rPr>
        <w:t>, ktoré poskytli pomoc prispôsobenú potrebám a ponaučenie do budúcnosti, pokiaľ ide o vykonávanie programov.</w:t>
      </w:r>
    </w:p>
    <w:p w:rsidR="00B14F24" w:rsidRDefault="00B14F24">
      <w:pPr>
        <w:spacing w:before="120"/>
        <w:rPr>
          <w:rFonts w:cs="Times New Roman"/>
          <w:b/>
          <w:noProof/>
        </w:rPr>
      </w:pPr>
    </w:p>
    <w:p w:rsidR="00B14F24" w:rsidRDefault="005F107E">
      <w:pPr>
        <w:spacing w:before="120"/>
        <w:rPr>
          <w:rFonts w:cs="Times New Roman"/>
          <w:b/>
          <w:noProof/>
        </w:rPr>
      </w:pPr>
      <w:r>
        <w:rPr>
          <w:b/>
          <w:noProof/>
        </w:rPr>
        <w:t xml:space="preserve">Celkové plánované investície EŠIF (EÚ a vnútroštátne) podľa </w:t>
      </w:r>
      <w:r>
        <w:rPr>
          <w:b/>
          <w:noProof/>
        </w:rPr>
        <w:t>tematického cieľa (v mld. EUR)</w:t>
      </w:r>
      <w:r>
        <w:rPr>
          <w:rStyle w:val="FootnoteReference"/>
          <w:rFonts w:cs="Times New Roman"/>
          <w:b/>
          <w:noProof/>
        </w:rPr>
        <w:footnoteReference w:id="11"/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731510" cy="3424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24" w:rsidRDefault="005F107E">
      <w:pPr>
        <w:spacing w:before="120"/>
        <w:rPr>
          <w:rFonts w:cs="Times New Roman"/>
          <w:b/>
          <w:noProof/>
        </w:rPr>
      </w:pPr>
      <w:r>
        <w:rPr>
          <w:i/>
          <w:noProof/>
          <w:sz w:val="20"/>
          <w:szCs w:val="20"/>
        </w:rPr>
        <w:t xml:space="preserve">Zdroj: Otvorené údaje o EŠIF – </w:t>
      </w:r>
      <w:hyperlink r:id="rId22" w:history="1">
        <w:r>
          <w:rPr>
            <w:rStyle w:val="Hyperlink"/>
            <w:i/>
            <w:noProof/>
            <w:sz w:val="20"/>
            <w:szCs w:val="20"/>
          </w:rPr>
          <w:t>https://cohesiondata.ec.europa.eu/d/e4v6-qrrq</w:t>
        </w:r>
      </w:hyperlink>
    </w:p>
    <w:p w:rsidR="00B14F24" w:rsidRDefault="00B14F24">
      <w:pPr>
        <w:spacing w:before="120"/>
        <w:rPr>
          <w:rFonts w:cs="Times New Roman"/>
          <w:noProof/>
        </w:rPr>
      </w:pP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Pri analýze týchto údajov a zohľadnení všetkých EŠIF sa od prvej strategickej </w:t>
      </w:r>
      <w:r>
        <w:rPr>
          <w:noProof/>
        </w:rPr>
        <w:t>správy v roku 2017 výber projektov (schválené financovanie) viac ako zdvojnásobil, a to na 464 miliárd EUR (72 % celkových plánovaných investícií). Pokrok je zrejmý v odvetviach, ako je výskum a vývoj, a to najmä vďaka katalytickému účinku stratégií pre in</w:t>
      </w:r>
      <w:r>
        <w:rPr>
          <w:noProof/>
        </w:rPr>
        <w:t>teligentnú špecializáciu, informačných a komunikačných technológií (ďalej len „IKT“) a dopravnej infraštruktúry. Výber projektov sa zrýchlil, hoci miernejšie, v oblastiach, ako je nízkouhlíkové hospodárstvo a udržateľná a kvalitná zamestnanosť.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Pokiaľ ide </w:t>
      </w:r>
      <w:r>
        <w:rPr>
          <w:noProof/>
        </w:rPr>
        <w:t>o skutočné výdavky</w:t>
      </w:r>
      <w:r>
        <w:rPr>
          <w:rStyle w:val="FootnoteReference"/>
          <w:rFonts w:cs="Times New Roman"/>
          <w:noProof/>
        </w:rPr>
        <w:footnoteReference w:id="12"/>
      </w:r>
      <w:r>
        <w:rPr>
          <w:noProof/>
        </w:rPr>
        <w:t>a všetky EŠIF spolu, 27 % dostupného rozpočtu sa vyplatilo členským štátom do konca decembra 2018 (36 % do konca októbra 2019). Táto úroveň vykázaných výdavkov je nižšia ako v predchádzajúcich obdobiach a naznačuje, že je na úrovni člens</w:t>
      </w:r>
      <w:r>
        <w:rPr>
          <w:noProof/>
        </w:rPr>
        <w:t>kých štátov stále potrebné dôraznejšie sa zamerať na výdavky</w:t>
      </w:r>
      <w:r>
        <w:rPr>
          <w:rStyle w:val="FootnoteReference"/>
          <w:rFonts w:cs="Times New Roman"/>
          <w:noProof/>
        </w:rPr>
        <w:footnoteReference w:id="13"/>
      </w:r>
      <w:r>
        <w:rPr>
          <w:noProof/>
        </w:rPr>
        <w:t>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Pokiaľ ide o vykonávanie finančných nástrojov, sumy programov vo vybraných operáciách finančných nástrojov do konca roku 2018 dosiahli 21,9 miliardy EUR, čo predstavuje približne 77 % súm pláno</w:t>
      </w:r>
      <w:r>
        <w:rPr>
          <w:noProof/>
        </w:rPr>
        <w:t>vaných v programoch na túto formu podpory. Potvrdzuje sa tým, že väčšina finančných nástrojov prináša praktické výsledky.</w:t>
      </w:r>
    </w:p>
    <w:p w:rsidR="00B14F24" w:rsidRDefault="005F107E">
      <w:pPr>
        <w:pStyle w:val="Heading2"/>
        <w:rPr>
          <w:noProof/>
        </w:rPr>
      </w:pPr>
      <w:bookmarkStart w:id="84" w:name="_Toc493149329"/>
      <w:bookmarkStart w:id="85" w:name="_Toc493153395"/>
      <w:bookmarkStart w:id="86" w:name="_Toc493153495"/>
      <w:bookmarkStart w:id="87" w:name="_Toc493153748"/>
      <w:bookmarkStart w:id="88" w:name="_Toc493250393"/>
      <w:bookmarkStart w:id="89" w:name="_Toc493499398"/>
      <w:bookmarkStart w:id="90" w:name="_Toc493499456"/>
      <w:bookmarkStart w:id="91" w:name="_Toc493517104"/>
      <w:bookmarkStart w:id="92" w:name="_Toc493598975"/>
      <w:bookmarkStart w:id="93" w:name="_Toc493604583"/>
      <w:bookmarkStart w:id="94" w:name="_Toc493682269"/>
      <w:bookmarkStart w:id="95" w:name="_Toc493689685"/>
      <w:bookmarkStart w:id="96" w:name="_Toc493760312"/>
      <w:bookmarkStart w:id="97" w:name="_Toc493765792"/>
      <w:bookmarkStart w:id="98" w:name="_Toc493778775"/>
      <w:bookmarkStart w:id="99" w:name="_Toc496777521"/>
      <w:bookmarkStart w:id="100" w:name="_Toc13500381"/>
      <w:bookmarkStart w:id="101" w:name="_Toc13555765"/>
      <w:bookmarkStart w:id="102" w:name="_Toc13571358"/>
      <w:bookmarkStart w:id="103" w:name="_Toc28961376"/>
      <w:r>
        <w:rPr>
          <w:noProof/>
        </w:rPr>
        <w:t>2.2. Výskum, technologický rozvoj a inovácie, IKT a konkurencieschopnosť MSP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V tomto programovom období sa investície do výskumu a ino</w:t>
      </w:r>
      <w:r>
        <w:rPr>
          <w:noProof/>
        </w:rPr>
        <w:t>vácií označili za kľúčovú hnaciu silu rastu a konvergencie. Podpora územného rozvoja vedeného inováciami, najmä prostredníctvom stratégií pre inteligentnú špecializáciu, viedla k prudkému nárastu počtu projektov vybraných v oblasti výskumu, technologického</w:t>
      </w:r>
      <w:r>
        <w:rPr>
          <w:noProof/>
        </w:rPr>
        <w:t xml:space="preserve"> rozvoja a inovácií, IKT a konkurencieschopnosti malých a stredných podnikov (MSP). Do konca roku 2018 dosiahol výber projektov celkový objem vyše 117 miliárd EUR z dostupných 163 miliárd EUR.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V oblasti výskumu, technologického rozvoja a inovácií sa na pro</w:t>
      </w:r>
      <w:r>
        <w:rPr>
          <w:noProof/>
        </w:rPr>
        <w:t xml:space="preserve">jekty spojené s podporou takmer 20 000 nových výskumných pracovníkov vyčlenilo viac ako 42,6 miliardy EUR a pri zavádzaní nových výrobkov na trh pomohlo takmer 30 000 firiem. 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Viac ako 12,3 miliardy EUR sa vyčlenilo na projekty v digitálnom hospodárstve, k</w:t>
      </w:r>
      <w:r>
        <w:rPr>
          <w:noProof/>
        </w:rPr>
        <w:t>toré okrem iného podporujú zavádzanie širokopásmového pripojenia, digitálne verejné služby alebo elektronický obchod. Táto suma v rámci EPFRV zahŕňa 1,5 miliardy EUR na podporu infraštruktúry IKT vo vidieckych oblastiach. 8,3 milióna domácností bude mať pr</w:t>
      </w:r>
      <w:r>
        <w:rPr>
          <w:noProof/>
        </w:rPr>
        <w:t xml:space="preserve">ístup k zlepšenému širokopásmovému pripojeniu. 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Viac ako 62,5 miliardy EUR je vyčlenených na vybrané projekty na podporu konkurencieschopnosti MSP a súvisí s vytvorením väčšiny z 300 000 nových pracovných miest vytvorených v rámci EFRR. Vo vidieckych oblas</w:t>
      </w:r>
      <w:r>
        <w:rPr>
          <w:noProof/>
        </w:rPr>
        <w:t>tiach dostáva finančnú podporu viac ako 130 000 fariem ako pomoc pri reštrukturalizácii, modernizácii a dosahovaní zvýšenia produktivity.</w:t>
      </w:r>
    </w:p>
    <w:p w:rsidR="00B14F24" w:rsidRDefault="005F107E">
      <w:pPr>
        <w:pStyle w:val="ListParagraph"/>
        <w:numPr>
          <w:ilvl w:val="0"/>
          <w:numId w:val="5"/>
        </w:numPr>
        <w:rPr>
          <w:rFonts w:cs="Times New Roman"/>
          <w:noProof/>
        </w:rPr>
      </w:pPr>
      <w:r>
        <w:rPr>
          <w:noProof/>
        </w:rPr>
        <w:t>Európske partnerstvo v oblasti inovácií zamerané na poľnohospodársku produktivitu a udržateľnosť (ďalej len „EIP-AGRI“</w:t>
      </w:r>
      <w:r>
        <w:rPr>
          <w:noProof/>
        </w:rPr>
        <w:t xml:space="preserve">) podporuje 7 730 interaktívnych inovačných projektov. Vedomosti a inovácie získané v rámci projektov EIP-AGRI sa vymieňajú prostredníctvom vnútroštátnych inovačných a vidieckych sietí a siete EIP-AGRI. </w:t>
      </w:r>
    </w:p>
    <w:p w:rsidR="00B14F24" w:rsidRDefault="005F107E">
      <w:pPr>
        <w:pStyle w:val="Heading2"/>
        <w:rPr>
          <w:noProof/>
        </w:rPr>
      </w:pPr>
      <w:bookmarkStart w:id="104" w:name="_Toc493153397"/>
      <w:bookmarkStart w:id="105" w:name="_Toc493153497"/>
      <w:bookmarkStart w:id="106" w:name="_Toc493153750"/>
      <w:bookmarkStart w:id="107" w:name="_Toc493250395"/>
      <w:bookmarkStart w:id="108" w:name="_Toc493499400"/>
      <w:bookmarkStart w:id="109" w:name="_Toc493499458"/>
      <w:bookmarkStart w:id="110" w:name="_Toc493517106"/>
      <w:bookmarkStart w:id="111" w:name="_Toc493598978"/>
      <w:bookmarkStart w:id="112" w:name="_Toc493604585"/>
      <w:bookmarkStart w:id="113" w:name="_Toc493682271"/>
      <w:bookmarkStart w:id="114" w:name="_Toc493689687"/>
      <w:bookmarkStart w:id="115" w:name="_Toc493760314"/>
      <w:bookmarkStart w:id="116" w:name="_Toc493765794"/>
      <w:bookmarkStart w:id="117" w:name="_Toc493778777"/>
      <w:bookmarkStart w:id="118" w:name="_Toc496777523"/>
      <w:bookmarkStart w:id="119" w:name="_Toc13500383"/>
      <w:bookmarkStart w:id="120" w:name="_Toc13555767"/>
      <w:bookmarkStart w:id="121" w:name="_Toc13571360"/>
      <w:bookmarkStart w:id="122" w:name="_Toc493149330"/>
      <w:bookmarkStart w:id="123" w:name="_Toc493153396"/>
      <w:bookmarkStart w:id="124" w:name="_Toc493153496"/>
      <w:bookmarkStart w:id="125" w:name="_Toc493153749"/>
      <w:bookmarkStart w:id="126" w:name="_Toc493250394"/>
      <w:bookmarkStart w:id="127" w:name="_Toc493499399"/>
      <w:bookmarkStart w:id="128" w:name="_Toc493499457"/>
      <w:bookmarkStart w:id="129" w:name="_Toc493517105"/>
      <w:bookmarkStart w:id="130" w:name="_Toc493598976"/>
      <w:bookmarkStart w:id="131" w:name="_Toc493604584"/>
      <w:bookmarkStart w:id="132" w:name="_Toc493682270"/>
      <w:bookmarkStart w:id="133" w:name="_Toc493689686"/>
      <w:bookmarkStart w:id="134" w:name="_Toc493760313"/>
      <w:bookmarkStart w:id="135" w:name="_Toc493765793"/>
      <w:bookmarkStart w:id="136" w:name="_Toc493778776"/>
      <w:bookmarkStart w:id="137" w:name="_Toc496777522"/>
      <w:bookmarkStart w:id="138" w:name="_Toc13500382"/>
      <w:bookmarkStart w:id="139" w:name="_Toc13555766"/>
      <w:bookmarkStart w:id="140" w:name="_Toc13571359"/>
      <w:bookmarkStart w:id="141" w:name="_Toc28961377"/>
      <w:r>
        <w:rPr>
          <w:noProof/>
        </w:rPr>
        <w:t xml:space="preserve">2.3. </w:t>
      </w:r>
      <w:bookmarkStart w:id="142" w:name="_Toc493149331"/>
      <w:r>
        <w:rPr>
          <w:noProof/>
        </w:rPr>
        <w:t>Nízkouhlíkové hospodárstvo, zmena klímy, životn</w:t>
      </w:r>
      <w:r>
        <w:rPr>
          <w:noProof/>
        </w:rPr>
        <w:t>é prostredie, doprava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42"/>
      <w:r>
        <w:rPr>
          <w:noProof/>
        </w:rPr>
        <w:t xml:space="preserve"> a energetika</w:t>
      </w:r>
      <w:bookmarkEnd w:id="141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Na toto programové obdobie sa 20 % rozpočtu EÚ vyčlenilo na opatrenia v oblasti klímy a Komisia navrhla, aby sa tento rozpočet v nasledujúcom rozpočte EÚ zvýšil na 25 %</w:t>
      </w:r>
      <w:r>
        <w:rPr>
          <w:rStyle w:val="FootnoteReference"/>
          <w:rFonts w:cs="Times New Roman"/>
          <w:noProof/>
        </w:rPr>
        <w:footnoteReference w:id="14"/>
      </w:r>
      <w:r>
        <w:rPr>
          <w:noProof/>
        </w:rPr>
        <w:t>. EŠIF zohrávali kľúčovú úlohu pri formovaní zmyslup</w:t>
      </w:r>
      <w:r>
        <w:rPr>
          <w:noProof/>
        </w:rPr>
        <w:t>lnej zmeny. Vďaka vyčleneným sumám a predpokladom pre investície mali EŠIF jasný vplyv na politiku opatrení v oblasti klímy a udržateľného rastu. Do konca roku 2018 bolo na projekty v regiónoch a mestách vyčlenených viac ako 169 miliárd EUR na podporu deka</w:t>
      </w:r>
      <w:r>
        <w:rPr>
          <w:noProof/>
        </w:rPr>
        <w:t>rbonizácie, odolnosti proti zmene klímy a predchádzania rizikám, energetickej účinnosti alebo udržateľnej dopravy.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Na projekty v oblasti nízkouhlíkového hospodárstva spojené so zlepšením spotreby energie vo viac ako 400 000 domácnostiach (na základe podpor</w:t>
      </w:r>
      <w:r>
        <w:rPr>
          <w:noProof/>
        </w:rPr>
        <w:t>y z EFRR) bolo vyčlenených viac ako 31,8 miliardy EUR.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Viac ako 52 miliárd EUR sa poskytlo na projekty v oblasti životného prostredia a efektívneho využívania zdrojov, ktoré súvisia so zabezpečením dodatočnej kapacity recyklácie odpadu viac ako 500 000 ton</w:t>
      </w:r>
      <w:r>
        <w:rPr>
          <w:noProof/>
        </w:rPr>
        <w:t xml:space="preserve"> ročne. Vďaka schváleným projektom bude mať 20 miliónov ľudí prístup k lepšej úprave odpadových vôd.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 xml:space="preserve">Pokiaľ ide o opatrenia v oblasti klímy v poľnohospodárstve (napr. sekvestrácia uhlíka, zníženie emisií skleníkových plynov a amoniaku), dosiahol sa značný </w:t>
      </w:r>
      <w:r>
        <w:rPr>
          <w:noProof/>
        </w:rPr>
        <w:t>pokrok, najmä vzhľadom na skutočnosť, že poľnohospodári sa zapojili do dobrovoľných agroenvironmentálnych programov v oblasti klímy s cieľom rozvíjať riadenie poľnohospodárskych podnikov šetrné k životnému prostrediu. Cieľom je dosiahnuť, aby sa i) 18 % po</w:t>
      </w:r>
      <w:r>
        <w:rPr>
          <w:noProof/>
        </w:rPr>
        <w:t>ľnohospodárskej pôdy EÚ spravovalo podľa zásad biodiverzity; ii) 15 % podľa zásad lepšieho obhospodarovania pôdy a iii) 15 % podľa zásad lepšieho hospodárenia s vodami. Vo všetkých troch prípadoch sa podarilo dosiahnuť viac ako 85 % cieľov.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Podpora digital</w:t>
      </w:r>
      <w:r>
        <w:rPr>
          <w:noProof/>
        </w:rPr>
        <w:t>izácie a dekarbonizácie odvetvia dopravy je prioritou, a to najmä v mestských oblastiach. S viac ako 56 miliardami EUR vyčlenenými na dopravné a energetické siete sa v rámci schválených projektov zabezpečí, okrem iného, viac ako 3 900 km nových alebo rekon</w:t>
      </w:r>
      <w:r>
        <w:rPr>
          <w:noProof/>
        </w:rPr>
        <w:t>štruovaných železničných tratí a viac ako 400 km nových alebo vylepšených tratí električiek alebo metra.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V rámci ENRF sa vyčlenilo 1,25 miliardy EUR na podporu udržateľnej rovnováhy medzi rybárskymi flotilami, dostupných zdrojov a ochrany morských ekosysté</w:t>
      </w:r>
      <w:r>
        <w:rPr>
          <w:noProof/>
        </w:rPr>
        <w:t>mov. Ďalších 428 miliónov EUR bolo vyčlenených na podporu udržateľnej akvakultúry a 625 miliónov EUR na podporu sociálno-ekonomického rozvoja v tomto odvetví. V rámci tohto fondu sa podporilo viac ako 34 000 operácií, z ktorých 2 000 sa týkalo lepšieho ria</w:t>
      </w:r>
      <w:r>
        <w:rPr>
          <w:noProof/>
        </w:rPr>
        <w:t xml:space="preserve">denia území Natura 2000 a viac ako 1 500 sa týkalo iných chránených morských oblastí. </w:t>
      </w:r>
    </w:p>
    <w:p w:rsidR="00B14F24" w:rsidRDefault="00B14F24">
      <w:pPr>
        <w:pStyle w:val="ListParagraph"/>
        <w:spacing w:before="120" w:after="80"/>
        <w:ind w:left="714"/>
        <w:contextualSpacing w:val="0"/>
        <w:rPr>
          <w:rFonts w:cs="Times New Roman"/>
          <w:noProof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B14F24">
        <w:trPr>
          <w:trHeight w:val="557"/>
        </w:trPr>
        <w:tc>
          <w:tcPr>
            <w:tcW w:w="5000" w:type="pct"/>
            <w:shd w:val="clear" w:color="auto" w:fill="D9D9D9" w:themeFill="background1" w:themeFillShade="D9"/>
          </w:tcPr>
          <w:p w:rsidR="00B14F24" w:rsidRDefault="005F107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Uskutočňovanie opatrení v oblasti klímy</w:t>
            </w:r>
          </w:p>
          <w:p w:rsidR="00B14F24" w:rsidRDefault="005F107E">
            <w:pPr>
              <w:spacing w:before="120"/>
              <w:rPr>
                <w:noProof/>
              </w:rPr>
            </w:pPr>
            <w:r>
              <w:rPr>
                <w:noProof/>
              </w:rPr>
              <w:t>EŠIF, najmä prostredníctvom EPFRV, EFRR a Kohézneho fondu, podporujú dlhodobé reakcie na výzvy, ktorým čelia členské štáty a regióny na ceste ku klimaticky neutrálnemu hospodárstvu. Vykonávanie pokračuje dobre: z celkových 115 miliárd EUR plánovaných na op</w:t>
            </w:r>
            <w:r>
              <w:rPr>
                <w:noProof/>
              </w:rPr>
              <w:t>atrenia v oblasti zmeny klímy sa 88,1 miliardy EUR vyčlenilo na projekty do konca roku 2018. Príspevok ESF na ciele v oblasti klímy je päťkrát vyšší ako pôvodne plánovaná suma, najmä prostredníctvom väčšej podpory opatrení v oblasti odbornej prípravy a trh</w:t>
            </w:r>
            <w:r>
              <w:rPr>
                <w:noProof/>
              </w:rPr>
              <w:t xml:space="preserve">u práce spojených so zelenými pracovnými miestami (pozri prílohu 3). </w:t>
            </w:r>
          </w:p>
        </w:tc>
      </w:tr>
    </w:tbl>
    <w:p w:rsidR="00B14F24" w:rsidRDefault="005F107E">
      <w:pPr>
        <w:pStyle w:val="Heading2"/>
        <w:rPr>
          <w:noProof/>
        </w:rPr>
      </w:pPr>
      <w:bookmarkStart w:id="143" w:name="_Toc28961378"/>
      <w:r>
        <w:rPr>
          <w:noProof/>
        </w:rPr>
        <w:t>2.4. Zamestnanosť, sociálne začlenenie, zdravie a vzdelávanie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3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V posledných rokoch sa EÚ výrazne zasadzovala za svoju sociálnu agendu, a to najmä prijatím Európskeho piliera sociálnych p</w:t>
      </w:r>
      <w:r>
        <w:rPr>
          <w:noProof/>
        </w:rPr>
        <w:t>ráv v roku 2017. V tejto súvislosti sa EŠIF, a to najmä ESF, opierali o štrukturálnu reformu vrátane modernizácie verejných služieb, podpory zamestnanosti mladých ľudí a znižovania chudoby a nerovností. Do konca roku 2018 tvorili vybrané projekty dve treti</w:t>
      </w:r>
      <w:r>
        <w:rPr>
          <w:noProof/>
        </w:rPr>
        <w:t>ny celkových pridelených rozpočtových prostriedkov a dosiahli takmer 103 miliárd EUR.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Vybrané projekty na zlepšenie pracovných príležitostí zahŕňajú viac ako 34 miliárd EUR, čoho výsledkom je 23 miliónov ľudí podporovaných z ESF. Do konca roka 2018 si našl</w:t>
      </w:r>
      <w:r>
        <w:rPr>
          <w:noProof/>
        </w:rPr>
        <w:t xml:space="preserve">o prácu 2,1 milióna ľudí, a to aj ako samostatne zárobkovo činné osoby. 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>Okrem ESF vykazuje dobrý pokrok aj iniciatíva na podporu zamestnanosti mladých ľudí, pričom do konca roku 2018 sa na vybrané projekty pridelilo takmer 8,8 miliardy EUR. K rovnakému dá</w:t>
      </w:r>
      <w:r>
        <w:rPr>
          <w:noProof/>
        </w:rPr>
        <w:t>tumu bolo do opatrení podporených iniciatívou na podporu zamestnanosti mladých ľudí zaradených približne 2,7 milióna mladých ľudí:</w:t>
      </w:r>
    </w:p>
    <w:p w:rsidR="00B14F24" w:rsidRDefault="005F107E">
      <w:pPr>
        <w:pStyle w:val="ListParagraph"/>
        <w:numPr>
          <w:ilvl w:val="1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820 000 bolo ponúknuté zamestnanie, ďalšie vzdelávanie, učňovská príprava alebo odborná príprava a</w:t>
      </w:r>
    </w:p>
    <w:p w:rsidR="00B14F24" w:rsidRDefault="005F107E">
      <w:pPr>
        <w:pStyle w:val="ListParagraph"/>
        <w:numPr>
          <w:ilvl w:val="1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viac ako 1,1 milióna osôb,</w:t>
      </w:r>
      <w:r>
        <w:rPr>
          <w:noProof/>
        </w:rPr>
        <w:t xml:space="preserve"> ktoré boli v procese vzdelávania alebo odbornej prípravy, získalo kvalifikáciu alebo získalo zamestnanie vrátane samostatnej zárobkovej činnosti. 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 xml:space="preserve">Pokiaľ ide o sociálne začlenenie, na ktoré ESF prispieva najviac, predstavujú doteraz vybrané projekty viac </w:t>
      </w:r>
      <w:r>
        <w:rPr>
          <w:noProof/>
        </w:rPr>
        <w:t>ako 36 miliárd EUR. Do konca roku 2018 dostalo 1,8 milióna účastníkov so zdravotným postihnutím, 3,6 milióna migrantov, účastníkov s cudzím pôvodom alebo príslušníkov menšín a 4,2 milióna ďalších znevýhodnených ľudí pomoc pri zlepšovaní ich pracovných príl</w:t>
      </w:r>
      <w:r>
        <w:rPr>
          <w:noProof/>
        </w:rPr>
        <w:t>ežitostí a pri rozvoji vhodných zručností pre trh práce. V rámci EPFRV sa podporilo aj viac ako 60 000 akcií zameraných na sociálne začlenenie vo vidieckych oblastiach.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ind w:left="714" w:hanging="357"/>
        <w:contextualSpacing w:val="0"/>
        <w:rPr>
          <w:rFonts w:cs="Times New Roman"/>
          <w:noProof/>
        </w:rPr>
      </w:pPr>
      <w:r>
        <w:rPr>
          <w:noProof/>
        </w:rPr>
        <w:t xml:space="preserve">Pokrok sa zaznamenal aj pri investíciách do opatrení týkajúcich sa zdravia. Doteraz sa </w:t>
      </w:r>
      <w:r>
        <w:rPr>
          <w:noProof/>
        </w:rPr>
        <w:t>investovalo viac ako 8 miliárd EUR do viac ako 7 000 projektov týkajúcich sa zdravia (riešenie nerovností v oblasti zdravotnej starostlivosti, reforma systémov zdravotníctva, podpora elektronického zdravotníctva, výskum a inovácie). Celkovo sa vybrané proj</w:t>
      </w:r>
      <w:r>
        <w:rPr>
          <w:noProof/>
        </w:rPr>
        <w:t>ekty zameriavajú na zlepšenie zdravotníckych služieb pre viac ako 60 miliónov ľudí.</w:t>
      </w:r>
    </w:p>
    <w:p w:rsidR="00B14F24" w:rsidRDefault="005F107E">
      <w:pPr>
        <w:pStyle w:val="ListParagraph"/>
        <w:numPr>
          <w:ilvl w:val="0"/>
          <w:numId w:val="5"/>
        </w:numPr>
        <w:spacing w:before="120" w:after="80"/>
        <w:contextualSpacing w:val="0"/>
        <w:rPr>
          <w:rFonts w:cs="Times New Roman"/>
          <w:noProof/>
        </w:rPr>
      </w:pPr>
      <w:r>
        <w:rPr>
          <w:noProof/>
        </w:rPr>
        <w:t>Pokiaľ ide o vzdelávanie a odbornú prípravu, na konkrétne projekty sa vyčlenilo 28,3 miliardy EUR. Do konca roka 2018 sa vďaka podpore ESF pomohlo 11,6 milióna ľuďom s nízk</w:t>
      </w:r>
      <w:r>
        <w:rPr>
          <w:noProof/>
        </w:rPr>
        <w:t xml:space="preserve">ou kvalifikáciou, 3,4 milióna získalo kvalifikáciu a 1,2 milióna sa zúčastnilo na procese vzdelávania a odbornej prípravy. Vďaka investíciám z EFRR viac ako 8 miliónov ľudí bude môcť využívať kvalitnejšie zariadenia starostlivosti o deti alebo vzdelávacie </w:t>
      </w:r>
      <w:r>
        <w:rPr>
          <w:noProof/>
        </w:rPr>
        <w:t>zariadenia. Vo vidieckych oblastiach sa prostredníctvom EPFRV podporilo viac ako milión aktivít odborného vzdelávania.</w:t>
      </w:r>
    </w:p>
    <w:p w:rsidR="00B14F24" w:rsidRDefault="00B14F24">
      <w:pPr>
        <w:pStyle w:val="ListParagraph"/>
        <w:spacing w:before="120" w:after="80"/>
        <w:ind w:left="714"/>
        <w:contextualSpacing w:val="0"/>
        <w:rPr>
          <w:rFonts w:cs="Times New Roman"/>
          <w:noProof/>
        </w:rPr>
      </w:pPr>
    </w:p>
    <w:p w:rsidR="00B14F24" w:rsidRDefault="005F107E">
      <w:pPr>
        <w:pStyle w:val="Heading1"/>
        <w:rPr>
          <w:noProof/>
        </w:rPr>
      </w:pPr>
      <w:bookmarkStart w:id="144" w:name="_Toc493598982"/>
      <w:bookmarkStart w:id="145" w:name="_Toc493604588"/>
      <w:bookmarkStart w:id="146" w:name="_Toc493682273"/>
      <w:bookmarkStart w:id="147" w:name="_Toc493689689"/>
      <w:bookmarkStart w:id="148" w:name="_Toc493760316"/>
      <w:bookmarkStart w:id="149" w:name="_Toc493765796"/>
      <w:bookmarkStart w:id="150" w:name="_Toc493778779"/>
      <w:bookmarkStart w:id="151" w:name="_Toc496777525"/>
      <w:bookmarkStart w:id="152" w:name="_Toc13500384"/>
      <w:bookmarkStart w:id="153" w:name="_Toc13555768"/>
      <w:bookmarkStart w:id="154" w:name="_Toc13571361"/>
      <w:bookmarkStart w:id="155" w:name="_Toc483217496"/>
      <w:bookmarkStart w:id="156" w:name="_Toc493149337"/>
      <w:bookmarkStart w:id="157" w:name="_Toc493153402"/>
      <w:bookmarkStart w:id="158" w:name="_Toc493153503"/>
      <w:bookmarkStart w:id="159" w:name="_Toc493153756"/>
      <w:bookmarkStart w:id="160" w:name="_Toc493250399"/>
      <w:bookmarkStart w:id="161" w:name="_Toc493499404"/>
      <w:bookmarkStart w:id="162" w:name="_Toc493499462"/>
      <w:bookmarkStart w:id="163" w:name="_Toc493517109"/>
      <w:bookmarkStart w:id="164" w:name="_Toc28961379"/>
      <w:r>
        <w:rPr>
          <w:noProof/>
        </w:rPr>
        <w:t>3. VPLYV HLAVNÝCH REFORIEM V OBDOBÍ ROKOV 2014 – 2020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64"/>
    </w:p>
    <w:p w:rsidR="00B14F24" w:rsidRDefault="005F107E">
      <w:pPr>
        <w:pStyle w:val="Heading2"/>
        <w:rPr>
          <w:i/>
          <w:iCs/>
          <w:caps/>
          <w:noProof/>
        </w:rPr>
      </w:pPr>
      <w:bookmarkStart w:id="165" w:name="_Toc493598983"/>
      <w:bookmarkStart w:id="166" w:name="_Toc493604589"/>
      <w:bookmarkStart w:id="167" w:name="_Toc493682274"/>
      <w:bookmarkStart w:id="168" w:name="_Toc493689690"/>
      <w:bookmarkStart w:id="169" w:name="_Toc493760317"/>
      <w:bookmarkStart w:id="170" w:name="_Toc493765797"/>
      <w:bookmarkStart w:id="171" w:name="_Toc493778780"/>
      <w:bookmarkStart w:id="172" w:name="_Toc496777526"/>
      <w:bookmarkStart w:id="173" w:name="_Toc13500385"/>
      <w:bookmarkStart w:id="174" w:name="_Toc13555769"/>
      <w:bookmarkStart w:id="175" w:name="_Toc13571362"/>
      <w:bookmarkStart w:id="176" w:name="_Toc28961380"/>
      <w:r>
        <w:rPr>
          <w:noProof/>
        </w:rPr>
        <w:t>3.1. Príspevok EŠIF k európskemu semestru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Väčšina štrukturálnych a politických </w:t>
      </w:r>
      <w:r>
        <w:rPr>
          <w:noProof/>
        </w:rPr>
        <w:t>výziev identifikovaných v rámci európskeho semestra sa týka EŠIF. V súčasných programoch sa už zohľadnili štrukturálne výzvy uvedené v odporúčaniach pre jednotlivé krajiny, ktoré sa týkajú investícií. Ako zdôraznili členské štáty vo svojich správach o pokr</w:t>
      </w:r>
      <w:r>
        <w:rPr>
          <w:noProof/>
        </w:rPr>
        <w:t>oku, EŠIF podporili reformy v oblastiach, ako sú ochrana pracovných miest a sociálne politiky, podnikateľské prostredie, výskum a inovácie, efektívnosť využívania energie a zdrojov, telekomunikácie, doprava, zdravotníctvo, vzdelávanie a administratívne ref</w:t>
      </w:r>
      <w:r>
        <w:rPr>
          <w:noProof/>
        </w:rPr>
        <w:t>ormy.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Keďže sa príslušné odporúčania pre jednotlivé krajiny vydané v rokoch 2014 – 2015 týkali najmä oblastí s dlhodobými rozvojovými výzvami, financovanie politiky súdržnosti EÚ je dôsledne zosúladené s investičnými potrebami identifikovanými v odporúčani</w:t>
      </w:r>
      <w:r>
        <w:rPr>
          <w:noProof/>
        </w:rPr>
        <w:t>ach pre jednotlivé krajiny v roku 2019. Tieto odporúčania pre jednotlivé krajiny spolu s tohtoročnými správami o jednotlivých krajinách poskytujú dôkladný analytický rámec na identifikáciu investičných priorít na roky 2021 – 2027.</w:t>
      </w:r>
    </w:p>
    <w:p w:rsidR="00B14F24" w:rsidRDefault="005F107E">
      <w:pPr>
        <w:pStyle w:val="Heading2"/>
        <w:rPr>
          <w:noProof/>
        </w:rPr>
      </w:pPr>
      <w:bookmarkStart w:id="177" w:name="_Toc493598984"/>
      <w:bookmarkStart w:id="178" w:name="_Toc493604590"/>
      <w:bookmarkStart w:id="179" w:name="_Toc493682275"/>
      <w:bookmarkStart w:id="180" w:name="_Toc493689691"/>
      <w:bookmarkStart w:id="181" w:name="_Toc493760318"/>
      <w:bookmarkStart w:id="182" w:name="_Toc493765798"/>
      <w:bookmarkStart w:id="183" w:name="_Toc493778781"/>
      <w:bookmarkStart w:id="184" w:name="_Toc496777527"/>
      <w:bookmarkStart w:id="185" w:name="_Toc13500386"/>
      <w:bookmarkStart w:id="186" w:name="_Toc13555770"/>
      <w:bookmarkStart w:id="187" w:name="_Toc13571363"/>
      <w:bookmarkStart w:id="188" w:name="_Toc28961381"/>
      <w:r>
        <w:rPr>
          <w:noProof/>
        </w:rPr>
        <w:t xml:space="preserve">3.2. 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noProof/>
        </w:rPr>
        <w:t xml:space="preserve">Podmienky financovania: </w:t>
      </w:r>
      <w:r>
        <w:rPr>
          <w:i/>
          <w:iCs/>
          <w:noProof/>
        </w:rPr>
        <w:t>ex ante</w:t>
      </w:r>
      <w:r>
        <w:rPr>
          <w:noProof/>
        </w:rPr>
        <w:t xml:space="preserve"> kondicionality</w:t>
      </w:r>
      <w:bookmarkEnd w:id="185"/>
      <w:bookmarkEnd w:id="186"/>
      <w:bookmarkEnd w:id="187"/>
      <w:bookmarkEnd w:id="188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Jednou z hlavných reforiem v rokoch 2014 – 2020 bolo zavedenie osobitných predpokladov známych ako „</w:t>
      </w:r>
      <w:r>
        <w:rPr>
          <w:i/>
          <w:iCs/>
          <w:noProof/>
        </w:rPr>
        <w:t>ex ante</w:t>
      </w:r>
      <w:r>
        <w:rPr>
          <w:noProof/>
        </w:rPr>
        <w:t xml:space="preserve"> kondicionality“ s cieľom zabezpečiť účinné a efektívne využívanie EŠIF zo strany členských štátov a r</w:t>
      </w:r>
      <w:r>
        <w:rPr>
          <w:noProof/>
        </w:rPr>
        <w:t xml:space="preserve">egiónov. Proces stanovenia </w:t>
      </w:r>
      <w:r>
        <w:rPr>
          <w:i/>
          <w:iCs/>
          <w:noProof/>
        </w:rPr>
        <w:t>ex ante</w:t>
      </w:r>
      <w:r>
        <w:rPr>
          <w:noProof/>
        </w:rPr>
        <w:t xml:space="preserve"> kondicionalít na roky 2014 – 2020 sa už dokončil.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Vo všeobecnosti sa </w:t>
      </w:r>
      <w:r>
        <w:rPr>
          <w:i/>
          <w:iCs/>
          <w:noProof/>
        </w:rPr>
        <w:t>ex ante</w:t>
      </w:r>
      <w:r>
        <w:rPr>
          <w:noProof/>
        </w:rPr>
        <w:t xml:space="preserve"> kondicionality osvedčili ako užitočný nástroj politiky, najmä tým, že prispeli k zlepšeniu investičného prostredia v EÚ a stimulovali začatie n</w:t>
      </w:r>
      <w:r>
        <w:rPr>
          <w:noProof/>
        </w:rPr>
        <w:t>iekoľkých štrukturálnych reforiem</w:t>
      </w:r>
      <w:r>
        <w:rPr>
          <w:rStyle w:val="FootnoteReference"/>
          <w:rFonts w:cs="Times New Roman"/>
          <w:noProof/>
        </w:rPr>
        <w:footnoteReference w:id="15"/>
      </w:r>
      <w:r>
        <w:rPr>
          <w:noProof/>
        </w:rPr>
        <w:t>. V nasledujúcom programovom období Komisia vo svojom návrhu nariadenia, ktorým sa stanovujú spoločné ustanovenia</w:t>
      </w:r>
      <w:r>
        <w:rPr>
          <w:rStyle w:val="FootnoteReference"/>
          <w:rFonts w:cs="Times New Roman"/>
          <w:noProof/>
        </w:rPr>
        <w:footnoteReference w:id="16"/>
      </w:r>
      <w:r>
        <w:rPr>
          <w:noProof/>
        </w:rPr>
        <w:t xml:space="preserve"> („návrh všeobecného nariadenia na roky 2021 – 2027“), navrhuje, aby sa v tomto mechanizme pokračovalo a aby</w:t>
      </w:r>
      <w:r>
        <w:rPr>
          <w:noProof/>
        </w:rPr>
        <w:t xml:space="preserve"> sa zlepšoval zavedením nového systému základných podmienok s jednoduchšími administratívnymi postupmi a posilnenými požiadavkami na plnenie a následné opatrenia.</w:t>
      </w:r>
    </w:p>
    <w:p w:rsidR="00B14F24" w:rsidRDefault="005F107E">
      <w:pPr>
        <w:pStyle w:val="Heading2"/>
        <w:rPr>
          <w:noProof/>
        </w:rPr>
      </w:pPr>
      <w:bookmarkStart w:id="189" w:name="_Toc28961382"/>
      <w:r>
        <w:rPr>
          <w:noProof/>
        </w:rPr>
        <w:t>3.3. Pravidlo o zrušení viazanosti rozpočtových prostriedkov „N + 3“</w:t>
      </w:r>
      <w:bookmarkEnd w:id="189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Pravidlo o zrušení viaza</w:t>
      </w:r>
      <w:r>
        <w:rPr>
          <w:noProof/>
        </w:rPr>
        <w:t>nosti rozpočtových prostriedkov „N + 3“, podľa ktorého sa môže prísť o viazané financovanie EÚ, ktoré sa nevyčerpalo do troch rokov, sa zaviedlo v nariadení na roky 2014 – 2020 s cieľom nahradiť pravidlo „N + 2“. V roku 2018 sa prvýkrát uplatnilo na všetky</w:t>
      </w:r>
      <w:r>
        <w:rPr>
          <w:noProof/>
        </w:rPr>
        <w:t xml:space="preserve"> členské štáty.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Aj keď sa riadiacim orgánom touto reformou poskytlo viac času na výber a vykonávanie projektov, znížil sa tým tlak na rýchle plnenie rozpočtu. Pravidlo „N + 3“ spolu s postupmi ročnej účtovnej závierky a priebežného ukončenia, ktoré preukáz</w:t>
      </w:r>
      <w:r>
        <w:rPr>
          <w:noProof/>
        </w:rPr>
        <w:t>ali vytváranie nadmernej opatrnosti voči rizikám čistej finančnej opravy, významne prispelo k nízkej úrovni platieb z rozpočtu EÚ členským štátom. Postupný návrat k pravidlu „N + 2“, ako ho navrhuje Komisia na programové obdobie rokov 2021 – 2027, spolu s </w:t>
      </w:r>
      <w:r>
        <w:rPr>
          <w:noProof/>
        </w:rPr>
        <w:t>komplexnými zjednodušujúcimi opatreniami a opatreniami na zachovanie riadenia a kontroly, by mal viesť k rýchlejšiemu vykonávaniu v prospech európskych občanov.</w:t>
      </w:r>
      <w:bookmarkStart w:id="190" w:name="_Toc483217498"/>
      <w:bookmarkStart w:id="191" w:name="_Toc493149338"/>
      <w:bookmarkStart w:id="192" w:name="_Toc493153403"/>
      <w:bookmarkStart w:id="193" w:name="_Toc493153504"/>
      <w:bookmarkStart w:id="194" w:name="_Toc493153757"/>
      <w:bookmarkStart w:id="195" w:name="_Toc493250400"/>
      <w:bookmarkStart w:id="196" w:name="_Toc493499405"/>
      <w:bookmarkStart w:id="197" w:name="_Toc493499463"/>
      <w:bookmarkStart w:id="198" w:name="_Toc493517110"/>
      <w:bookmarkStart w:id="199" w:name="_Toc493598985"/>
      <w:bookmarkStart w:id="200" w:name="_Toc493604591"/>
      <w:bookmarkStart w:id="201" w:name="_Toc493682276"/>
      <w:bookmarkStart w:id="202" w:name="_Toc493689692"/>
      <w:bookmarkStart w:id="203" w:name="_Toc493760319"/>
      <w:bookmarkStart w:id="204" w:name="_Toc493765799"/>
      <w:bookmarkStart w:id="205" w:name="_Toc493778782"/>
      <w:bookmarkStart w:id="206" w:name="_Toc496777528"/>
      <w:bookmarkStart w:id="207" w:name="_Toc13500387"/>
      <w:bookmarkStart w:id="208" w:name="_Toc13555771"/>
      <w:bookmarkStart w:id="209" w:name="_Toc13571364"/>
    </w:p>
    <w:p w:rsidR="00B14F24" w:rsidRDefault="005F107E">
      <w:pPr>
        <w:pStyle w:val="Heading2"/>
        <w:rPr>
          <w:noProof/>
        </w:rPr>
      </w:pPr>
      <w:bookmarkStart w:id="210" w:name="_Toc28961383"/>
      <w:r>
        <w:rPr>
          <w:noProof/>
        </w:rPr>
        <w:t>3.4. Výkonnostný rámec</w:t>
      </w:r>
      <w:bookmarkEnd w:id="210"/>
    </w:p>
    <w:p w:rsidR="00B14F24" w:rsidRDefault="005F107E">
      <w:pPr>
        <w:spacing w:before="120"/>
        <w:rPr>
          <w:rFonts w:cs="Times New Roman"/>
          <w:iCs/>
          <w:noProof/>
        </w:rPr>
      </w:pPr>
      <w:r>
        <w:rPr>
          <w:noProof/>
        </w:rPr>
        <w:t xml:space="preserve">V rámci cieľa Investovanie do rastu a zamestnanosti bolo vyčlenených na </w:t>
      </w:r>
      <w:r>
        <w:rPr>
          <w:noProof/>
        </w:rPr>
        <w:t xml:space="preserve">výkonnostnú rezervu 6 % prostriedkov z EŠIF pridelených na programy. V roku 2019 Komisia preskúmala výkonnosť programov (preskúmanie výkonnosti) a uvoľnila výkonnostnú rezervu na tie priority, ktoré splnili čiastkové ciele v polovici obdobia na konci roku </w:t>
      </w:r>
      <w:r>
        <w:rPr>
          <w:noProof/>
        </w:rPr>
        <w:t xml:space="preserve">2018. </w:t>
      </w:r>
    </w:p>
    <w:p w:rsidR="00B14F24" w:rsidRDefault="005F107E">
      <w:pPr>
        <w:spacing w:before="120"/>
        <w:rPr>
          <w:rFonts w:cs="Times New Roman"/>
          <w:iCs/>
          <w:noProof/>
        </w:rPr>
      </w:pPr>
      <w:r>
        <w:rPr>
          <w:noProof/>
        </w:rPr>
        <w:t>Preskúmanie výkonnosti sa ukázalo ako dobrý spôsob, ako zaviesť výkonnostné stimuly pri vykonávaní politiky. V návrhu všeobecného nariadenia Komisie na roky 2021 – 2027 zostáva prístup založený na výkonnosti, ale ponecháva sa väčší priestor na zváže</w:t>
      </w:r>
      <w:r>
        <w:rPr>
          <w:noProof/>
        </w:rPr>
        <w:t>nie politiky. Preskúmanie bude zahŕňať širšie a kvalitatívnejšie posúdenie výkonnosti programov, pričom sa zohľadnia výzvy zistené v odporúčaniach pre jednotlivé krajiny do roku 2024, sociálno-ekonomická situácia členských štátov alebo regiónov a pokrok pr</w:t>
      </w:r>
      <w:r>
        <w:rPr>
          <w:noProof/>
        </w:rPr>
        <w:t>i dosahovaní čiastkových cieľov v polovici programového obdobia. V návrhu Komisie týkajúcom sa strategických plánov spoločnej poľnohospodárskej politiky (SPP) na roky 2021 – 2027</w:t>
      </w:r>
      <w:r>
        <w:rPr>
          <w:rStyle w:val="FootnoteReference"/>
          <w:rFonts w:cs="Times New Roman"/>
          <w:iCs/>
          <w:noProof/>
        </w:rPr>
        <w:footnoteReference w:id="17"/>
      </w:r>
      <w:r>
        <w:rPr>
          <w:noProof/>
        </w:rPr>
        <w:t xml:space="preserve"> zostáva orientácia na výkonnosť aj naďalej výrazná, pričom oprávnenosť výdav</w:t>
      </w:r>
      <w:r>
        <w:rPr>
          <w:noProof/>
        </w:rPr>
        <w:t>kov je spojená s dosahovaním výstupov priamo na mieste.</w:t>
      </w:r>
    </w:p>
    <w:p w:rsidR="00B14F24" w:rsidRDefault="005F107E">
      <w:pPr>
        <w:pStyle w:val="Heading2"/>
        <w:rPr>
          <w:noProof/>
        </w:rPr>
      </w:pPr>
      <w:bookmarkStart w:id="211" w:name="_Toc28961384"/>
      <w:r>
        <w:rPr>
          <w:noProof/>
        </w:rPr>
        <w:t>3.5. Podpora integrovaného územného rozvoja</w:t>
      </w:r>
      <w:bookmarkEnd w:id="211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EŠIF sú hlavným nástrojom EÚ na podporu integrovaného územného rozvoja v členských štátoch a regiónoch. Financovanie z EÚ dostáva viac ako 3 800 územných, m</w:t>
      </w:r>
      <w:r>
        <w:rPr>
          <w:noProof/>
        </w:rPr>
        <w:t>estských a miestnych stratégií. EŠIF navyše pomáhajú členským štátom pri vykonávaní opatrení zameraných na potreby špecifických území, ako sú oblasti zasiahnuté chudobou alebo sociálnym vylúčením, riedko osídlené oblasti, horské oblasti, ostrovy a najvzdia</w:t>
      </w:r>
      <w:r>
        <w:rPr>
          <w:noProof/>
        </w:rPr>
        <w:t>lenejšie regióny. Tento individuálny prístup sa posilnil v návrhu všeobecného nariadenia Komisie na roky 2021 – 2027, najmä výraznejším zameraním na funkčné územia (napr. povodia riek, pobrežné oblasti, pohoria atď.) na prekonanie administratívnych prekážo</w:t>
      </w:r>
      <w:r>
        <w:rPr>
          <w:noProof/>
        </w:rPr>
        <w:t>k a na miestne iniciatívy.</w:t>
      </w:r>
    </w:p>
    <w:p w:rsidR="00B14F24" w:rsidRDefault="005F107E">
      <w:pPr>
        <w:pStyle w:val="Heading3"/>
        <w:rPr>
          <w:noProof/>
        </w:rPr>
      </w:pPr>
      <w:bookmarkStart w:id="212" w:name="_Toc28961385"/>
      <w:r>
        <w:rPr>
          <w:noProof/>
        </w:rPr>
        <w:t>3.5.1. Integrované investície do miest</w:t>
      </w:r>
      <w:bookmarkEnd w:id="212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Dôrazné zameranie na mestské záležitosti v rámci tohto programového obdobia v spojení s jedinečným politickým podnetom, ktorý vyvolala Urbánna agenda pre EÚ</w:t>
      </w:r>
      <w:r>
        <w:rPr>
          <w:rFonts w:cs="Times New Roman"/>
          <w:noProof/>
          <w:vertAlign w:val="superscript"/>
        </w:rPr>
        <w:footnoteReference w:id="18"/>
      </w:r>
      <w:r>
        <w:rPr>
          <w:noProof/>
        </w:rPr>
        <w:t>, umožnilo mestám vypracovať vlas</w:t>
      </w:r>
      <w:r>
        <w:rPr>
          <w:noProof/>
        </w:rPr>
        <w:t>tné integrované mestské stratégie s podporou EŠIF. Z 81 miliárd EUR investovaných do mestských oblastí do konca roku 2018 si mestá vybrali projekty v hodnote približne 10,8 miliardy EUR, ktoré sa majú realizovať prostredníctvom viac ako 900 integrovaných m</w:t>
      </w:r>
      <w:r>
        <w:rPr>
          <w:noProof/>
        </w:rPr>
        <w:t>estských stratégií. Za zmienku stojí aj úspech iniciatívy v oblasti mestských inovačných opatrení, ktorá pomohla mestským oblastiam vyskúšať inovačné riešenia pre udržateľný rozvoj miest prostredníctvom 75 opatrení</w:t>
      </w:r>
      <w:r>
        <w:rPr>
          <w:rFonts w:cs="Times New Roman"/>
          <w:noProof/>
          <w:vertAlign w:val="superscript"/>
        </w:rPr>
        <w:footnoteReference w:id="19"/>
      </w:r>
      <w:r>
        <w:rPr>
          <w:noProof/>
        </w:rPr>
        <w:t>.</w:t>
      </w:r>
    </w:p>
    <w:p w:rsidR="00B14F24" w:rsidRDefault="005F107E">
      <w:pPr>
        <w:pStyle w:val="Heading3"/>
        <w:rPr>
          <w:noProof/>
        </w:rPr>
      </w:pPr>
      <w:bookmarkStart w:id="213" w:name="_Toc28961386"/>
      <w:r>
        <w:rPr>
          <w:noProof/>
        </w:rPr>
        <w:t>3.5.2. Zavádzanie územných nástrojov</w:t>
      </w:r>
      <w:bookmarkEnd w:id="213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Za</w:t>
      </w:r>
      <w:r>
        <w:rPr>
          <w:noProof/>
        </w:rPr>
        <w:t xml:space="preserve">viedli sa integrované územné investície (ďalej len „IÚI“) a nástroj miestneho rozvoja vedeného komunitou s cieľom povzbudiť stratégie integrovaného územného rozvoja nad rámec tradičných vnútroštátnych a regionálnych úrovní.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IÚI sa použili na realizáciu vi</w:t>
      </w:r>
      <w:r>
        <w:rPr>
          <w:noProof/>
        </w:rPr>
        <w:t>ac ako 200 mestských stratégií a 120 územných stratégií, pričom sa mobilizovalo celkovo 15,9 miliardy EUR z finančných prostriedkov EŠIF. Nástroj miestneho rozvoja vedeného komunitou, ktorý vychádza z metódy LEADER</w:t>
      </w:r>
      <w:r>
        <w:rPr>
          <w:rStyle w:val="FootnoteReference"/>
          <w:rFonts w:cs="Times New Roman"/>
          <w:noProof/>
        </w:rPr>
        <w:footnoteReference w:id="20"/>
      </w:r>
      <w:r>
        <w:rPr>
          <w:noProof/>
        </w:rPr>
        <w:t>, pomohol mobilizovať celkom 9,1 miliardy</w:t>
      </w:r>
      <w:r>
        <w:rPr>
          <w:noProof/>
        </w:rPr>
        <w:t xml:space="preserve"> EUR z finančných prostriedkov EŠIF. Doteraz sa v celej EÚ zriadilo viac ako 3 000 miestnych akčných skupín zodpovedných za mobilizáciu miestnych komunít a vykonávanie stratégií miestneho rozvoja vedeného komunitou. V mnohých prípadoch IÚI a miestny rozvoj</w:t>
      </w:r>
      <w:r>
        <w:rPr>
          <w:noProof/>
        </w:rPr>
        <w:t xml:space="preserve"> vedený komunitou čelili pomalému štartu z dôvodu potreby najprv pripraviť zastrešujúce stratégie a ťažkostí s kombinovaním rôznych fondov. Správy o pokroku však ukazujú celkové nadšenie pre tieto nástroje: pomohli prekonať ťažkosti s realizáciou opatrení </w:t>
      </w:r>
      <w:r>
        <w:rPr>
          <w:noProof/>
        </w:rPr>
        <w:t xml:space="preserve">na rozvoj miest vo viacerých odvetviach a lepšie riešiť územné potreby.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Nový politický prístup, ktorý zaviedla Komisia vo svojom návrhu všeobecného nariadenia na roky 2021 – 2027, vychádza z pozitívnych skúseností IÚI a miestneho rozvoja vedeného komunito</w:t>
      </w:r>
      <w:r>
        <w:rPr>
          <w:noProof/>
        </w:rPr>
        <w:t>u a zjednodušuje a zefektívňuje územné investície. Okrem toho podľa návrhu Komisie týkajúceho sa strategických cieľov SPP na roky 2021 – 2027 by program LEADER zostal aj naďalej povinný a vyhradilo by sa naň najmenej 5 % z celkového príspevku EPFRV na tiet</w:t>
      </w:r>
      <w:r>
        <w:rPr>
          <w:noProof/>
        </w:rPr>
        <w:t>o plány.</w:t>
      </w:r>
    </w:p>
    <w:p w:rsidR="00B14F24" w:rsidRDefault="005F107E">
      <w:pPr>
        <w:pStyle w:val="Heading3"/>
        <w:rPr>
          <w:noProof/>
        </w:rPr>
      </w:pPr>
      <w:bookmarkStart w:id="214" w:name="_Toc28961387"/>
      <w:r>
        <w:rPr>
          <w:noProof/>
        </w:rPr>
        <w:t>3.5.3. Územná spolupráca</w:t>
      </w:r>
      <w:bookmarkEnd w:id="214"/>
      <w:r>
        <w:rPr>
          <w:noProof/>
        </w:rPr>
        <w:t xml:space="preserve">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Programy európskej územnej spolupráce (ďalej len „Interreg“) sa vykonávajú na cezhraničnej, nadnárodnej a medziregionálnej úrovni. Výber projektov napredoval vo všetkých programoch Interreg, pričom na konci roku 2018 pred</w:t>
      </w:r>
      <w:r>
        <w:rPr>
          <w:noProof/>
        </w:rPr>
        <w:t>stavovalo financovanie približne 9,7 miliardy EUR. Medzi hlavné podporované odvetvia patrí ochrana životného prostredia a efektívnosť využívania zdrojov (napr. predchádzanie povodniam, protipožiarna ochrana, ochrana prírody) a výskum, vývoj a inovácie (nap</w:t>
      </w:r>
      <w:r>
        <w:rPr>
          <w:noProof/>
        </w:rPr>
        <w:t>r. cezhraničné klastre, inovačné siete). V posledných dvoch rokoch sa venovala väčšia pozornosť aj odstraňovaniu právnych, administratívnych a inštitucionálnych prekážok, ktoré brzdia investície a hospodársky rozvoj v pohraničných regiónoch. Komisia naprík</w:t>
      </w:r>
      <w:r>
        <w:rPr>
          <w:noProof/>
        </w:rPr>
        <w:t>lad zriadila špecializované pohraničné kontaktné miesta, ktoré majú pomôcť prekonať tieto prekážky v konkrétnych oblastiach, ako sú doprava, trh práce, zdravie a vzdelávanie</w:t>
      </w:r>
      <w:r>
        <w:rPr>
          <w:rStyle w:val="FootnoteReference"/>
          <w:rFonts w:cs="Times New Roman"/>
          <w:noProof/>
        </w:rPr>
        <w:footnoteReference w:id="21"/>
      </w:r>
      <w:r>
        <w:rPr>
          <w:noProof/>
        </w:rPr>
        <w:t xml:space="preserve">. </w:t>
      </w:r>
    </w:p>
    <w:p w:rsidR="00B14F24" w:rsidRDefault="005F107E">
      <w:pPr>
        <w:spacing w:before="120"/>
        <w:rPr>
          <w:rFonts w:cs="Times New Roman"/>
          <w:b/>
          <w:bCs/>
          <w:noProof/>
        </w:rPr>
      </w:pPr>
      <w:r>
        <w:rPr>
          <w:noProof/>
        </w:rPr>
        <w:t>Pokiaľ ide o makroregionálne stratégie EÚ, v druhej správe Komisie</w:t>
      </w:r>
      <w:r>
        <w:rPr>
          <w:rFonts w:cs="Times New Roman"/>
          <w:noProof/>
          <w:vertAlign w:val="superscript"/>
        </w:rPr>
        <w:footnoteReference w:id="22"/>
      </w:r>
      <w:r>
        <w:rPr>
          <w:noProof/>
        </w:rPr>
        <w:t xml:space="preserve"> sa zdôrazni</w:t>
      </w:r>
      <w:r>
        <w:rPr>
          <w:noProof/>
        </w:rPr>
        <w:t>l pozitívny vplyv makroregionálneho prístupu, najmä na zvýšenie povedomia o spoločných výzvach vo funkčných oblastiach (napr. funkčné mestské oblasti, povodia riek, pobrežné oblasti, pohoria atď.). V správe Komisie sa však zistilo, že v niektorých zúčastne</w:t>
      </w:r>
      <w:r>
        <w:rPr>
          <w:noProof/>
        </w:rPr>
        <w:t>ných členských štátoch chýba zodpovednosť za stratégie, čo vedie k nedostatočnému prideleniu administratívnych a technických zdrojov. Správy predložené členskými štátmi napriek tomu ukazujú, že makroregionálne stratégie sa do programov EŠIF stále viac začl</w:t>
      </w:r>
      <w:r>
        <w:rPr>
          <w:noProof/>
        </w:rPr>
        <w:t>eňujú. Aby tento vývoj pokračoval, Komisia odporučila zúčastneným členským štátom, aby zohľadnili priority makroregionálnych stratégií v programových dokumentoch EŠIF na roky 2021 – 2027. Rada Európskej únie toto odporúčanie podporila.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B14F24" w:rsidRDefault="005F107E">
      <w:pPr>
        <w:pStyle w:val="Heading1"/>
        <w:rPr>
          <w:noProof/>
        </w:rPr>
      </w:pPr>
      <w:bookmarkStart w:id="215" w:name="_Toc493598992"/>
      <w:bookmarkStart w:id="216" w:name="_Toc493604597"/>
      <w:bookmarkStart w:id="217" w:name="_Toc493682282"/>
      <w:bookmarkStart w:id="218" w:name="_Toc493689698"/>
      <w:bookmarkStart w:id="219" w:name="_Toc493760325"/>
      <w:bookmarkStart w:id="220" w:name="_Toc493765805"/>
      <w:bookmarkStart w:id="221" w:name="_Toc493778788"/>
      <w:bookmarkStart w:id="222" w:name="_Toc496777533"/>
      <w:bookmarkStart w:id="223" w:name="_Toc13500392"/>
      <w:bookmarkStart w:id="224" w:name="_Toc13555776"/>
      <w:bookmarkStart w:id="225" w:name="_Toc13571369"/>
      <w:bookmarkStart w:id="226" w:name="_Toc493149348"/>
      <w:bookmarkStart w:id="227" w:name="_Toc493153413"/>
      <w:bookmarkStart w:id="228" w:name="_Toc493153514"/>
      <w:bookmarkStart w:id="229" w:name="_Toc493153767"/>
      <w:bookmarkStart w:id="230" w:name="_Toc493250408"/>
      <w:bookmarkStart w:id="231" w:name="_Toc493499412"/>
      <w:bookmarkStart w:id="232" w:name="_Toc493499469"/>
      <w:bookmarkStart w:id="233" w:name="_Toc493517117"/>
      <w:bookmarkStart w:id="234" w:name="_Toc28961388"/>
      <w:r>
        <w:rPr>
          <w:noProof/>
        </w:rPr>
        <w:t xml:space="preserve">4. </w:t>
      </w:r>
      <w:bookmarkEnd w:id="215"/>
      <w:r>
        <w:rPr>
          <w:noProof/>
        </w:rPr>
        <w:t>LEPŠIE RIADENIE P</w:t>
      </w:r>
      <w:r>
        <w:rPr>
          <w:noProof/>
        </w:rPr>
        <w:t>ROGRAMOV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34"/>
    </w:p>
    <w:p w:rsidR="00B14F24" w:rsidRDefault="005F107E">
      <w:pPr>
        <w:pStyle w:val="Heading2"/>
        <w:rPr>
          <w:noProof/>
        </w:rPr>
      </w:pPr>
      <w:bookmarkStart w:id="235" w:name="_Toc493598993"/>
      <w:bookmarkStart w:id="236" w:name="_Toc493604598"/>
      <w:bookmarkStart w:id="237" w:name="_Toc493682283"/>
      <w:bookmarkStart w:id="238" w:name="_Toc493689699"/>
      <w:bookmarkStart w:id="239" w:name="_Toc493760326"/>
      <w:bookmarkStart w:id="240" w:name="_Toc493765806"/>
      <w:bookmarkStart w:id="241" w:name="_Toc493778789"/>
      <w:bookmarkStart w:id="242" w:name="_Toc496777534"/>
      <w:bookmarkStart w:id="243" w:name="_Toc13500393"/>
      <w:bookmarkStart w:id="244" w:name="_Toc13555777"/>
      <w:bookmarkStart w:id="245" w:name="_Toc13571370"/>
      <w:bookmarkStart w:id="246" w:name="_Toc28961389"/>
      <w:r>
        <w:rPr>
          <w:noProof/>
        </w:rPr>
        <w:t>4.1. Kapacita orgánov a prijímateľov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>
        <w:rPr>
          <w:noProof/>
        </w:rPr>
        <w:t xml:space="preserve">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Komisia sprístupnila širokú škálu osobitných nástrojov</w:t>
      </w:r>
      <w:r>
        <w:rPr>
          <w:rStyle w:val="FootnoteReference"/>
          <w:rFonts w:cs="Times New Roman"/>
          <w:noProof/>
        </w:rPr>
        <w:footnoteReference w:id="23"/>
      </w:r>
      <w:r>
        <w:rPr>
          <w:noProof/>
        </w:rPr>
        <w:t xml:space="preserve"> na podporu úsilia členských štátov s cieľom zabezpečiť, aby mali orgány zodpovedné za programy a ich prijímatelia dostatočné administratívne kapacity na efektívne využívanie EŠIF. Táto podpora siaha od riešenia krátkodobých prekážok – napríklad zvyšovaním</w:t>
      </w:r>
      <w:r>
        <w:rPr>
          <w:noProof/>
        </w:rPr>
        <w:t xml:space="preserve"> úrovne zručností zamestnancov zaoberajúcich sa verejným obstarávaním a štátnou pomocou – až po vypracovanie strategickejších a na mieru šitých opatrení pri budovaní administratívnych kapacít. Napríklad do konca roku 2018 sa 2 600 účastníkov zo všetkých čl</w:t>
      </w:r>
      <w:r>
        <w:rPr>
          <w:noProof/>
        </w:rPr>
        <w:t>enských štátov zúčastnilo na viac ako 170 pracovných seminároch, študijných pobytoch a misiách expertov v rámci platformy „TAIEX-REGIO Peer2Peer“. Medzi ďalšie iniciatívy v roku 2018 patrí zavedenie rámca kompetencií a nástroja sebahodnotenia, ktorý má pom</w:t>
      </w:r>
      <w:r>
        <w:rPr>
          <w:noProof/>
        </w:rPr>
        <w:t xml:space="preserve">ôcť správnym orgánom identifikovať a riešiť medzery v oblasti kompetencií.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V digitálnej oblasti je už plne funkčná sieť úradov pre širokopásmové právomoci (BCO)</w:t>
      </w:r>
      <w:r>
        <w:rPr>
          <w:rStyle w:val="FootnoteReference"/>
          <w:rFonts w:cs="Times New Roman"/>
          <w:noProof/>
        </w:rPr>
        <w:footnoteReference w:id="24"/>
      </w:r>
      <w:r>
        <w:rPr>
          <w:noProof/>
        </w:rPr>
        <w:t>. Združuje 113 vnútroštátnych a regionálnych verejných orgánov a subjektov podporujúcich zavád</w:t>
      </w:r>
      <w:r>
        <w:rPr>
          <w:noProof/>
        </w:rPr>
        <w:t>zanie širokopásmového pripojenia vo všetkých členských štátoch. S podporou Komisie si úrady pre širokopásmové právomoci vymieňajú vedomosti, osvedčené postupy a skúsenosti pri prekonávaní spoločných problémov pri navrhovaní a vykonávaní stratégií a projekt</w:t>
      </w:r>
      <w:r>
        <w:rPr>
          <w:noProof/>
        </w:rPr>
        <w:t xml:space="preserve">ov v oblasti širokopásmového pripojenia. </w:t>
      </w:r>
    </w:p>
    <w:p w:rsidR="00B14F24" w:rsidRDefault="005F107E">
      <w:pPr>
        <w:pStyle w:val="Heading2"/>
        <w:rPr>
          <w:noProof/>
        </w:rPr>
      </w:pPr>
      <w:bookmarkStart w:id="247" w:name="_Toc493149350"/>
      <w:bookmarkStart w:id="248" w:name="_Toc493153415"/>
      <w:bookmarkStart w:id="249" w:name="_Toc493153516"/>
      <w:bookmarkStart w:id="250" w:name="_Toc493153769"/>
      <w:bookmarkStart w:id="251" w:name="_Toc493250411"/>
      <w:bookmarkStart w:id="252" w:name="_Toc493499413"/>
      <w:bookmarkStart w:id="253" w:name="_Toc493499470"/>
      <w:bookmarkStart w:id="254" w:name="_Toc493517118"/>
      <w:bookmarkStart w:id="255" w:name="_Toc493598994"/>
      <w:bookmarkStart w:id="256" w:name="_Toc493604599"/>
      <w:bookmarkStart w:id="257" w:name="_Toc493682284"/>
      <w:bookmarkStart w:id="258" w:name="_Toc493689700"/>
      <w:bookmarkStart w:id="259" w:name="_Toc493760327"/>
      <w:bookmarkStart w:id="260" w:name="_Toc493765807"/>
      <w:bookmarkStart w:id="261" w:name="_Toc493778790"/>
      <w:bookmarkStart w:id="262" w:name="_Toc496777535"/>
      <w:bookmarkStart w:id="263" w:name="_Toc13500394"/>
      <w:bookmarkStart w:id="264" w:name="_Toc13555778"/>
      <w:bookmarkStart w:id="265" w:name="_Toc13571371"/>
      <w:bookmarkStart w:id="266" w:name="_Toc28961390"/>
      <w:r>
        <w:rPr>
          <w:noProof/>
        </w:rPr>
        <w:t>4.2. Zjednodušenie pre prijímateľov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B14F24" w:rsidRDefault="005F107E">
      <w:pPr>
        <w:pStyle w:val="NormalWeb"/>
        <w:spacing w:before="120" w:after="120"/>
        <w:jc w:val="both"/>
        <w:rPr>
          <w:noProof/>
        </w:rPr>
      </w:pPr>
      <w:r>
        <w:rPr>
          <w:noProof/>
        </w:rPr>
        <w:t>Zmeny niektorých nariadení o EŠIF</w:t>
      </w:r>
      <w:r>
        <w:rPr>
          <w:noProof/>
          <w:vertAlign w:val="superscript"/>
        </w:rPr>
        <w:footnoteReference w:id="25"/>
      </w:r>
      <w:r>
        <w:rPr>
          <w:noProof/>
        </w:rPr>
        <w:t xml:space="preserve"> v júli 2018 poskytli nové príležitosti na zníženie byrokracie pri vykonávaní programov na roky 2014 – 2020. Tieto zmeny zahŕňali širšie využívanie zjednodušeného vykazovania nákladov, čo orgánom umožňuje viac sa zameriavať na výsledky a zároveň zvyšovať p</w:t>
      </w:r>
      <w:r>
        <w:rPr>
          <w:noProof/>
        </w:rPr>
        <w:t xml:space="preserve">rávnu istotu pre všetky zúčastnené strany, viac možností kombinovať zdroje financovania a ďalej znižovať záťaž vyplývajúcu z auditu malých prevádzok, a to rozšírením rozsahu pôsobnosti pravidla „vykonať iba jeden audit“. </w:t>
      </w:r>
    </w:p>
    <w:p w:rsidR="00B14F24" w:rsidRDefault="005F107E">
      <w:pPr>
        <w:pStyle w:val="NormalWeb"/>
        <w:jc w:val="both"/>
        <w:rPr>
          <w:noProof/>
        </w:rPr>
      </w:pPr>
      <w:r>
        <w:rPr>
          <w:noProof/>
        </w:rPr>
        <w:t>Najmä v súvislosti so zjednodušený</w:t>
      </w:r>
      <w:r>
        <w:rPr>
          <w:noProof/>
        </w:rPr>
        <w:t>m vykazovaním nákladov, okrem prebiehajúcej nadnárodnej siete v oblasti ESF, bola v novembri 2018 spustená osobitná platforma, na základe ktorej si orgány môžu vymieňať vedomosti a osvedčené postupy pri zavádzaní zjednodušeného vykazovania nákladov v rámci</w:t>
      </w:r>
      <w:r>
        <w:rPr>
          <w:noProof/>
        </w:rPr>
        <w:t xml:space="preserve"> EFRR a Kohézneho fondu. Zjednodušené vykazovanie nákladov v rámci EPFRV sa výrazne posilňovalo prostredníctvom aktivít v oblasti budovania sietí a kapacít. Pokiaľ ide o ESF, Komisia od augusta 2018 trikrát prijala nové jednotkové náklady a jednorazové pla</w:t>
      </w:r>
      <w:r>
        <w:rPr>
          <w:noProof/>
        </w:rPr>
        <w:t xml:space="preserve">tby pre niekoľko členských štátov vrátane Bulharska a Portugalska. </w:t>
      </w:r>
    </w:p>
    <w:p w:rsidR="00B14F24" w:rsidRDefault="005F107E">
      <w:pPr>
        <w:pStyle w:val="Heading2"/>
        <w:rPr>
          <w:noProof/>
        </w:rPr>
      </w:pPr>
      <w:bookmarkStart w:id="267" w:name="_Toc493682285"/>
      <w:bookmarkStart w:id="268" w:name="_Toc493689701"/>
      <w:bookmarkStart w:id="269" w:name="_Toc493760328"/>
      <w:bookmarkStart w:id="270" w:name="_Toc493765808"/>
      <w:bookmarkStart w:id="271" w:name="_Toc493778791"/>
      <w:bookmarkStart w:id="272" w:name="_Toc496777536"/>
      <w:bookmarkStart w:id="273" w:name="_Toc13500395"/>
      <w:bookmarkStart w:id="274" w:name="_Toc13555779"/>
      <w:bookmarkStart w:id="275" w:name="_Toc13571372"/>
      <w:bookmarkStart w:id="276" w:name="_Toc28961391"/>
      <w:r>
        <w:rPr>
          <w:noProof/>
        </w:rPr>
        <w:t>4.3</w:t>
      </w:r>
      <w:bookmarkStart w:id="277" w:name="_Toc493149351"/>
      <w:bookmarkStart w:id="278" w:name="_Toc493153416"/>
      <w:bookmarkStart w:id="279" w:name="_Toc493153517"/>
      <w:bookmarkStart w:id="280" w:name="_Toc493153770"/>
      <w:bookmarkStart w:id="281" w:name="_Toc493250412"/>
      <w:bookmarkStart w:id="282" w:name="_Toc493499414"/>
      <w:bookmarkStart w:id="283" w:name="_Toc493499471"/>
      <w:bookmarkStart w:id="284" w:name="_Toc493517119"/>
      <w:bookmarkStart w:id="285" w:name="_Toc493598995"/>
      <w:bookmarkStart w:id="286" w:name="_Toc493604600"/>
      <w:r>
        <w:rPr>
          <w:noProof/>
        </w:rPr>
        <w:t>.</w:t>
      </w:r>
      <w:r>
        <w:rPr>
          <w:caps/>
          <w:noProof/>
        </w:rPr>
        <w:t xml:space="preserve"> </w:t>
      </w:r>
      <w:bookmarkStart w:id="287" w:name="_Toc483217515"/>
      <w:r>
        <w:rPr>
          <w:noProof/>
        </w:rPr>
        <w:t xml:space="preserve">Úloha partnerov pri </w:t>
      </w:r>
      <w:bookmarkEnd w:id="287"/>
      <w:r>
        <w:rPr>
          <w:noProof/>
        </w:rPr>
        <w:t>vykonávaní programov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76"/>
    </w:p>
    <w:p w:rsidR="00B14F24" w:rsidRDefault="005F107E">
      <w:pPr>
        <w:rPr>
          <w:noProof/>
        </w:rPr>
      </w:pPr>
      <w:r>
        <w:rPr>
          <w:noProof/>
        </w:rPr>
        <w:t>Spôsob uplatňovania zásady partnerstva sa v jednotlivých členských štátoch líši v závislosti od ich administratívneho a inštitucionálneho uspo</w:t>
      </w:r>
      <w:r>
        <w:rPr>
          <w:noProof/>
        </w:rPr>
        <w:t xml:space="preserve">riadania. Rovnako ako v roku 2017 však správy o pokroku ukazujú celkové úsilie o zapojenie partnerov v súlade s kódexom správania pre partnerstvo. V mnohých členských štátoch boli správy o pokroku prediskutované s partnermi v monitorovacích výboroch alebo </w:t>
      </w:r>
      <w:r>
        <w:rPr>
          <w:noProof/>
        </w:rPr>
        <w:t>na vyhradených fórach. Členské štáty naďalej zapájali partnerov buď prostredníctvom monitorovacích výborov, poradných skupín, konzultácií týkajúcich sa výziev, alebo organizovaním informačných kampaní a seminárov. Napríklad v 11 členských štátoch organizác</w:t>
      </w:r>
      <w:r>
        <w:rPr>
          <w:noProof/>
        </w:rPr>
        <w:t>ie občianskej spoločnosti aktívne monitorujú celý cyklus obstarávania a vykonávania projektov v rámci 17 paktov integrity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financovaných Komisiou v spolupráci s organizáciou Transparency International. Celkovo sa vníma, že zapojenie partnerov má pozitívny </w:t>
      </w:r>
      <w:r>
        <w:rPr>
          <w:noProof/>
        </w:rPr>
        <w:t>vplyv na vykonávanie programu.</w:t>
      </w:r>
    </w:p>
    <w:p w:rsidR="00B14F24" w:rsidRDefault="005F107E">
      <w:pPr>
        <w:pStyle w:val="Heading2"/>
        <w:rPr>
          <w:noProof/>
        </w:rPr>
      </w:pPr>
      <w:bookmarkStart w:id="288" w:name="_Toc493149352"/>
      <w:bookmarkStart w:id="289" w:name="_Toc493153417"/>
      <w:bookmarkStart w:id="290" w:name="_Toc493153518"/>
      <w:bookmarkStart w:id="291" w:name="_Toc493153771"/>
      <w:bookmarkStart w:id="292" w:name="_Toc493250413"/>
      <w:bookmarkStart w:id="293" w:name="_Toc483217519"/>
      <w:bookmarkStart w:id="294" w:name="_Toc493499415"/>
      <w:bookmarkStart w:id="295" w:name="_Toc493499472"/>
      <w:bookmarkStart w:id="296" w:name="_Toc493517120"/>
      <w:bookmarkStart w:id="297" w:name="_Toc493598996"/>
      <w:bookmarkStart w:id="298" w:name="_Toc493604601"/>
      <w:bookmarkStart w:id="299" w:name="_Toc493682286"/>
      <w:bookmarkStart w:id="300" w:name="_Toc493689702"/>
      <w:bookmarkStart w:id="301" w:name="_Toc493760329"/>
      <w:bookmarkStart w:id="302" w:name="_Toc493765809"/>
      <w:bookmarkStart w:id="303" w:name="_Toc493778792"/>
      <w:bookmarkStart w:id="304" w:name="_Toc496777537"/>
      <w:bookmarkStart w:id="305" w:name="_Toc13500396"/>
      <w:bookmarkStart w:id="306" w:name="_Toc13555780"/>
      <w:bookmarkStart w:id="307" w:name="_Toc13571373"/>
      <w:bookmarkStart w:id="308" w:name="_Toc28961392"/>
      <w:r>
        <w:rPr>
          <w:noProof/>
        </w:rPr>
        <w:t>4.4.</w:t>
      </w:r>
      <w:r>
        <w:rPr>
          <w:caps/>
          <w:noProof/>
        </w:rPr>
        <w:t xml:space="preserve"> </w:t>
      </w:r>
      <w:r>
        <w:rPr>
          <w:noProof/>
        </w:rPr>
        <w:t>Vykonávanie horizontálnych zásad a cieľov politík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Komisia naďalej podporuje členské štáty pri vykonávaní horizontálnych cieľov vrátane cieľov v oblasti životného prostredia a klímy – najmä organizovaním pravidelných stre</w:t>
      </w:r>
      <w:r>
        <w:rPr>
          <w:noProof/>
        </w:rPr>
        <w:t>tnutí so zástupcami vnútroštátnych orgánov zodpovedných za oblasť energetiky a životného prostredia a riadiacich orgánov zaoberajúcich sa energetikou alebo životným prostredím – a rodovej rovnosti. V niektorých členských štátoch sa predkladateľom projektov</w:t>
      </w:r>
      <w:r>
        <w:rPr>
          <w:noProof/>
        </w:rPr>
        <w:t xml:space="preserve"> ponúkajú osobitné pozitívne stimuly, ktoré prinášajú inovačný prístup k integrácii rodovej perspektívy. </w:t>
      </w:r>
    </w:p>
    <w:p w:rsidR="00B14F24" w:rsidRDefault="005F107E">
      <w:pPr>
        <w:pStyle w:val="Heading2"/>
        <w:rPr>
          <w:noProof/>
        </w:rPr>
      </w:pPr>
      <w:bookmarkStart w:id="309" w:name="_Toc28961393"/>
      <w:r>
        <w:rPr>
          <w:noProof/>
        </w:rPr>
        <w:t>4.5. Väčší vplyv vďaka lepšej komplementárnosti</w:t>
      </w:r>
      <w:bookmarkEnd w:id="309"/>
    </w:p>
    <w:p w:rsidR="00B14F24" w:rsidRDefault="005F107E">
      <w:pPr>
        <w:spacing w:before="120"/>
        <w:rPr>
          <w:rFonts w:cs="Times New Roman"/>
          <w:i/>
          <w:iCs/>
          <w:noProof/>
          <w:u w:val="single"/>
        </w:rPr>
      </w:pPr>
      <w:r>
        <w:rPr>
          <w:noProof/>
        </w:rPr>
        <w:t>Regulačným rámcom na roky 2014 – 2020 sa posilnila koordinácia medzi EŠIF a ich komplementárnosťou s i</w:t>
      </w:r>
      <w:r>
        <w:rPr>
          <w:noProof/>
        </w:rPr>
        <w:t>nými nástrojmi EÚ. Informácie uvedené v správach o pokroku za rok 2019 ukazujú, že niekoľko členských štátov uplatnilo opatrenia, ako sú napríklad zosúladenie vnútroštátnych pravidiel oprávnenosti, medziodvetvové a medzirezortné dohody spoločné monitorovac</w:t>
      </w:r>
      <w:r>
        <w:rPr>
          <w:noProof/>
        </w:rPr>
        <w:t>ie výbory alebo riešenia IT týkajúce sa programovania a vykonávania viacerých fondov.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 xml:space="preserve">Existujú aj nové projekty, ktoré preukazujú komplementárnosť medzi EŠIF a Európskym fondom pre strategické investície (ďalej len „EFSI“). Medzi príklady patrí letisko na </w:t>
      </w:r>
      <w:r>
        <w:rPr>
          <w:noProof/>
        </w:rPr>
        <w:t>ostrove Réunion, ktoré využilo financovanie z EFRR a EFSI, a lekárske simulačné centrum Lekárskej univerzity v Poznani, kde návratnú podporu z EFSI sprevádzal grant z ESF na pokrytie časti nákladov na vybavenie a zlepšenie kompetencií. Zo správ však tiež v</w:t>
      </w:r>
      <w:r>
        <w:rPr>
          <w:noProof/>
        </w:rPr>
        <w:t>yplýva, že členské štáty stále posudzujú, ako a či využiť možnosť, ktorú prináša zmena</w:t>
      </w:r>
      <w:r>
        <w:rPr>
          <w:rStyle w:val="FootnoteReference"/>
          <w:rFonts w:cs="Times New Roman"/>
          <w:noProof/>
        </w:rPr>
        <w:footnoteReference w:id="27"/>
      </w:r>
      <w:r>
        <w:rPr>
          <w:noProof/>
        </w:rPr>
        <w:t xml:space="preserve"> nariadenia (EÚ) č. 1303/2013, s cieľom uľahčiť kombináciu EFSI a EŠIF.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Okrem toho sa účastníci z väčšiny členských štátov a niekoľkých pridružených krajín pripojili ku</w:t>
      </w:r>
      <w:r>
        <w:rPr>
          <w:noProof/>
        </w:rPr>
        <w:t xml:space="preserve"> komunite na výmenu praktických postupov na základe iniciatívy „známky excelentnosti“. Táto komunita pomáha inovačným projektom MSP, ktoré nemohli získať finančné prostriedky z programu Horizont 2020, pri hľadaní inej podpory vrátane podpory z EFRR. Táto i</w:t>
      </w:r>
      <w:r>
        <w:rPr>
          <w:noProof/>
        </w:rPr>
        <w:t xml:space="preserve">niciatíva by sa mala uľahčiť v kontexte návrhu Komisie na budúci rozpočet EÚ, ktorého cieľom je zjednodušiť pravidlá štátnej pomoci s cieľom ďalej podporovať verejné financovanie inovačných projektov. 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Komisia tiež spustila niekoľko iniciatív na posilnenie</w:t>
      </w:r>
      <w:r>
        <w:rPr>
          <w:noProof/>
        </w:rPr>
        <w:t xml:space="preserve"> synergií, najmä pilotnú „cestu k excelentnosti“, ktorá má pomôcť členským štátom zlepšiť ich inovačné systémy a spojiť sa s výskumnými komunitami v iných krajinách, aby sa uľahčilo podávanie žiadostí v rámci výziev programu Horizont 2020. Napriek možnosti</w:t>
      </w:r>
      <w:r>
        <w:rPr>
          <w:noProof/>
        </w:rPr>
        <w:t xml:space="preserve"> kumulovať granty však bola kombinácia financovania z programu Horizont a EŠIF v tých istých projektoch naďalej len občasná</w:t>
      </w:r>
      <w:r>
        <w:rPr>
          <w:rStyle w:val="FootnoteReference"/>
          <w:rFonts w:cs="Times New Roman"/>
          <w:noProof/>
        </w:rPr>
        <w:footnoteReference w:id="28"/>
      </w:r>
      <w:r>
        <w:rPr>
          <w:noProof/>
        </w:rPr>
        <w:t>.</w:t>
      </w:r>
    </w:p>
    <w:p w:rsidR="00B14F24" w:rsidRDefault="005F107E">
      <w:pPr>
        <w:spacing w:before="120"/>
        <w:rPr>
          <w:rFonts w:cs="Times New Roman"/>
          <w:noProof/>
        </w:rPr>
      </w:pPr>
      <w:r>
        <w:rPr>
          <w:noProof/>
        </w:rPr>
        <w:t>Európske partnerstvo v oblasti inovácií zamerané na poľnohospodársku produktivitu a udržateľnosť (EIP-AGRI) podporované z EPFRV je</w:t>
      </w:r>
      <w:r>
        <w:rPr>
          <w:noProof/>
        </w:rPr>
        <w:t xml:space="preserve"> ďalším príkladom toho, ako sa výskum v rámci programu Horizont 2020 prenáša do praxe. EIP-AGRI združuje finančné toky na podporu interaktívnych inovácií s cieľom prispieť k stratégii EÚ na zabezpečenie inteligentného, udržateľného a inkluzívneho rastu.</w:t>
      </w:r>
    </w:p>
    <w:p w:rsidR="00B14F24" w:rsidRDefault="005F107E">
      <w:pPr>
        <w:pStyle w:val="Heading2"/>
        <w:rPr>
          <w:noProof/>
        </w:rPr>
      </w:pPr>
      <w:bookmarkStart w:id="310" w:name="_Toc496777538"/>
      <w:bookmarkStart w:id="311" w:name="_Toc13500397"/>
      <w:bookmarkStart w:id="312" w:name="_Toc13555781"/>
      <w:bookmarkStart w:id="313" w:name="_Toc13571374"/>
      <w:bookmarkStart w:id="314" w:name="_Toc493604602"/>
      <w:bookmarkStart w:id="315" w:name="_Toc493682287"/>
      <w:bookmarkStart w:id="316" w:name="_Toc493689703"/>
      <w:bookmarkStart w:id="317" w:name="_Toc493760330"/>
      <w:bookmarkStart w:id="318" w:name="_Toc493765810"/>
      <w:bookmarkStart w:id="319" w:name="_Toc493778793"/>
      <w:bookmarkStart w:id="320" w:name="_Toc28961394"/>
      <w:r>
        <w:rPr>
          <w:noProof/>
        </w:rPr>
        <w:t>4.</w:t>
      </w:r>
      <w:r>
        <w:rPr>
          <w:noProof/>
        </w:rPr>
        <w:t>6. Súhrn hodnotenia EŠIF</w:t>
      </w:r>
      <w:bookmarkEnd w:id="310"/>
      <w:bookmarkEnd w:id="311"/>
      <w:bookmarkEnd w:id="312"/>
      <w:bookmarkEnd w:id="313"/>
      <w:bookmarkEnd w:id="320"/>
    </w:p>
    <w:p w:rsidR="00B14F24" w:rsidRDefault="005F107E">
      <w:pPr>
        <w:rPr>
          <w:noProof/>
        </w:rPr>
      </w:pPr>
      <w:r>
        <w:rPr>
          <w:noProof/>
        </w:rPr>
        <w:t>V období rokov 2014 – 2020 sa čoraz viac hodnotení zaoberalo najmä procesom vykonávania a pokrokom pri dosahovaní stanovených cieľov. Napriek rastúcemu objemu dokončených projektov je ešte priskoro hodnotiť výsledky a vplyvy progra</w:t>
      </w:r>
      <w:r>
        <w:rPr>
          <w:noProof/>
        </w:rPr>
        <w:t>mov. Začiatok hodnotení vplyvu, ktoré sa pochopiteľne uskutočnili neskôr v programovom cykle, sa posunul v dôsledku oneskoreného začiatku programov a reťazového meškania pri dokončovaní mnohých intervencií. Výsledky doteraz vykonaných vnútroštátnych hodnot</w:t>
      </w:r>
      <w:r>
        <w:rPr>
          <w:noProof/>
        </w:rPr>
        <w:t xml:space="preserve">ení vplyvu zdôrazňujú potrebu zlepšenia kvality vypracovaných hodnotení. </w:t>
      </w:r>
    </w:p>
    <w:p w:rsidR="00B14F24" w:rsidRDefault="005F107E">
      <w:pPr>
        <w:rPr>
          <w:noProof/>
        </w:rPr>
      </w:pPr>
      <w:r>
        <w:rPr>
          <w:noProof/>
        </w:rPr>
        <w:t>Ku koncu súčasného obdobia sa očakáva, že sa výrazne zrýchli dokončenie hodnotení. Takmer polovica hodnotení vplyvu sa však plánuje realizovať až po roku 2020, keď sa očakáva, že bud</w:t>
      </w:r>
      <w:r>
        <w:rPr>
          <w:noProof/>
        </w:rPr>
        <w:t>ú dodané výsledky programu</w:t>
      </w:r>
      <w:r>
        <w:rPr>
          <w:rStyle w:val="FootnoteReference"/>
          <w:noProof/>
        </w:rPr>
        <w:footnoteReference w:id="29"/>
      </w:r>
      <w:r>
        <w:rPr>
          <w:noProof/>
        </w:rPr>
        <w:t>.</w:t>
      </w:r>
    </w:p>
    <w:p w:rsidR="00B14F24" w:rsidRDefault="005F107E">
      <w:pPr>
        <w:pStyle w:val="Heading2"/>
        <w:rPr>
          <w:noProof/>
        </w:rPr>
      </w:pPr>
      <w:bookmarkStart w:id="321" w:name="_Toc496777539"/>
      <w:bookmarkStart w:id="322" w:name="_Toc13500398"/>
      <w:bookmarkStart w:id="323" w:name="_Toc13555782"/>
      <w:bookmarkStart w:id="324" w:name="_Toc13571375"/>
      <w:bookmarkStart w:id="325" w:name="_Toc28961395"/>
      <w:r>
        <w:rPr>
          <w:noProof/>
        </w:rPr>
        <w:t>4.7. Informovanie o EŠIF</w:t>
      </w:r>
      <w:bookmarkEnd w:id="314"/>
      <w:bookmarkEnd w:id="315"/>
      <w:bookmarkEnd w:id="316"/>
      <w:bookmarkEnd w:id="317"/>
      <w:bookmarkEnd w:id="318"/>
      <w:bookmarkEnd w:id="319"/>
      <w:bookmarkEnd w:id="321"/>
      <w:bookmarkEnd w:id="322"/>
      <w:bookmarkEnd w:id="323"/>
      <w:bookmarkEnd w:id="324"/>
      <w:bookmarkEnd w:id="325"/>
    </w:p>
    <w:p w:rsidR="00B14F24" w:rsidRDefault="005F107E">
      <w:pPr>
        <w:rPr>
          <w:noProof/>
        </w:rPr>
      </w:pPr>
      <w:r>
        <w:rPr>
          <w:noProof/>
        </w:rPr>
        <w:t>Členské štáty zintenzívnili svoje úsilie pri informovaní o úspechoch fondov EŠIF. Prispelo to k dosiahnutiu vyššej úrovne informovanosti verejnosti o výhodách podpory EÚ, ako to dokazujú napríklad výsle</w:t>
      </w:r>
      <w:r>
        <w:rPr>
          <w:noProof/>
        </w:rPr>
        <w:t>dky posledného prieskumu Eurobarometra o regionálnej politike. Informovanosť v celej EÚ sa od posledného prieskumu v roku 2017 zvýšila o päť percentuálnych bodov na 40 %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. </w:t>
      </w:r>
    </w:p>
    <w:p w:rsidR="00B14F24" w:rsidRDefault="005F107E">
      <w:pPr>
        <w:rPr>
          <w:noProof/>
        </w:rPr>
      </w:pPr>
      <w:r>
        <w:rPr>
          <w:noProof/>
        </w:rPr>
        <w:t>V roku 2018 sa v rámci všeobecnej hlavnej kampane Komisie #EuinmyRegion zorganizova</w:t>
      </w:r>
      <w:r>
        <w:rPr>
          <w:noProof/>
        </w:rPr>
        <w:t>lo viac ako 1 700 podujatí dní otvorených dverí s odhadovaným počtom 450 000 účastníkov. Spolupráca medzi viacerými inštitucionálnymi úrovňami bola rozhodujúca aj pri zavedení dvoch inovatívnych kampaní: i) projekt výletov „Road Trip Project“ zameraný na m</w:t>
      </w:r>
      <w:r>
        <w:rPr>
          <w:noProof/>
        </w:rPr>
        <w:t>ladých ľudí vo veku 18 až 24 rokov; a ii) séria 40 regionálnych kampaní vytvorených spolu s regiónmi, v rámci ktorých sa vystavovali hlavné miestne projekty.</w:t>
      </w:r>
    </w:p>
    <w:p w:rsidR="00B14F24" w:rsidRDefault="005F107E">
      <w:pPr>
        <w:rPr>
          <w:noProof/>
        </w:rPr>
      </w:pPr>
      <w:r>
        <w:rPr>
          <w:noProof/>
        </w:rPr>
        <w:t>Pokiaľ ide o EPFRV, pravidelne sa organizujú rôzne komunikačné činnosti, ako sú poľnohospodárske v</w:t>
      </w:r>
      <w:r>
        <w:rPr>
          <w:noProof/>
        </w:rPr>
        <w:t>eľtrhy, dni otvorených dverí, konferencie alebo kampane v sociálnych médiách s cieľom zvýšiť informovanosť o možnostiach financovania. Aj Európska sieť pre rozvoj vidieka slúži na výmenu informácií a osvedčených postupov týkajúcich sa rozvoja vidieka.</w:t>
      </w:r>
    </w:p>
    <w:p w:rsidR="00B14F24" w:rsidRDefault="005F107E">
      <w:pPr>
        <w:rPr>
          <w:noProof/>
        </w:rPr>
      </w:pPr>
      <w:r>
        <w:rPr>
          <w:noProof/>
        </w:rPr>
        <w:t>Člen</w:t>
      </w:r>
      <w:r>
        <w:rPr>
          <w:noProof/>
        </w:rPr>
        <w:t>ské štáty a regióny tiež dosiahli výrazný pokrok pri posilňovaní transparentnosti. Všetky programy, s výnimkou niekoľkých, už dosiahli úplný súlad s informačnými a komunikačnými požiadavkami, ako sú zverejňovanie zoznamov projektov, vymenovanie komunikačný</w:t>
      </w:r>
      <w:r>
        <w:rPr>
          <w:noProof/>
        </w:rPr>
        <w:t>ch úradníkov alebo predstavenie úspešných projektov na svojich webových sídlach. Okrem toho mali ľudia príležitosť vyjadriť sa k európskym záležitostiam, najmä k prioritám financovania EÚ, v rámci viac ako 400 dialógov organizovaných s podporou EŠIF.</w:t>
      </w:r>
    </w:p>
    <w:p w:rsidR="00B14F24" w:rsidRDefault="005F107E">
      <w:pPr>
        <w:pStyle w:val="Heading1"/>
        <w:rPr>
          <w:noProof/>
        </w:rPr>
      </w:pPr>
      <w:bookmarkStart w:id="326" w:name="_Toc493250420"/>
      <w:bookmarkStart w:id="327" w:name="_Toc493499420"/>
      <w:bookmarkStart w:id="328" w:name="_Toc493499477"/>
      <w:bookmarkStart w:id="329" w:name="_Toc493517124"/>
      <w:bookmarkStart w:id="330" w:name="_Toc493598998"/>
      <w:bookmarkStart w:id="331" w:name="_Toc493599517"/>
      <w:bookmarkStart w:id="332" w:name="_Toc493604603"/>
      <w:bookmarkStart w:id="333" w:name="_Toc493682288"/>
      <w:bookmarkStart w:id="334" w:name="_Toc493689704"/>
      <w:bookmarkStart w:id="335" w:name="_Toc493760331"/>
      <w:bookmarkStart w:id="336" w:name="_Toc493765811"/>
      <w:bookmarkStart w:id="337" w:name="_Toc493778794"/>
      <w:bookmarkStart w:id="338" w:name="_Toc496777540"/>
      <w:bookmarkStart w:id="339" w:name="_Toc13500399"/>
      <w:bookmarkStart w:id="340" w:name="_Toc13555783"/>
      <w:bookmarkStart w:id="341" w:name="_Toc13571376"/>
      <w:r>
        <w:rPr>
          <w:noProof/>
        </w:rPr>
        <w:br w:type="page"/>
      </w:r>
      <w:bookmarkStart w:id="342" w:name="_Toc28961396"/>
      <w:r>
        <w:rPr>
          <w:noProof/>
        </w:rPr>
        <w:t>ZÁVE</w:t>
      </w:r>
      <w:r>
        <w:rPr>
          <w:noProof/>
        </w:rPr>
        <w:t>R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B14F24" w:rsidRDefault="005F107E">
      <w:pPr>
        <w:spacing w:before="120"/>
        <w:rPr>
          <w:rFonts w:cs="Times New Roman"/>
          <w:noProof/>
          <w:szCs w:val="24"/>
        </w:rPr>
      </w:pPr>
      <w:r>
        <w:rPr>
          <w:noProof/>
        </w:rPr>
        <w:t>EŠIF zlepšujú životy miliónov Európanov. Investície z EŠIF zohrávajú kľúčovú úlohu pri podpore regiónov, miest, vidieckych oblastí a pobrežných komunít, či už ide o ľudí a zručnosti, podniky, školy, univerzity, alebo životné prostredie, klímu či infraštr</w:t>
      </w:r>
      <w:r>
        <w:rPr>
          <w:noProof/>
        </w:rPr>
        <w:t>uktúru, pričom pomáhajú držať krok a prekonávať zmeny, ktoré sa dejú okolo nás.</w:t>
      </w:r>
    </w:p>
    <w:p w:rsidR="00B14F24" w:rsidRDefault="005F107E">
      <w:pPr>
        <w:spacing w:before="120"/>
        <w:rPr>
          <w:rFonts w:cs="Times New Roman"/>
          <w:noProof/>
          <w:szCs w:val="24"/>
        </w:rPr>
      </w:pPr>
      <w:r>
        <w:rPr>
          <w:noProof/>
        </w:rPr>
        <w:t xml:space="preserve">Prvých päť rokov vykonávania programov výrazne prispelo k dosiahnutiu inteligentného, udržateľného a inkluzívneho rastu. Do konca septembra 2019 členské štáty uviedli, že boli </w:t>
      </w:r>
      <w:r>
        <w:rPr>
          <w:noProof/>
        </w:rPr>
        <w:t>vybrané projekty s celkovými nákladmi 500 miliárd EUR, čo je približne 77 % z celkových plánovaných nákladov, z ktorých boli vykázané výdavky vo výške viac ako 210 miliárd EUR. Tieto projekty majú hmatateľný vplyv na životy miliónov Európanov, je však potr</w:t>
      </w:r>
      <w:r>
        <w:rPr>
          <w:noProof/>
        </w:rPr>
        <w:t xml:space="preserve">ebné urobiť ešte viac. Komisia bude naďalej pracovať na dosahovaní efektívnejších a cielenejších výsledkov. Bude aj naďalej získavať poznatky potrebné na ďalšie zjednodušovanie procesov a na zabezpečenie väčšieho zamerania sa na úspechy EŠIF. </w:t>
      </w:r>
    </w:p>
    <w:p w:rsidR="00B14F24" w:rsidRDefault="005F107E">
      <w:pPr>
        <w:spacing w:before="120"/>
        <w:rPr>
          <w:rFonts w:cs="Times New Roman"/>
          <w:noProof/>
          <w:szCs w:val="24"/>
        </w:rPr>
      </w:pPr>
      <w:r>
        <w:rPr>
          <w:noProof/>
        </w:rPr>
        <w:t xml:space="preserve">Komisia sa </w:t>
      </w:r>
      <w:r>
        <w:rPr>
          <w:noProof/>
        </w:rPr>
        <w:t>prostredníctvom svojich návrhov všeobecného nariadenia a nariadenia týkajúceho sa SPP na roky 2021 – 2027 snaží posilniť príspevok fondov k dosahovaniu cieľov Parížskej dohody o zmene klímy, investovať do ľudí, inovovať a umožňovať regiónom, mestám, vidiec</w:t>
      </w:r>
      <w:r>
        <w:rPr>
          <w:noProof/>
        </w:rPr>
        <w:t>kym a pobrežným oblastiam realizovať ciele udržateľného rozvoja. Napriek tomu, že sa naň nevzťahuje návrh všeobecného nariadenia Komisie na roky 2021 – 2027, bude EPFRV naďalej úzko prepojený s EFRR, ESF+, Kohéznym fondom a ENRF, napríklad pri podpore mies</w:t>
      </w:r>
      <w:r>
        <w:rPr>
          <w:noProof/>
        </w:rPr>
        <w:t>tnych iniciatív prostredníctvom miestneho rozvoja vedeného komunitou alebo finančných nástrojov.</w:t>
      </w:r>
    </w:p>
    <w:p w:rsidR="00B14F24" w:rsidRDefault="005F107E">
      <w:pPr>
        <w:spacing w:before="120"/>
        <w:rPr>
          <w:rFonts w:cs="Times New Roman"/>
          <w:noProof/>
          <w:szCs w:val="24"/>
        </w:rPr>
      </w:pPr>
      <w:r>
        <w:rPr>
          <w:noProof/>
        </w:rPr>
        <w:t>Ďalšia generácia programov, ktoré sa v súčasnosti pripravujú, predstavuje jedinečnú príležitosť položiť základy udržateľnej budúcnosti EÚ. Tieto programy spolu</w:t>
      </w:r>
      <w:r>
        <w:rPr>
          <w:noProof/>
        </w:rPr>
        <w:t xml:space="preserve"> s fondom pre spravodlivú transformáciu pomôžu zabezpečiť spravodlivú transformáciu pre všetkých, vďaka čomu sa vytvoria nové a rôzne príležitosti v celej Európe a na nikoho sa nezabudne.</w:t>
      </w:r>
    </w:p>
    <w:sectPr w:rsidR="00B14F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24" w:rsidRDefault="005F107E">
      <w:pPr>
        <w:spacing w:after="0"/>
      </w:pPr>
      <w:r>
        <w:separator/>
      </w:r>
    </w:p>
  </w:endnote>
  <w:endnote w:type="continuationSeparator" w:id="0">
    <w:p w:rsidR="00B14F24" w:rsidRDefault="005F1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5F107E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92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F24" w:rsidRDefault="005F1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4F24" w:rsidRDefault="00B14F24">
    <w:pPr>
      <w:pStyle w:val="Footer"/>
      <w:tabs>
        <w:tab w:val="clear" w:pos="4535"/>
        <w:tab w:val="clear" w:pos="9071"/>
        <w:tab w:val="clear" w:pos="9921"/>
        <w:tab w:val="left" w:pos="4005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353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F24" w:rsidRDefault="005F1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F24" w:rsidRDefault="00B14F24">
    <w:pPr>
      <w:pStyle w:val="Footer"/>
      <w:tabs>
        <w:tab w:val="clear" w:pos="4535"/>
        <w:tab w:val="clear" w:pos="9071"/>
        <w:tab w:val="clear" w:pos="9921"/>
        <w:tab w:val="left" w:pos="4005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24" w:rsidRDefault="005F107E">
      <w:pPr>
        <w:spacing w:after="0"/>
      </w:pPr>
      <w:r>
        <w:separator/>
      </w:r>
    </w:p>
  </w:footnote>
  <w:footnote w:type="continuationSeparator" w:id="0">
    <w:p w:rsidR="00B14F24" w:rsidRDefault="005F107E">
      <w:pPr>
        <w:spacing w:after="0"/>
      </w:pPr>
      <w:r>
        <w:continuationSeparator/>
      </w:r>
    </w:p>
  </w:footnote>
  <w:footnote w:id="1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 xml:space="preserve">Európske štrukturálne a </w:t>
      </w:r>
      <w:r>
        <w:t>investičné fondy sú Kohézny fond, Európsky fond regionálneho rozvoja (EFRR), Európsky sociálny fond (ESF), Európsky poľnohospodársky fond pre rozvoj vidieka (EPFRV) a Európsky námorný a rybársky fond (ENRF).</w:t>
      </w:r>
    </w:p>
  </w:footnote>
  <w:footnote w:id="2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V roku 2018 predstavoval rozpočet pre EŠIF pri</w:t>
      </w:r>
      <w:r>
        <w:t>bližne 460 miliárd EUR a s národným spolufinancovaním viac ako 643 miliárd EUR.</w:t>
      </w:r>
    </w:p>
  </w:footnote>
  <w:footnote w:id="3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Požaduje sa podľa článku 53 nariadenia o spoločných ustanoveniach [nariadenie (EÚ) č. 1303/2013].</w:t>
      </w:r>
    </w:p>
  </w:footnote>
  <w:footnote w:id="4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Všetky hodnoty sa vzťahujú na koniec roka 2018, k dispozícii 5. novembra 2</w:t>
      </w:r>
      <w:r>
        <w:t>019, pokiaľ nie je uvedené inak.</w:t>
      </w:r>
    </w:p>
  </w:footnote>
  <w:footnote w:id="5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Projekty uvedené v tomto dokumente sú projekty, ktoré boli vybrané a ktoré sa vykonávajú počas tohto programového obdobia.</w:t>
      </w:r>
    </w:p>
  </w:footnote>
  <w:footnote w:id="6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Otvorená platforma údajov predstavuje najnovšie údaje, ktoré sú k dispozícii po ukončení program</w:t>
      </w:r>
      <w:r>
        <w:t>ov EŠIF (</w:t>
      </w:r>
      <w:hyperlink r:id="rId1" w:history="1">
        <w:r>
          <w:rPr>
            <w:rStyle w:val="Hyperlink"/>
          </w:rPr>
          <w:t>https://cohesiondata.ec.europa.eu</w:t>
        </w:r>
      </w:hyperlink>
      <w:r>
        <w:t xml:space="preserve">). </w:t>
      </w:r>
    </w:p>
  </w:footnote>
  <w:footnote w:id="7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Siedma správa o hospodárskej, sociálnej a územnej súdržnosti, september 2017.</w:t>
      </w:r>
      <w:r>
        <w:tab/>
        <w:t xml:space="preserve"> </w:t>
      </w:r>
      <w:hyperlink r:id="rId2" w:history="1">
        <w:r>
          <w:rPr>
            <w:rStyle w:val="Hyperlink"/>
          </w:rPr>
          <w:t>https://ec.europa.eu/regional_policy/sk/information/publications/reports/2017/7th-report-on-economic-social-and-territorial-cohesion</w:t>
        </w:r>
      </w:hyperlink>
      <w:r>
        <w:t>.</w:t>
      </w:r>
    </w:p>
  </w:footnote>
  <w:footnote w:id="8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rPr>
          <w:i/>
        </w:rPr>
        <w:tab/>
      </w:r>
      <w:r>
        <w:t xml:space="preserve">Európska komisia v siedmej správe o hospodárskej, </w:t>
      </w:r>
      <w:r>
        <w:t>sociálnej a územnej súdržnosti (2017) identifikovala osobitnú výzvu, ktorej čelí niekoľko regiónov s HDP na obyvateľa, ktorý sa približuje priemeru EÚ. V dôsledku vysokých nákladov spojených so zmenšujúcim sa výrobným odvetvím a slabými inovačnými a vývozn</w:t>
      </w:r>
      <w:r>
        <w:t>ými kapacitami sú teraz menej konkurencieschopnými a odolnými voči globalizácii ako regióny s nižším a vyšším HDP na obyvateľa.</w:t>
      </w:r>
    </w:p>
  </w:footnote>
  <w:footnote w:id="9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Lewis Dijkstra, Hugo Poelman a Andrés Rodríguez-Pose: „Geografia nespokojnosti EÚ“ – pracovný dokument Generálneho riaditeľstv</w:t>
      </w:r>
      <w:r>
        <w:t>a pre regionálnu a mestskú politiku z decembra 2018.</w:t>
      </w:r>
    </w:p>
  </w:footnote>
  <w:footnote w:id="10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Najmä pokiaľ ide o dobiehajúce regióny, regióny v procese priemyselnej transformácie, uhoľné regióny, medziregionálne inovačné investície a iniciatívu Inteligentné obce.</w:t>
      </w:r>
    </w:p>
  </w:footnote>
  <w:footnote w:id="11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Podrobnosti nájdete v prílohá</w:t>
      </w:r>
      <w:r>
        <w:t>ch 1.1 a 1.2. Údaje vo vyššie uvedenej tabuľke nezahŕňajú podiel pridelený témam v rámci multitematických priorít, zatiaľ čo údaje v prílohách tento podiel zahŕňajú.</w:t>
      </w:r>
    </w:p>
  </w:footnote>
  <w:footnote w:id="12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Žiadosti o platbu prijaté od členských štátov.</w:t>
      </w:r>
    </w:p>
  </w:footnote>
  <w:footnote w:id="13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 xml:space="preserve">Rozdelenie výberu projektov a výdavkov </w:t>
      </w:r>
      <w:r>
        <w:t>podľa tematických cieľov a podľa členských štátov sa uvádza v tabuľkách v prílohách 1 a 2.</w:t>
      </w:r>
    </w:p>
  </w:footnote>
  <w:footnote w:id="14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Návrh nariadenia Rady, ktorým sa stanovuje viacročný finančný rámec na roky 2021 až 2027 – COM(2018) 322 final.</w:t>
      </w:r>
    </w:p>
  </w:footnote>
  <w:footnote w:id="15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Pozri napríklad: Viță, V 2018, Výskum pre výbor R</w:t>
      </w:r>
      <w:r>
        <w:t>EGI – Kondicionality v politike súdržnosti, Európsky parlament, tematická sekcia pre štrukturálne politiky a politiky súdržnosti, Brusel.</w:t>
      </w:r>
    </w:p>
  </w:footnote>
  <w:footnote w:id="16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Návrh nariadenia Európskeho parlamentu a Rady, ktorým sa stanovujú spoločné ustanovenia o Európskom fonde regionálne</w:t>
      </w:r>
      <w:r>
        <w:t>ho rozvoja, Európskom sociálnom fonde plus, Kohéznom fonde a Európskom námornom a rybárskom fonde a rozpočtové pravidlá pre uvedené fondy, ako aj pre Fond pre azyl a migráciu, Fond pre vnútornú bezpečnosť a Nástroj pre riadenie hraníc a víza – COM(2018) 37</w:t>
      </w:r>
      <w:r>
        <w:t xml:space="preserve">5 final. </w:t>
      </w:r>
    </w:p>
  </w:footnote>
  <w:footnote w:id="17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Návrh nariadenia Európskeho parlamentu a Rady, ktorým sa stanovujú pravidlá týkajúce sa strategických plánov, ktoré majú zostaviť členské štáty v rámci spoločnej poľnohospodárskej politiky (strategické plány SPP) a ktoré sú financované z Európs</w:t>
      </w:r>
      <w:r>
        <w:t>keho poľnohospodárskeho záručného fondu (EPZF) a Európskeho poľnohospodárskeho fondu pre rozvoj vidieka (EPFRV), a ktorým sa zrušuje nariadenie Európskeho parlamentu a Rady (EÚ) č. 1305/2013 a nariadenie Európskeho parlamentu a Rady (EÚ) č. 1307/2013 – COM</w:t>
      </w:r>
      <w:r>
        <w:t>(2018) 392 final.</w:t>
      </w:r>
    </w:p>
  </w:footnote>
  <w:footnote w:id="18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https://ec.europa.eu/futurium/en/urban-agenda</w:t>
        </w:r>
      </w:hyperlink>
      <w:r>
        <w:t xml:space="preserve">. </w:t>
      </w:r>
    </w:p>
  </w:footnote>
  <w:footnote w:id="19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</w:r>
      <w:hyperlink r:id="rId4" w:history="1">
        <w:r>
          <w:rPr>
            <w:rStyle w:val="Hyperlink"/>
          </w:rPr>
          <w:t>https://www.uia-initiative.eu/en</w:t>
        </w:r>
      </w:hyperlink>
      <w:r>
        <w:t xml:space="preserve">. </w:t>
      </w:r>
    </w:p>
  </w:footnote>
  <w:footnote w:id="20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 xml:space="preserve">LEADER je metóda miestneho rozvoja </w:t>
      </w:r>
      <w:r>
        <w:t>zdola nahor spolufinancovaná z EPFRV, ktorá bola zavedená v roku 1991 s cieľom zapojiť miestnych aktérov do rozvoja vidieckych oblastí. V roku 2007 sa LEADER rozšíril na ENRF a v roku 2014 na EFRR a ESF vo forme miestneho rozvoja vedeného komunitou.</w:t>
      </w:r>
    </w:p>
  </w:footnote>
  <w:footnote w:id="21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„Pod</w:t>
      </w:r>
      <w:r>
        <w:t>pora rastu a súdržnosti v pohraničných regiónoch EÚ“ – COM(2017) 534 final.</w:t>
      </w:r>
    </w:p>
  </w:footnote>
  <w:footnote w:id="22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COM(2019) 21 final.</w:t>
      </w:r>
    </w:p>
  </w:footnote>
  <w:footnote w:id="23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</w:r>
      <w:hyperlink r:id="rId5" w:history="1">
        <w:r>
          <w:rPr>
            <w:rStyle w:val="Hyperlink"/>
          </w:rPr>
          <w:t>https://ec.europa.eu/regional_policy/sk/policy/how/improving-invest</w:t>
        </w:r>
        <w:r>
          <w:rPr>
            <w:rStyle w:val="Hyperlink"/>
          </w:rPr>
          <w:t>ment/</w:t>
        </w:r>
      </w:hyperlink>
      <w:r>
        <w:t xml:space="preserve">. </w:t>
      </w:r>
    </w:p>
  </w:footnote>
  <w:footnote w:id="24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</w:r>
      <w:hyperlink r:id="rId6" w:history="1">
        <w:r>
          <w:rPr>
            <w:rStyle w:val="Hyperlink"/>
          </w:rPr>
          <w:t>https://ec.europa.eu/digital-single-market/en/broadband-competence-offices</w:t>
        </w:r>
      </w:hyperlink>
      <w:r>
        <w:t xml:space="preserve">. </w:t>
      </w:r>
    </w:p>
  </w:footnote>
  <w:footnote w:id="25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(EÚ, Euratom) 2018/1046 z 18. júla 2</w:t>
      </w:r>
      <w:r>
        <w:t>018 o rozpočtových pravidlách, ktoré sa vzťahujú na všeobecný rozpočet Únie, o zmene nariadení (EÚ) č. 1296/2013, (EÚ) č. 1301/2013, (EÚ) č. 1303/2013, (EÚ) č. 1304/2013, (EÚ) č. 1309/2013, (EÚ) č. 1316/2013, (EÚ) č. 223/2014, (EÚ) č. 283/2014 a rozhodnuti</w:t>
      </w:r>
      <w:r>
        <w:t>a č. 541/2014/EÚ a o zrušení nariadenia (EÚ, Euratom) č. 966/2012 (Ú. v. EÚ L 193, 30.7.2018, s. 1).</w:t>
      </w:r>
    </w:p>
  </w:footnote>
  <w:footnote w:id="26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Pozri poznámku pod čiarou č. 23.</w:t>
      </w:r>
    </w:p>
  </w:footnote>
  <w:footnote w:id="27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Pozri poznámku pod čiarou č. 25.</w:t>
      </w:r>
    </w:p>
  </w:footnote>
  <w:footnote w:id="28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Napríklad prostredníctvom spoločných podnikov ako ECSEL a CleanSky, ktoré v talians</w:t>
      </w:r>
      <w:r>
        <w:t>kych a španielskych regiónoch zmobilizovali doplnkové financovanie z EFRR pre svoje projekty programu Horizont.</w:t>
      </w:r>
    </w:p>
  </w:footnote>
  <w:footnote w:id="29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>Pozri pracovný dokument útvarov Komisie o zhrnutí zistení hodnotení programov EŠIF.</w:t>
      </w:r>
    </w:p>
  </w:footnote>
  <w:footnote w:id="30">
    <w:p w:rsidR="00B14F24" w:rsidRDefault="005F107E">
      <w:pPr>
        <w:pStyle w:val="FootnoteText"/>
      </w:pPr>
      <w:r>
        <w:rPr>
          <w:rStyle w:val="FootnoteReference"/>
        </w:rPr>
        <w:footnoteRef/>
      </w:r>
      <w:r>
        <w:tab/>
        <w:t xml:space="preserve">Výsledky Eurobarometra: </w:t>
      </w:r>
      <w:hyperlink r:id="rId7" w:history="1">
        <w:r>
          <w:rPr>
            <w:rStyle w:val="Hyperlink"/>
          </w:rPr>
          <w:t>https://cohesiondata.ec.europa.eu/stories/s/eyh3-tjuv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  <w:p w:rsidR="00B14F24" w:rsidRDefault="00B14F2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  <w:p w:rsidR="00B14F24" w:rsidRDefault="00B14F2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24" w:rsidRDefault="00B1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4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4B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38A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C07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7C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6C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8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6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59E"/>
    <w:multiLevelType w:val="hybridMultilevel"/>
    <w:tmpl w:val="C65EB4A4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02C00"/>
    <w:multiLevelType w:val="multilevel"/>
    <w:tmpl w:val="67E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2C32E87"/>
    <w:multiLevelType w:val="hybridMultilevel"/>
    <w:tmpl w:val="62E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826DF"/>
    <w:multiLevelType w:val="hybridMultilevel"/>
    <w:tmpl w:val="DBD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AB11A6"/>
    <w:multiLevelType w:val="multilevel"/>
    <w:tmpl w:val="6C48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65F2B7F"/>
    <w:multiLevelType w:val="hybridMultilevel"/>
    <w:tmpl w:val="41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99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154D7"/>
    <w:multiLevelType w:val="hybridMultilevel"/>
    <w:tmpl w:val="E290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9E2312"/>
    <w:multiLevelType w:val="multilevel"/>
    <w:tmpl w:val="648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B071441"/>
    <w:multiLevelType w:val="hybridMultilevel"/>
    <w:tmpl w:val="67D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701AC"/>
    <w:multiLevelType w:val="hybridMultilevel"/>
    <w:tmpl w:val="B13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746B3"/>
    <w:multiLevelType w:val="multilevel"/>
    <w:tmpl w:val="008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8AF79C5"/>
    <w:multiLevelType w:val="hybridMultilevel"/>
    <w:tmpl w:val="9CD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26CA8"/>
    <w:multiLevelType w:val="hybridMultilevel"/>
    <w:tmpl w:val="662AF1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A995FBF"/>
    <w:multiLevelType w:val="hybridMultilevel"/>
    <w:tmpl w:val="6D20D8DE"/>
    <w:lvl w:ilvl="0" w:tplc="760AC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53717"/>
    <w:multiLevelType w:val="multilevel"/>
    <w:tmpl w:val="3412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FEB78E3"/>
    <w:multiLevelType w:val="hybridMultilevel"/>
    <w:tmpl w:val="8A9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D344F"/>
    <w:multiLevelType w:val="hybridMultilevel"/>
    <w:tmpl w:val="F1A0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514C9"/>
    <w:multiLevelType w:val="multilevel"/>
    <w:tmpl w:val="284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7E1778F"/>
    <w:multiLevelType w:val="hybridMultilevel"/>
    <w:tmpl w:val="05667E1C"/>
    <w:lvl w:ilvl="0" w:tplc="25DE3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2E6E93"/>
    <w:multiLevelType w:val="multilevel"/>
    <w:tmpl w:val="77F8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A97671A"/>
    <w:multiLevelType w:val="multilevel"/>
    <w:tmpl w:val="30E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BBF3C59"/>
    <w:multiLevelType w:val="hybridMultilevel"/>
    <w:tmpl w:val="D4148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3EB14AE0"/>
    <w:multiLevelType w:val="multilevel"/>
    <w:tmpl w:val="917C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506317E"/>
    <w:multiLevelType w:val="hybridMultilevel"/>
    <w:tmpl w:val="B64406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636475D"/>
    <w:multiLevelType w:val="hybridMultilevel"/>
    <w:tmpl w:val="F3D4B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4D9754B7"/>
    <w:multiLevelType w:val="hybridMultilevel"/>
    <w:tmpl w:val="83A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37022"/>
    <w:multiLevelType w:val="hybridMultilevel"/>
    <w:tmpl w:val="414E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361FD"/>
    <w:multiLevelType w:val="hybridMultilevel"/>
    <w:tmpl w:val="08D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909C5"/>
    <w:multiLevelType w:val="multilevel"/>
    <w:tmpl w:val="DC1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B337E75"/>
    <w:multiLevelType w:val="multilevel"/>
    <w:tmpl w:val="5E40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1234F7B"/>
    <w:multiLevelType w:val="multilevel"/>
    <w:tmpl w:val="BC4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3AC0DF9"/>
    <w:multiLevelType w:val="multilevel"/>
    <w:tmpl w:val="6CC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6B16778"/>
    <w:multiLevelType w:val="hybridMultilevel"/>
    <w:tmpl w:val="8CCA90B6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B760F"/>
    <w:multiLevelType w:val="hybridMultilevel"/>
    <w:tmpl w:val="6F4A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60974"/>
    <w:multiLevelType w:val="hybridMultilevel"/>
    <w:tmpl w:val="C97E8F1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5" w15:restartNumberingAfterBreak="0">
    <w:nsid w:val="752978AF"/>
    <w:multiLevelType w:val="hybridMultilevel"/>
    <w:tmpl w:val="866A1D96"/>
    <w:lvl w:ilvl="0" w:tplc="6FC2E6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643AD"/>
    <w:multiLevelType w:val="hybridMultilevel"/>
    <w:tmpl w:val="2474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D1710"/>
    <w:multiLevelType w:val="hybridMultilevel"/>
    <w:tmpl w:val="D960BBCE"/>
    <w:lvl w:ilvl="0" w:tplc="7A0E1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C09FA"/>
    <w:multiLevelType w:val="hybridMultilevel"/>
    <w:tmpl w:val="FB62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5F49"/>
    <w:multiLevelType w:val="hybridMultilevel"/>
    <w:tmpl w:val="80F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8"/>
  </w:num>
  <w:num w:numId="4">
    <w:abstractNumId w:val="35"/>
  </w:num>
  <w:num w:numId="5">
    <w:abstractNumId w:val="36"/>
  </w:num>
  <w:num w:numId="6">
    <w:abstractNumId w:val="15"/>
  </w:num>
  <w:num w:numId="7">
    <w:abstractNumId w:val="34"/>
  </w:num>
  <w:num w:numId="8">
    <w:abstractNumId w:val="13"/>
  </w:num>
  <w:num w:numId="9">
    <w:abstractNumId w:val="4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7"/>
  </w:num>
  <w:num w:numId="21">
    <w:abstractNumId w:val="39"/>
  </w:num>
  <w:num w:numId="22">
    <w:abstractNumId w:val="41"/>
  </w:num>
  <w:num w:numId="23">
    <w:abstractNumId w:val="38"/>
  </w:num>
  <w:num w:numId="24">
    <w:abstractNumId w:val="17"/>
  </w:num>
  <w:num w:numId="25">
    <w:abstractNumId w:val="29"/>
  </w:num>
  <w:num w:numId="26">
    <w:abstractNumId w:val="24"/>
  </w:num>
  <w:num w:numId="27">
    <w:abstractNumId w:val="30"/>
  </w:num>
  <w:num w:numId="28">
    <w:abstractNumId w:val="14"/>
  </w:num>
  <w:num w:numId="29">
    <w:abstractNumId w:val="40"/>
  </w:num>
  <w:num w:numId="30">
    <w:abstractNumId w:val="11"/>
  </w:num>
  <w:num w:numId="31">
    <w:abstractNumId w:val="32"/>
  </w:num>
  <w:num w:numId="32">
    <w:abstractNumId w:val="26"/>
  </w:num>
  <w:num w:numId="33">
    <w:abstractNumId w:val="49"/>
  </w:num>
  <w:num w:numId="34">
    <w:abstractNumId w:val="42"/>
  </w:num>
  <w:num w:numId="35">
    <w:abstractNumId w:val="10"/>
  </w:num>
  <w:num w:numId="36">
    <w:abstractNumId w:val="16"/>
  </w:num>
  <w:num w:numId="37">
    <w:abstractNumId w:val="44"/>
  </w:num>
  <w:num w:numId="38">
    <w:abstractNumId w:val="18"/>
  </w:num>
  <w:num w:numId="39">
    <w:abstractNumId w:val="22"/>
  </w:num>
  <w:num w:numId="40">
    <w:abstractNumId w:val="21"/>
  </w:num>
  <w:num w:numId="41">
    <w:abstractNumId w:val="25"/>
  </w:num>
  <w:num w:numId="42">
    <w:abstractNumId w:val="12"/>
  </w:num>
  <w:num w:numId="43">
    <w:abstractNumId w:val="37"/>
  </w:num>
  <w:num w:numId="44">
    <w:abstractNumId w:val="47"/>
  </w:num>
  <w:num w:numId="45">
    <w:abstractNumId w:val="46"/>
  </w:num>
  <w:num w:numId="46">
    <w:abstractNumId w:val="23"/>
  </w:num>
  <w:num w:numId="47">
    <w:abstractNumId w:val="43"/>
  </w:num>
  <w:num w:numId="48">
    <w:abstractNumId w:val="31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F34DBF3E-59CA-4FD5-AD87-6372C02D8B5A"/>
    <w:docVar w:name="LW_COVERPAGE_TYPE" w:val="1"/>
    <w:docVar w:name="LW_CROSSREFERENCE" w:val="&lt;UNUSED&gt;"/>
    <w:docVar w:name="LW_DocType" w:val="NORMAL"/>
    <w:docVar w:name="LW_EMISSION" w:val="17. 12. 2019"/>
    <w:docVar w:name="LW_EMISSION_ISODATE" w:val="2019-12-17"/>
    <w:docVar w:name="LW_EMISSION_LOCATION" w:val="BRX"/>
    <w:docVar w:name="LW_EMISSION_PREFIX" w:val="V Bruseli"/>
    <w:docVar w:name="LW_EMISSION_SUFFIX" w:val=" "/>
    <w:docVar w:name="LW_ID_DOCTYPE_NONLW" w:val="CP-008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trategická správa o vykonávaní európskych \u353?trukturálnych a investi\u269?ných fondov za rok 2019"/>
    <w:docVar w:name="LW_TYPE.DOC.CP" w:val="SPRÁVA KOMISIE EURÓPSKEMU PARLAMENTU, RADE, EURÓPSKEMU HOSPODÁRSKEMU A SOCIÁLNEMU VÝBORU A VÝBORU REGIÓNOV"/>
  </w:docVars>
  <w:rsids>
    <w:rsidRoot w:val="00B14F24"/>
    <w:rsid w:val="005F107E"/>
    <w:rsid w:val="00B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2C2DE6-D83E-4ED0-BFE0-BA0A86A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sk-SK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sk-SK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sk-SK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sk-SK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sk-SK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ohesiondata.ec.europa.eu/d/e4v6-qrrq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futurium/en/urban-agenda" TargetMode="External"/><Relationship Id="rId7" Type="http://schemas.openxmlformats.org/officeDocument/2006/relationships/hyperlink" Target="https://cohesiondata.ec.europa.eu/stories/s/eyh3-tjuv" TargetMode="External"/><Relationship Id="rId2" Type="http://schemas.openxmlformats.org/officeDocument/2006/relationships/hyperlink" Target="https://ec.europa.eu/regional_policy/sk/information/publications/reports/2017/7th-report-on-economic-social-and-territorial-cohesion" TargetMode="External"/><Relationship Id="rId1" Type="http://schemas.openxmlformats.org/officeDocument/2006/relationships/hyperlink" Target="https://cohesiondata.ec.europa.eu" TargetMode="External"/><Relationship Id="rId6" Type="http://schemas.openxmlformats.org/officeDocument/2006/relationships/hyperlink" Target="https://ec.europa.eu/digital-single-market/en/broadband-competence-offices" TargetMode="External"/><Relationship Id="rId5" Type="http://schemas.openxmlformats.org/officeDocument/2006/relationships/hyperlink" Target="https://ec.europa.eu/regional_policy/sk/policy/how/improving-investment/" TargetMode="External"/><Relationship Id="rId4" Type="http://schemas.openxmlformats.org/officeDocument/2006/relationships/hyperlink" Target="https://www.uia-initiative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3D9D20-A82E-4701-BC41-EA365149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5022</Words>
  <Characters>31488</Characters>
  <Application>Microsoft Office Word</Application>
  <DocSecurity>0</DocSecurity>
  <Lines>516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LAGES CARVALHO Patrick (SG)</cp:lastModifiedBy>
  <cp:revision>23</cp:revision>
  <cp:lastPrinted>2019-11-15T09:37:00Z</cp:lastPrinted>
  <dcterms:created xsi:type="dcterms:W3CDTF">2019-11-15T09:33:00Z</dcterms:created>
  <dcterms:modified xsi:type="dcterms:W3CDTF">2020-01-03T15:29:00Z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CP-008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