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82" w:rsidRDefault="003D407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40E0B32-FDF0-4F07-8A53-6DAF670EB79D" style="width:450.75pt;height:333.75pt">
            <v:imagedata r:id="rId8" o:title=""/>
          </v:shape>
        </w:pict>
      </w:r>
    </w:p>
    <w:bookmarkEnd w:id="0"/>
    <w:p w:rsidR="009A3F82" w:rsidRDefault="009A3F82">
      <w:pPr>
        <w:rPr>
          <w:noProof/>
        </w:rPr>
        <w:sectPr w:rsidR="009A3F82">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bookmarkStart w:id="1" w:name="_GoBack"/>
    <w:bookmarkEnd w:id="1"/>
    <w:p w:rsidR="003D4079" w:rsidRDefault="003D4079">
      <w:pPr>
        <w:pStyle w:val="TOC1"/>
        <w:tabs>
          <w:tab w:val="right" w:leader="dot" w:pos="9062"/>
        </w:tabs>
        <w:rPr>
          <w:rFonts w:asciiTheme="minorHAnsi" w:eastAsiaTheme="minorEastAsia" w:hAnsiTheme="minorHAnsi"/>
          <w:b w:val="0"/>
          <w:noProof/>
          <w:sz w:val="22"/>
          <w:lang w:val="en-GB" w:eastAsia="en-GB"/>
        </w:rPr>
      </w:pPr>
      <w:r>
        <w:rPr>
          <w:rFonts w:asciiTheme="minorHAnsi" w:hAnsiTheme="minorHAnsi"/>
          <w:bCs/>
          <w:caps/>
          <w:noProof/>
          <w:sz w:val="22"/>
        </w:rPr>
        <w:lastRenderedPageBreak/>
        <w:fldChar w:fldCharType="begin"/>
      </w:r>
      <w:r>
        <w:rPr>
          <w:rFonts w:asciiTheme="minorHAnsi" w:hAnsiTheme="minorHAnsi"/>
          <w:bCs/>
          <w:caps/>
          <w:noProof/>
          <w:sz w:val="22"/>
        </w:rPr>
        <w:instrText xml:space="preserve"> TOC \o "1-3" \h \z \u </w:instrText>
      </w:r>
      <w:r>
        <w:rPr>
          <w:rFonts w:asciiTheme="minorHAnsi" w:hAnsiTheme="minorHAnsi"/>
          <w:bCs/>
          <w:caps/>
          <w:noProof/>
          <w:sz w:val="22"/>
        </w:rPr>
        <w:fldChar w:fldCharType="separate"/>
      </w:r>
      <w:hyperlink w:anchor="_Toc28961605" w:history="1">
        <w:r w:rsidRPr="002C7942">
          <w:rPr>
            <w:rStyle w:val="Hyperlink"/>
            <w:noProof/>
          </w:rPr>
          <w:t>INTRODUCERE</w:t>
        </w:r>
        <w:r>
          <w:rPr>
            <w:noProof/>
            <w:webHidden/>
          </w:rPr>
          <w:tab/>
        </w:r>
        <w:r>
          <w:rPr>
            <w:noProof/>
            <w:webHidden/>
          </w:rPr>
          <w:fldChar w:fldCharType="begin"/>
        </w:r>
        <w:r>
          <w:rPr>
            <w:noProof/>
            <w:webHidden/>
          </w:rPr>
          <w:instrText xml:space="preserve"> PAGEREF _Toc28961605 \h </w:instrText>
        </w:r>
        <w:r>
          <w:rPr>
            <w:noProof/>
            <w:webHidden/>
          </w:rPr>
        </w:r>
        <w:r>
          <w:rPr>
            <w:noProof/>
            <w:webHidden/>
          </w:rPr>
          <w:fldChar w:fldCharType="separate"/>
        </w:r>
        <w:r>
          <w:rPr>
            <w:noProof/>
            <w:webHidden/>
          </w:rPr>
          <w:t>2</w:t>
        </w:r>
        <w:r>
          <w:rPr>
            <w:noProof/>
            <w:webHidden/>
          </w:rPr>
          <w:fldChar w:fldCharType="end"/>
        </w:r>
      </w:hyperlink>
    </w:p>
    <w:p w:rsidR="003D4079" w:rsidRDefault="003D4079">
      <w:pPr>
        <w:pStyle w:val="TOC1"/>
        <w:tabs>
          <w:tab w:val="right" w:leader="dot" w:pos="9062"/>
        </w:tabs>
        <w:rPr>
          <w:rFonts w:asciiTheme="minorHAnsi" w:eastAsiaTheme="minorEastAsia" w:hAnsiTheme="minorHAnsi"/>
          <w:b w:val="0"/>
          <w:noProof/>
          <w:sz w:val="22"/>
          <w:lang w:val="en-GB" w:eastAsia="en-GB"/>
        </w:rPr>
      </w:pPr>
      <w:hyperlink w:anchor="_Toc28961606" w:history="1">
        <w:r w:rsidRPr="002C7942">
          <w:rPr>
            <w:rStyle w:val="Hyperlink"/>
            <w:noProof/>
          </w:rPr>
          <w:t>1. UN CONTEXT DIFICIL ȘI FOARTE SCHIMBĂTOR</w:t>
        </w:r>
        <w:r>
          <w:rPr>
            <w:noProof/>
            <w:webHidden/>
          </w:rPr>
          <w:tab/>
        </w:r>
        <w:r>
          <w:rPr>
            <w:noProof/>
            <w:webHidden/>
          </w:rPr>
          <w:fldChar w:fldCharType="begin"/>
        </w:r>
        <w:r>
          <w:rPr>
            <w:noProof/>
            <w:webHidden/>
          </w:rPr>
          <w:instrText xml:space="preserve"> PAGEREF _Toc28961606 \h </w:instrText>
        </w:r>
        <w:r>
          <w:rPr>
            <w:noProof/>
            <w:webHidden/>
          </w:rPr>
        </w:r>
        <w:r>
          <w:rPr>
            <w:noProof/>
            <w:webHidden/>
          </w:rPr>
          <w:fldChar w:fldCharType="separate"/>
        </w:r>
        <w:r>
          <w:rPr>
            <w:noProof/>
            <w:webHidden/>
          </w:rPr>
          <w:t>3</w:t>
        </w:r>
        <w:r>
          <w:rPr>
            <w:noProof/>
            <w:webHidden/>
          </w:rPr>
          <w:fldChar w:fldCharType="end"/>
        </w:r>
      </w:hyperlink>
    </w:p>
    <w:p w:rsidR="003D4079" w:rsidRDefault="003D4079">
      <w:pPr>
        <w:pStyle w:val="TOC1"/>
        <w:tabs>
          <w:tab w:val="right" w:leader="dot" w:pos="9062"/>
        </w:tabs>
        <w:rPr>
          <w:rFonts w:asciiTheme="minorHAnsi" w:eastAsiaTheme="minorEastAsia" w:hAnsiTheme="minorHAnsi"/>
          <w:b w:val="0"/>
          <w:noProof/>
          <w:sz w:val="22"/>
          <w:lang w:val="en-GB" w:eastAsia="en-GB"/>
        </w:rPr>
      </w:pPr>
      <w:hyperlink w:anchor="_Toc28961607" w:history="1">
        <w:r w:rsidRPr="002C7942">
          <w:rPr>
            <w:rStyle w:val="Hyperlink"/>
            <w:noProof/>
          </w:rPr>
          <w:t>2. REALIZAREA UNOR INVESTIȚII PENTRU O CREȘTERE INTELIGENTĂ, DURABILĂ ȘI FAVORABILĂ INCLUZIUNII</w:t>
        </w:r>
        <w:r>
          <w:rPr>
            <w:noProof/>
            <w:webHidden/>
          </w:rPr>
          <w:tab/>
        </w:r>
        <w:r>
          <w:rPr>
            <w:noProof/>
            <w:webHidden/>
          </w:rPr>
          <w:fldChar w:fldCharType="begin"/>
        </w:r>
        <w:r>
          <w:rPr>
            <w:noProof/>
            <w:webHidden/>
          </w:rPr>
          <w:instrText xml:space="preserve"> PAGEREF _Toc28961607 \h </w:instrText>
        </w:r>
        <w:r>
          <w:rPr>
            <w:noProof/>
            <w:webHidden/>
          </w:rPr>
        </w:r>
        <w:r>
          <w:rPr>
            <w:noProof/>
            <w:webHidden/>
          </w:rPr>
          <w:fldChar w:fldCharType="separate"/>
        </w:r>
        <w:r>
          <w:rPr>
            <w:noProof/>
            <w:webHidden/>
          </w:rPr>
          <w:t>3</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08" w:history="1">
        <w:r w:rsidRPr="002C7942">
          <w:rPr>
            <w:rStyle w:val="Hyperlink"/>
            <w:noProof/>
          </w:rPr>
          <w:t>2.1. Progrese generale</w:t>
        </w:r>
        <w:r>
          <w:rPr>
            <w:noProof/>
            <w:webHidden/>
          </w:rPr>
          <w:tab/>
        </w:r>
        <w:r>
          <w:rPr>
            <w:noProof/>
            <w:webHidden/>
          </w:rPr>
          <w:fldChar w:fldCharType="begin"/>
        </w:r>
        <w:r>
          <w:rPr>
            <w:noProof/>
            <w:webHidden/>
          </w:rPr>
          <w:instrText xml:space="preserve"> PAGEREF _Toc28961608 \h </w:instrText>
        </w:r>
        <w:r>
          <w:rPr>
            <w:noProof/>
            <w:webHidden/>
          </w:rPr>
        </w:r>
        <w:r>
          <w:rPr>
            <w:noProof/>
            <w:webHidden/>
          </w:rPr>
          <w:fldChar w:fldCharType="separate"/>
        </w:r>
        <w:r>
          <w:rPr>
            <w:noProof/>
            <w:webHidden/>
          </w:rPr>
          <w:t>3</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09" w:history="1">
        <w:r w:rsidRPr="002C7942">
          <w:rPr>
            <w:rStyle w:val="Hyperlink"/>
            <w:noProof/>
          </w:rPr>
          <w:t>2.2. Cercetare, dezvoltare tehnologică și inovare, TIC și competitivitatea IMM-urilor</w:t>
        </w:r>
        <w:r>
          <w:rPr>
            <w:noProof/>
            <w:webHidden/>
          </w:rPr>
          <w:tab/>
        </w:r>
        <w:r>
          <w:rPr>
            <w:noProof/>
            <w:webHidden/>
          </w:rPr>
          <w:fldChar w:fldCharType="begin"/>
        </w:r>
        <w:r>
          <w:rPr>
            <w:noProof/>
            <w:webHidden/>
          </w:rPr>
          <w:instrText xml:space="preserve"> PAGEREF _Toc28961609 \h </w:instrText>
        </w:r>
        <w:r>
          <w:rPr>
            <w:noProof/>
            <w:webHidden/>
          </w:rPr>
        </w:r>
        <w:r>
          <w:rPr>
            <w:noProof/>
            <w:webHidden/>
          </w:rPr>
          <w:fldChar w:fldCharType="separate"/>
        </w:r>
        <w:r>
          <w:rPr>
            <w:noProof/>
            <w:webHidden/>
          </w:rPr>
          <w:t>5</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10" w:history="1">
        <w:r w:rsidRPr="002C7942">
          <w:rPr>
            <w:rStyle w:val="Hyperlink"/>
            <w:noProof/>
          </w:rPr>
          <w:t>2.3. Economia cu emisii scăzute de dioxid de carbon, schimbările climatice, mediul, transporturile și energia</w:t>
        </w:r>
        <w:r>
          <w:rPr>
            <w:noProof/>
            <w:webHidden/>
          </w:rPr>
          <w:tab/>
        </w:r>
        <w:r>
          <w:rPr>
            <w:noProof/>
            <w:webHidden/>
          </w:rPr>
          <w:fldChar w:fldCharType="begin"/>
        </w:r>
        <w:r>
          <w:rPr>
            <w:noProof/>
            <w:webHidden/>
          </w:rPr>
          <w:instrText xml:space="preserve"> PAGEREF _Toc28961610 \h </w:instrText>
        </w:r>
        <w:r>
          <w:rPr>
            <w:noProof/>
            <w:webHidden/>
          </w:rPr>
        </w:r>
        <w:r>
          <w:rPr>
            <w:noProof/>
            <w:webHidden/>
          </w:rPr>
          <w:fldChar w:fldCharType="separate"/>
        </w:r>
        <w:r>
          <w:rPr>
            <w:noProof/>
            <w:webHidden/>
          </w:rPr>
          <w:t>5</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11" w:history="1">
        <w:r w:rsidRPr="002C7942">
          <w:rPr>
            <w:rStyle w:val="Hyperlink"/>
            <w:noProof/>
          </w:rPr>
          <w:t>2.4. Ocuparea forței de muncă, incluziunea socială, sănătatea și educația</w:t>
        </w:r>
        <w:r>
          <w:rPr>
            <w:noProof/>
            <w:webHidden/>
          </w:rPr>
          <w:tab/>
        </w:r>
        <w:r>
          <w:rPr>
            <w:noProof/>
            <w:webHidden/>
          </w:rPr>
          <w:fldChar w:fldCharType="begin"/>
        </w:r>
        <w:r>
          <w:rPr>
            <w:noProof/>
            <w:webHidden/>
          </w:rPr>
          <w:instrText xml:space="preserve"> PAGEREF _Toc28961611 \h </w:instrText>
        </w:r>
        <w:r>
          <w:rPr>
            <w:noProof/>
            <w:webHidden/>
          </w:rPr>
        </w:r>
        <w:r>
          <w:rPr>
            <w:noProof/>
            <w:webHidden/>
          </w:rPr>
          <w:fldChar w:fldCharType="separate"/>
        </w:r>
        <w:r>
          <w:rPr>
            <w:noProof/>
            <w:webHidden/>
          </w:rPr>
          <w:t>7</w:t>
        </w:r>
        <w:r>
          <w:rPr>
            <w:noProof/>
            <w:webHidden/>
          </w:rPr>
          <w:fldChar w:fldCharType="end"/>
        </w:r>
      </w:hyperlink>
    </w:p>
    <w:p w:rsidR="003D4079" w:rsidRDefault="003D4079">
      <w:pPr>
        <w:pStyle w:val="TOC1"/>
        <w:tabs>
          <w:tab w:val="right" w:leader="dot" w:pos="9062"/>
        </w:tabs>
        <w:rPr>
          <w:rFonts w:asciiTheme="minorHAnsi" w:eastAsiaTheme="minorEastAsia" w:hAnsiTheme="minorHAnsi"/>
          <w:b w:val="0"/>
          <w:noProof/>
          <w:sz w:val="22"/>
          <w:lang w:val="en-GB" w:eastAsia="en-GB"/>
        </w:rPr>
      </w:pPr>
      <w:hyperlink w:anchor="_Toc28961612" w:history="1">
        <w:r w:rsidRPr="002C7942">
          <w:rPr>
            <w:rStyle w:val="Hyperlink"/>
            <w:noProof/>
          </w:rPr>
          <w:t>3. IMPACTUL PRINCIPALELOR REFORME DIN PERIOADA 2014-2020</w:t>
        </w:r>
        <w:r>
          <w:rPr>
            <w:noProof/>
            <w:webHidden/>
          </w:rPr>
          <w:tab/>
        </w:r>
        <w:r>
          <w:rPr>
            <w:noProof/>
            <w:webHidden/>
          </w:rPr>
          <w:fldChar w:fldCharType="begin"/>
        </w:r>
        <w:r>
          <w:rPr>
            <w:noProof/>
            <w:webHidden/>
          </w:rPr>
          <w:instrText xml:space="preserve"> PAGEREF _Toc28961612 \h </w:instrText>
        </w:r>
        <w:r>
          <w:rPr>
            <w:noProof/>
            <w:webHidden/>
          </w:rPr>
        </w:r>
        <w:r>
          <w:rPr>
            <w:noProof/>
            <w:webHidden/>
          </w:rPr>
          <w:fldChar w:fldCharType="separate"/>
        </w:r>
        <w:r>
          <w:rPr>
            <w:noProof/>
            <w:webHidden/>
          </w:rPr>
          <w:t>8</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13" w:history="1">
        <w:r w:rsidRPr="002C7942">
          <w:rPr>
            <w:rStyle w:val="Hyperlink"/>
            <w:noProof/>
          </w:rPr>
          <w:t>3.1. Contribuția fondurilor ESI la semestrul european</w:t>
        </w:r>
        <w:r>
          <w:rPr>
            <w:noProof/>
            <w:webHidden/>
          </w:rPr>
          <w:tab/>
        </w:r>
        <w:r>
          <w:rPr>
            <w:noProof/>
            <w:webHidden/>
          </w:rPr>
          <w:fldChar w:fldCharType="begin"/>
        </w:r>
        <w:r>
          <w:rPr>
            <w:noProof/>
            <w:webHidden/>
          </w:rPr>
          <w:instrText xml:space="preserve"> PAGEREF _Toc28961613 \h </w:instrText>
        </w:r>
        <w:r>
          <w:rPr>
            <w:noProof/>
            <w:webHidden/>
          </w:rPr>
        </w:r>
        <w:r>
          <w:rPr>
            <w:noProof/>
            <w:webHidden/>
          </w:rPr>
          <w:fldChar w:fldCharType="separate"/>
        </w:r>
        <w:r>
          <w:rPr>
            <w:noProof/>
            <w:webHidden/>
          </w:rPr>
          <w:t>8</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14" w:history="1">
        <w:r w:rsidRPr="002C7942">
          <w:rPr>
            <w:rStyle w:val="Hyperlink"/>
            <w:noProof/>
          </w:rPr>
          <w:t xml:space="preserve">3.2. Condiții prealabile pentru finanțare: condiționalități </w:t>
        </w:r>
        <w:r w:rsidRPr="002C7942">
          <w:rPr>
            <w:rStyle w:val="Hyperlink"/>
            <w:i/>
            <w:iCs/>
            <w:noProof/>
          </w:rPr>
          <w:t>ex ante</w:t>
        </w:r>
        <w:r>
          <w:rPr>
            <w:noProof/>
            <w:webHidden/>
          </w:rPr>
          <w:tab/>
        </w:r>
        <w:r>
          <w:rPr>
            <w:noProof/>
            <w:webHidden/>
          </w:rPr>
          <w:fldChar w:fldCharType="begin"/>
        </w:r>
        <w:r>
          <w:rPr>
            <w:noProof/>
            <w:webHidden/>
          </w:rPr>
          <w:instrText xml:space="preserve"> PAGEREF _Toc28961614 \h </w:instrText>
        </w:r>
        <w:r>
          <w:rPr>
            <w:noProof/>
            <w:webHidden/>
          </w:rPr>
        </w:r>
        <w:r>
          <w:rPr>
            <w:noProof/>
            <w:webHidden/>
          </w:rPr>
          <w:fldChar w:fldCharType="separate"/>
        </w:r>
        <w:r>
          <w:rPr>
            <w:noProof/>
            <w:webHidden/>
          </w:rPr>
          <w:t>8</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15" w:history="1">
        <w:r w:rsidRPr="002C7942">
          <w:rPr>
            <w:rStyle w:val="Hyperlink"/>
            <w:noProof/>
          </w:rPr>
          <w:t>3.3. Regula privind dezangajarea „N+3”</w:t>
        </w:r>
        <w:r>
          <w:rPr>
            <w:noProof/>
            <w:webHidden/>
          </w:rPr>
          <w:tab/>
        </w:r>
        <w:r>
          <w:rPr>
            <w:noProof/>
            <w:webHidden/>
          </w:rPr>
          <w:fldChar w:fldCharType="begin"/>
        </w:r>
        <w:r>
          <w:rPr>
            <w:noProof/>
            <w:webHidden/>
          </w:rPr>
          <w:instrText xml:space="preserve"> PAGEREF _Toc28961615 \h </w:instrText>
        </w:r>
        <w:r>
          <w:rPr>
            <w:noProof/>
            <w:webHidden/>
          </w:rPr>
        </w:r>
        <w:r>
          <w:rPr>
            <w:noProof/>
            <w:webHidden/>
          </w:rPr>
          <w:fldChar w:fldCharType="separate"/>
        </w:r>
        <w:r>
          <w:rPr>
            <w:noProof/>
            <w:webHidden/>
          </w:rPr>
          <w:t>8</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16" w:history="1">
        <w:r w:rsidRPr="002C7942">
          <w:rPr>
            <w:rStyle w:val="Hyperlink"/>
            <w:noProof/>
          </w:rPr>
          <w:t>3.4. Cadrul de performanță</w:t>
        </w:r>
        <w:r>
          <w:rPr>
            <w:noProof/>
            <w:webHidden/>
          </w:rPr>
          <w:tab/>
        </w:r>
        <w:r>
          <w:rPr>
            <w:noProof/>
            <w:webHidden/>
          </w:rPr>
          <w:fldChar w:fldCharType="begin"/>
        </w:r>
        <w:r>
          <w:rPr>
            <w:noProof/>
            <w:webHidden/>
          </w:rPr>
          <w:instrText xml:space="preserve"> PAGEREF _Toc28961616 \h </w:instrText>
        </w:r>
        <w:r>
          <w:rPr>
            <w:noProof/>
            <w:webHidden/>
          </w:rPr>
        </w:r>
        <w:r>
          <w:rPr>
            <w:noProof/>
            <w:webHidden/>
          </w:rPr>
          <w:fldChar w:fldCharType="separate"/>
        </w:r>
        <w:r>
          <w:rPr>
            <w:noProof/>
            <w:webHidden/>
          </w:rPr>
          <w:t>9</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17" w:history="1">
        <w:r w:rsidRPr="002C7942">
          <w:rPr>
            <w:rStyle w:val="Hyperlink"/>
            <w:noProof/>
          </w:rPr>
          <w:t>3.5. Susținerea dezvoltării teritoriale integrate</w:t>
        </w:r>
        <w:r>
          <w:rPr>
            <w:noProof/>
            <w:webHidden/>
          </w:rPr>
          <w:tab/>
        </w:r>
        <w:r>
          <w:rPr>
            <w:noProof/>
            <w:webHidden/>
          </w:rPr>
          <w:fldChar w:fldCharType="begin"/>
        </w:r>
        <w:r>
          <w:rPr>
            <w:noProof/>
            <w:webHidden/>
          </w:rPr>
          <w:instrText xml:space="preserve"> PAGEREF _Toc28961617 \h </w:instrText>
        </w:r>
        <w:r>
          <w:rPr>
            <w:noProof/>
            <w:webHidden/>
          </w:rPr>
        </w:r>
        <w:r>
          <w:rPr>
            <w:noProof/>
            <w:webHidden/>
          </w:rPr>
          <w:fldChar w:fldCharType="separate"/>
        </w:r>
        <w:r>
          <w:rPr>
            <w:noProof/>
            <w:webHidden/>
          </w:rPr>
          <w:t>9</w:t>
        </w:r>
        <w:r>
          <w:rPr>
            <w:noProof/>
            <w:webHidden/>
          </w:rPr>
          <w:fldChar w:fldCharType="end"/>
        </w:r>
      </w:hyperlink>
    </w:p>
    <w:p w:rsidR="003D4079" w:rsidRDefault="003D4079">
      <w:pPr>
        <w:pStyle w:val="TOC3"/>
        <w:tabs>
          <w:tab w:val="right" w:leader="dot" w:pos="9062"/>
        </w:tabs>
        <w:rPr>
          <w:rFonts w:asciiTheme="minorHAnsi" w:eastAsiaTheme="minorEastAsia" w:hAnsiTheme="minorHAnsi"/>
          <w:i w:val="0"/>
          <w:noProof/>
          <w:sz w:val="22"/>
          <w:lang w:val="en-GB" w:eastAsia="en-GB"/>
        </w:rPr>
      </w:pPr>
      <w:hyperlink w:anchor="_Toc28961618" w:history="1">
        <w:r w:rsidRPr="002C7942">
          <w:rPr>
            <w:rStyle w:val="Hyperlink"/>
            <w:noProof/>
          </w:rPr>
          <w:t>3.5.1. Investițiile integrate în orașe</w:t>
        </w:r>
        <w:r>
          <w:rPr>
            <w:noProof/>
            <w:webHidden/>
          </w:rPr>
          <w:tab/>
        </w:r>
        <w:r>
          <w:rPr>
            <w:noProof/>
            <w:webHidden/>
          </w:rPr>
          <w:fldChar w:fldCharType="begin"/>
        </w:r>
        <w:r>
          <w:rPr>
            <w:noProof/>
            <w:webHidden/>
          </w:rPr>
          <w:instrText xml:space="preserve"> PAGEREF _Toc28961618 \h </w:instrText>
        </w:r>
        <w:r>
          <w:rPr>
            <w:noProof/>
            <w:webHidden/>
          </w:rPr>
        </w:r>
        <w:r>
          <w:rPr>
            <w:noProof/>
            <w:webHidden/>
          </w:rPr>
          <w:fldChar w:fldCharType="separate"/>
        </w:r>
        <w:r>
          <w:rPr>
            <w:noProof/>
            <w:webHidden/>
          </w:rPr>
          <w:t>10</w:t>
        </w:r>
        <w:r>
          <w:rPr>
            <w:noProof/>
            <w:webHidden/>
          </w:rPr>
          <w:fldChar w:fldCharType="end"/>
        </w:r>
      </w:hyperlink>
    </w:p>
    <w:p w:rsidR="003D4079" w:rsidRDefault="003D4079">
      <w:pPr>
        <w:pStyle w:val="TOC3"/>
        <w:tabs>
          <w:tab w:val="right" w:leader="dot" w:pos="9062"/>
        </w:tabs>
        <w:rPr>
          <w:rFonts w:asciiTheme="minorHAnsi" w:eastAsiaTheme="minorEastAsia" w:hAnsiTheme="minorHAnsi"/>
          <w:i w:val="0"/>
          <w:noProof/>
          <w:sz w:val="22"/>
          <w:lang w:val="en-GB" w:eastAsia="en-GB"/>
        </w:rPr>
      </w:pPr>
      <w:hyperlink w:anchor="_Toc28961619" w:history="1">
        <w:r w:rsidRPr="002C7942">
          <w:rPr>
            <w:rStyle w:val="Hyperlink"/>
            <w:noProof/>
          </w:rPr>
          <w:t>3.5.2. Implementarea unor instrumente teritoriale</w:t>
        </w:r>
        <w:r>
          <w:rPr>
            <w:noProof/>
            <w:webHidden/>
          </w:rPr>
          <w:tab/>
        </w:r>
        <w:r>
          <w:rPr>
            <w:noProof/>
            <w:webHidden/>
          </w:rPr>
          <w:fldChar w:fldCharType="begin"/>
        </w:r>
        <w:r>
          <w:rPr>
            <w:noProof/>
            <w:webHidden/>
          </w:rPr>
          <w:instrText xml:space="preserve"> PAGEREF _Toc28961619 \h </w:instrText>
        </w:r>
        <w:r>
          <w:rPr>
            <w:noProof/>
            <w:webHidden/>
          </w:rPr>
        </w:r>
        <w:r>
          <w:rPr>
            <w:noProof/>
            <w:webHidden/>
          </w:rPr>
          <w:fldChar w:fldCharType="separate"/>
        </w:r>
        <w:r>
          <w:rPr>
            <w:noProof/>
            <w:webHidden/>
          </w:rPr>
          <w:t>10</w:t>
        </w:r>
        <w:r>
          <w:rPr>
            <w:noProof/>
            <w:webHidden/>
          </w:rPr>
          <w:fldChar w:fldCharType="end"/>
        </w:r>
      </w:hyperlink>
    </w:p>
    <w:p w:rsidR="003D4079" w:rsidRDefault="003D4079">
      <w:pPr>
        <w:pStyle w:val="TOC3"/>
        <w:tabs>
          <w:tab w:val="right" w:leader="dot" w:pos="9062"/>
        </w:tabs>
        <w:rPr>
          <w:rFonts w:asciiTheme="minorHAnsi" w:eastAsiaTheme="minorEastAsia" w:hAnsiTheme="minorHAnsi"/>
          <w:i w:val="0"/>
          <w:noProof/>
          <w:sz w:val="22"/>
          <w:lang w:val="en-GB" w:eastAsia="en-GB"/>
        </w:rPr>
      </w:pPr>
      <w:hyperlink w:anchor="_Toc28961620" w:history="1">
        <w:r w:rsidRPr="002C7942">
          <w:rPr>
            <w:rStyle w:val="Hyperlink"/>
            <w:noProof/>
          </w:rPr>
          <w:t>3.5.3. Cooperarea teritorială</w:t>
        </w:r>
        <w:r>
          <w:rPr>
            <w:noProof/>
            <w:webHidden/>
          </w:rPr>
          <w:tab/>
        </w:r>
        <w:r>
          <w:rPr>
            <w:noProof/>
            <w:webHidden/>
          </w:rPr>
          <w:fldChar w:fldCharType="begin"/>
        </w:r>
        <w:r>
          <w:rPr>
            <w:noProof/>
            <w:webHidden/>
          </w:rPr>
          <w:instrText xml:space="preserve"> PAGEREF _Toc28961620 \h </w:instrText>
        </w:r>
        <w:r>
          <w:rPr>
            <w:noProof/>
            <w:webHidden/>
          </w:rPr>
        </w:r>
        <w:r>
          <w:rPr>
            <w:noProof/>
            <w:webHidden/>
          </w:rPr>
          <w:fldChar w:fldCharType="separate"/>
        </w:r>
        <w:r>
          <w:rPr>
            <w:noProof/>
            <w:webHidden/>
          </w:rPr>
          <w:t>10</w:t>
        </w:r>
        <w:r>
          <w:rPr>
            <w:noProof/>
            <w:webHidden/>
          </w:rPr>
          <w:fldChar w:fldCharType="end"/>
        </w:r>
      </w:hyperlink>
    </w:p>
    <w:p w:rsidR="003D4079" w:rsidRDefault="003D4079">
      <w:pPr>
        <w:pStyle w:val="TOC1"/>
        <w:tabs>
          <w:tab w:val="right" w:leader="dot" w:pos="9062"/>
        </w:tabs>
        <w:rPr>
          <w:rFonts w:asciiTheme="minorHAnsi" w:eastAsiaTheme="minorEastAsia" w:hAnsiTheme="minorHAnsi"/>
          <w:b w:val="0"/>
          <w:noProof/>
          <w:sz w:val="22"/>
          <w:lang w:val="en-GB" w:eastAsia="en-GB"/>
        </w:rPr>
      </w:pPr>
      <w:hyperlink w:anchor="_Toc28961621" w:history="1">
        <w:r w:rsidRPr="002C7942">
          <w:rPr>
            <w:rStyle w:val="Hyperlink"/>
            <w:noProof/>
          </w:rPr>
          <w:t>4. O MAI BUNĂ GESTIONARE A PROGRAMELOR</w:t>
        </w:r>
        <w:r>
          <w:rPr>
            <w:noProof/>
            <w:webHidden/>
          </w:rPr>
          <w:tab/>
        </w:r>
        <w:r>
          <w:rPr>
            <w:noProof/>
            <w:webHidden/>
          </w:rPr>
          <w:fldChar w:fldCharType="begin"/>
        </w:r>
        <w:r>
          <w:rPr>
            <w:noProof/>
            <w:webHidden/>
          </w:rPr>
          <w:instrText xml:space="preserve"> PAGEREF _Toc28961621 \h </w:instrText>
        </w:r>
        <w:r>
          <w:rPr>
            <w:noProof/>
            <w:webHidden/>
          </w:rPr>
        </w:r>
        <w:r>
          <w:rPr>
            <w:noProof/>
            <w:webHidden/>
          </w:rPr>
          <w:fldChar w:fldCharType="separate"/>
        </w:r>
        <w:r>
          <w:rPr>
            <w:noProof/>
            <w:webHidden/>
          </w:rPr>
          <w:t>11</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22" w:history="1">
        <w:r w:rsidRPr="002C7942">
          <w:rPr>
            <w:rStyle w:val="Hyperlink"/>
            <w:noProof/>
          </w:rPr>
          <w:t>4.1. Capacitatea autorităților și a beneficiarilor</w:t>
        </w:r>
        <w:r>
          <w:rPr>
            <w:noProof/>
            <w:webHidden/>
          </w:rPr>
          <w:tab/>
        </w:r>
        <w:r>
          <w:rPr>
            <w:noProof/>
            <w:webHidden/>
          </w:rPr>
          <w:fldChar w:fldCharType="begin"/>
        </w:r>
        <w:r>
          <w:rPr>
            <w:noProof/>
            <w:webHidden/>
          </w:rPr>
          <w:instrText xml:space="preserve"> PAGEREF _Toc28961622 \h </w:instrText>
        </w:r>
        <w:r>
          <w:rPr>
            <w:noProof/>
            <w:webHidden/>
          </w:rPr>
        </w:r>
        <w:r>
          <w:rPr>
            <w:noProof/>
            <w:webHidden/>
          </w:rPr>
          <w:fldChar w:fldCharType="separate"/>
        </w:r>
        <w:r>
          <w:rPr>
            <w:noProof/>
            <w:webHidden/>
          </w:rPr>
          <w:t>11</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23" w:history="1">
        <w:r w:rsidRPr="002C7942">
          <w:rPr>
            <w:rStyle w:val="Hyperlink"/>
            <w:noProof/>
          </w:rPr>
          <w:t>4.2. Simplificări pentru beneficiari</w:t>
        </w:r>
        <w:r>
          <w:rPr>
            <w:noProof/>
            <w:webHidden/>
          </w:rPr>
          <w:tab/>
        </w:r>
        <w:r>
          <w:rPr>
            <w:noProof/>
            <w:webHidden/>
          </w:rPr>
          <w:fldChar w:fldCharType="begin"/>
        </w:r>
        <w:r>
          <w:rPr>
            <w:noProof/>
            <w:webHidden/>
          </w:rPr>
          <w:instrText xml:space="preserve"> PAGEREF _Toc28961623 \h </w:instrText>
        </w:r>
        <w:r>
          <w:rPr>
            <w:noProof/>
            <w:webHidden/>
          </w:rPr>
        </w:r>
        <w:r>
          <w:rPr>
            <w:noProof/>
            <w:webHidden/>
          </w:rPr>
          <w:fldChar w:fldCharType="separate"/>
        </w:r>
        <w:r>
          <w:rPr>
            <w:noProof/>
            <w:webHidden/>
          </w:rPr>
          <w:t>12</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24" w:history="1">
        <w:r w:rsidRPr="002C7942">
          <w:rPr>
            <w:rStyle w:val="Hyperlink"/>
            <w:noProof/>
          </w:rPr>
          <w:t>4.3.</w:t>
        </w:r>
        <w:r w:rsidRPr="002C7942">
          <w:rPr>
            <w:rStyle w:val="Hyperlink"/>
            <w:caps/>
            <w:noProof/>
          </w:rPr>
          <w:t xml:space="preserve"> </w:t>
        </w:r>
        <w:r w:rsidRPr="002C7942">
          <w:rPr>
            <w:rStyle w:val="Hyperlink"/>
            <w:noProof/>
          </w:rPr>
          <w:t>Rolul partenerilor în implementarea programelor</w:t>
        </w:r>
        <w:r>
          <w:rPr>
            <w:noProof/>
            <w:webHidden/>
          </w:rPr>
          <w:tab/>
        </w:r>
        <w:r>
          <w:rPr>
            <w:noProof/>
            <w:webHidden/>
          </w:rPr>
          <w:fldChar w:fldCharType="begin"/>
        </w:r>
        <w:r>
          <w:rPr>
            <w:noProof/>
            <w:webHidden/>
          </w:rPr>
          <w:instrText xml:space="preserve"> PAGEREF _Toc28961624 \h </w:instrText>
        </w:r>
        <w:r>
          <w:rPr>
            <w:noProof/>
            <w:webHidden/>
          </w:rPr>
        </w:r>
        <w:r>
          <w:rPr>
            <w:noProof/>
            <w:webHidden/>
          </w:rPr>
          <w:fldChar w:fldCharType="separate"/>
        </w:r>
        <w:r>
          <w:rPr>
            <w:noProof/>
            <w:webHidden/>
          </w:rPr>
          <w:t>12</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25" w:history="1">
        <w:r w:rsidRPr="002C7942">
          <w:rPr>
            <w:rStyle w:val="Hyperlink"/>
            <w:noProof/>
          </w:rPr>
          <w:t>4.4.</w:t>
        </w:r>
        <w:r w:rsidRPr="002C7942">
          <w:rPr>
            <w:rStyle w:val="Hyperlink"/>
            <w:caps/>
            <w:noProof/>
          </w:rPr>
          <w:t xml:space="preserve"> </w:t>
        </w:r>
        <w:r w:rsidRPr="002C7942">
          <w:rPr>
            <w:rStyle w:val="Hyperlink"/>
            <w:noProof/>
          </w:rPr>
          <w:t>Punerea în aplicare a principiilor orizontale și a obiectivelor de politică</w:t>
        </w:r>
        <w:r>
          <w:rPr>
            <w:noProof/>
            <w:webHidden/>
          </w:rPr>
          <w:tab/>
        </w:r>
        <w:r>
          <w:rPr>
            <w:noProof/>
            <w:webHidden/>
          </w:rPr>
          <w:fldChar w:fldCharType="begin"/>
        </w:r>
        <w:r>
          <w:rPr>
            <w:noProof/>
            <w:webHidden/>
          </w:rPr>
          <w:instrText xml:space="preserve"> PAGEREF _Toc28961625 \h </w:instrText>
        </w:r>
        <w:r>
          <w:rPr>
            <w:noProof/>
            <w:webHidden/>
          </w:rPr>
        </w:r>
        <w:r>
          <w:rPr>
            <w:noProof/>
            <w:webHidden/>
          </w:rPr>
          <w:fldChar w:fldCharType="separate"/>
        </w:r>
        <w:r>
          <w:rPr>
            <w:noProof/>
            <w:webHidden/>
          </w:rPr>
          <w:t>12</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26" w:history="1">
        <w:r w:rsidRPr="002C7942">
          <w:rPr>
            <w:rStyle w:val="Hyperlink"/>
            <w:noProof/>
          </w:rPr>
          <w:t>4.5. Complementarități mai bune pentru un impact mai mare</w:t>
        </w:r>
        <w:r>
          <w:rPr>
            <w:noProof/>
            <w:webHidden/>
          </w:rPr>
          <w:tab/>
        </w:r>
        <w:r>
          <w:rPr>
            <w:noProof/>
            <w:webHidden/>
          </w:rPr>
          <w:fldChar w:fldCharType="begin"/>
        </w:r>
        <w:r>
          <w:rPr>
            <w:noProof/>
            <w:webHidden/>
          </w:rPr>
          <w:instrText xml:space="preserve"> PAGEREF _Toc28961626 \h </w:instrText>
        </w:r>
        <w:r>
          <w:rPr>
            <w:noProof/>
            <w:webHidden/>
          </w:rPr>
        </w:r>
        <w:r>
          <w:rPr>
            <w:noProof/>
            <w:webHidden/>
          </w:rPr>
          <w:fldChar w:fldCharType="separate"/>
        </w:r>
        <w:r>
          <w:rPr>
            <w:noProof/>
            <w:webHidden/>
          </w:rPr>
          <w:t>13</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27" w:history="1">
        <w:r w:rsidRPr="002C7942">
          <w:rPr>
            <w:rStyle w:val="Hyperlink"/>
            <w:noProof/>
          </w:rPr>
          <w:t>4.6. Sinteza evaluării fondurilor ESI</w:t>
        </w:r>
        <w:r>
          <w:rPr>
            <w:noProof/>
            <w:webHidden/>
          </w:rPr>
          <w:tab/>
        </w:r>
        <w:r>
          <w:rPr>
            <w:noProof/>
            <w:webHidden/>
          </w:rPr>
          <w:fldChar w:fldCharType="begin"/>
        </w:r>
        <w:r>
          <w:rPr>
            <w:noProof/>
            <w:webHidden/>
          </w:rPr>
          <w:instrText xml:space="preserve"> PAGEREF _Toc28961627 \h </w:instrText>
        </w:r>
        <w:r>
          <w:rPr>
            <w:noProof/>
            <w:webHidden/>
          </w:rPr>
        </w:r>
        <w:r>
          <w:rPr>
            <w:noProof/>
            <w:webHidden/>
          </w:rPr>
          <w:fldChar w:fldCharType="separate"/>
        </w:r>
        <w:r>
          <w:rPr>
            <w:noProof/>
            <w:webHidden/>
          </w:rPr>
          <w:t>13</w:t>
        </w:r>
        <w:r>
          <w:rPr>
            <w:noProof/>
            <w:webHidden/>
          </w:rPr>
          <w:fldChar w:fldCharType="end"/>
        </w:r>
      </w:hyperlink>
    </w:p>
    <w:p w:rsidR="003D4079" w:rsidRDefault="003D4079">
      <w:pPr>
        <w:pStyle w:val="TOC2"/>
        <w:tabs>
          <w:tab w:val="right" w:leader="dot" w:pos="9062"/>
        </w:tabs>
        <w:rPr>
          <w:rFonts w:asciiTheme="minorHAnsi" w:eastAsiaTheme="minorEastAsia" w:hAnsiTheme="minorHAnsi"/>
          <w:noProof/>
          <w:sz w:val="22"/>
          <w:lang w:val="en-GB" w:eastAsia="en-GB"/>
        </w:rPr>
      </w:pPr>
      <w:hyperlink w:anchor="_Toc28961628" w:history="1">
        <w:r w:rsidRPr="002C7942">
          <w:rPr>
            <w:rStyle w:val="Hyperlink"/>
            <w:noProof/>
          </w:rPr>
          <w:t>4.7. Comunicarea privind fondurile ESI</w:t>
        </w:r>
        <w:r>
          <w:rPr>
            <w:noProof/>
            <w:webHidden/>
          </w:rPr>
          <w:tab/>
        </w:r>
        <w:r>
          <w:rPr>
            <w:noProof/>
            <w:webHidden/>
          </w:rPr>
          <w:fldChar w:fldCharType="begin"/>
        </w:r>
        <w:r>
          <w:rPr>
            <w:noProof/>
            <w:webHidden/>
          </w:rPr>
          <w:instrText xml:space="preserve"> PAGEREF _Toc28961628 \h </w:instrText>
        </w:r>
        <w:r>
          <w:rPr>
            <w:noProof/>
            <w:webHidden/>
          </w:rPr>
        </w:r>
        <w:r>
          <w:rPr>
            <w:noProof/>
            <w:webHidden/>
          </w:rPr>
          <w:fldChar w:fldCharType="separate"/>
        </w:r>
        <w:r>
          <w:rPr>
            <w:noProof/>
            <w:webHidden/>
          </w:rPr>
          <w:t>14</w:t>
        </w:r>
        <w:r>
          <w:rPr>
            <w:noProof/>
            <w:webHidden/>
          </w:rPr>
          <w:fldChar w:fldCharType="end"/>
        </w:r>
      </w:hyperlink>
    </w:p>
    <w:p w:rsidR="003D4079" w:rsidRDefault="003D4079">
      <w:pPr>
        <w:pStyle w:val="TOC1"/>
        <w:tabs>
          <w:tab w:val="right" w:leader="dot" w:pos="9062"/>
        </w:tabs>
        <w:rPr>
          <w:rFonts w:asciiTheme="minorHAnsi" w:eastAsiaTheme="minorEastAsia" w:hAnsiTheme="minorHAnsi"/>
          <w:b w:val="0"/>
          <w:noProof/>
          <w:sz w:val="22"/>
          <w:lang w:val="en-GB" w:eastAsia="en-GB"/>
        </w:rPr>
      </w:pPr>
      <w:hyperlink w:anchor="_Toc28961629" w:history="1">
        <w:r w:rsidRPr="002C7942">
          <w:rPr>
            <w:rStyle w:val="Hyperlink"/>
            <w:noProof/>
          </w:rPr>
          <w:t>CONCLUZIE</w:t>
        </w:r>
        <w:r>
          <w:rPr>
            <w:noProof/>
            <w:webHidden/>
          </w:rPr>
          <w:tab/>
        </w:r>
        <w:r>
          <w:rPr>
            <w:noProof/>
            <w:webHidden/>
          </w:rPr>
          <w:fldChar w:fldCharType="begin"/>
        </w:r>
        <w:r>
          <w:rPr>
            <w:noProof/>
            <w:webHidden/>
          </w:rPr>
          <w:instrText xml:space="preserve"> PAGEREF _Toc28961629 \h </w:instrText>
        </w:r>
        <w:r>
          <w:rPr>
            <w:noProof/>
            <w:webHidden/>
          </w:rPr>
        </w:r>
        <w:r>
          <w:rPr>
            <w:noProof/>
            <w:webHidden/>
          </w:rPr>
          <w:fldChar w:fldCharType="separate"/>
        </w:r>
        <w:r>
          <w:rPr>
            <w:noProof/>
            <w:webHidden/>
          </w:rPr>
          <w:t>15</w:t>
        </w:r>
        <w:r>
          <w:rPr>
            <w:noProof/>
            <w:webHidden/>
          </w:rPr>
          <w:fldChar w:fldCharType="end"/>
        </w:r>
      </w:hyperlink>
    </w:p>
    <w:p w:rsidR="009A3F82" w:rsidRDefault="003D4079">
      <w:pPr>
        <w:pStyle w:val="Heading1"/>
        <w:rPr>
          <w:rFonts w:asciiTheme="minorHAnsi" w:eastAsiaTheme="minorHAnsi" w:hAnsiTheme="minorHAnsi" w:cstheme="minorBidi"/>
          <w:bCs w:val="0"/>
          <w:caps w:val="0"/>
          <w:noProof/>
          <w:sz w:val="22"/>
          <w:szCs w:val="22"/>
        </w:rPr>
        <w:sectPr w:rsidR="009A3F8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20"/>
          <w:docGrid w:linePitch="360"/>
        </w:sectPr>
      </w:pPr>
      <w:r>
        <w:rPr>
          <w:rFonts w:asciiTheme="minorHAnsi" w:eastAsiaTheme="minorHAnsi" w:hAnsiTheme="minorHAnsi" w:cstheme="minorBidi"/>
          <w:bCs w:val="0"/>
          <w:caps w:val="0"/>
          <w:noProof/>
          <w:sz w:val="22"/>
          <w:szCs w:val="22"/>
        </w:rPr>
        <w:fldChar w:fldCharType="end"/>
      </w:r>
    </w:p>
    <w:p w:rsidR="009A3F82" w:rsidRDefault="003D4079">
      <w:pPr>
        <w:pStyle w:val="Heading1"/>
        <w:rPr>
          <w:rFonts w:asciiTheme="minorHAnsi" w:eastAsiaTheme="minorHAnsi" w:hAnsiTheme="minorHAnsi" w:cstheme="minorBidi"/>
          <w:bCs w:val="0"/>
          <w:caps w:val="0"/>
          <w:noProof/>
          <w:sz w:val="22"/>
          <w:szCs w:val="22"/>
        </w:rPr>
      </w:pPr>
      <w:bookmarkStart w:id="2" w:name="_Toc28961605"/>
      <w:r>
        <w:rPr>
          <w:noProof/>
        </w:rPr>
        <w:lastRenderedPageBreak/>
        <w:t>INTRODUCERE</w:t>
      </w:r>
      <w:bookmarkEnd w:id="2"/>
    </w:p>
    <w:p w:rsidR="009A3F82" w:rsidRDefault="003D4079">
      <w:pPr>
        <w:spacing w:before="120"/>
        <w:rPr>
          <w:rFonts w:cs="Times New Roman"/>
          <w:noProof/>
        </w:rPr>
      </w:pPr>
      <w:r>
        <w:rPr>
          <w:noProof/>
        </w:rPr>
        <w:t>Principalul scop al fondurilor structurale și de investiții europene</w:t>
      </w:r>
      <w:r>
        <w:rPr>
          <w:rStyle w:val="FootnoteReference"/>
          <w:rFonts w:cs="Times New Roman"/>
          <w:noProof/>
        </w:rPr>
        <w:footnoteReference w:id="1"/>
      </w:r>
      <w:r>
        <w:rPr>
          <w:noProof/>
        </w:rPr>
        <w:t xml:space="preserve"> („fondurile ESI”) este promovarea convergenți socioeconomice , a rezilienței și a coeziunii teritoriale pe termen lung. Fondurile ESI aduc o masă critică de investiții</w:t>
      </w:r>
      <w:r>
        <w:rPr>
          <w:rFonts w:cs="Times New Roman"/>
          <w:noProof/>
          <w:vertAlign w:val="superscript"/>
        </w:rPr>
        <w:footnoteReference w:id="2"/>
      </w:r>
      <w:r>
        <w:rPr>
          <w:noProof/>
        </w:rPr>
        <w:t xml:space="preserve"> în domenii prioritare ale UE printr-o gestiune partajată între Comisie și statele memb</w:t>
      </w:r>
      <w:r>
        <w:rPr>
          <w:noProof/>
        </w:rPr>
        <w:t xml:space="preserve">re. Prin susținerea creării de locuri de muncă, a creșterii economice și a investițiilor, prin consolidarea pieței unice, a uniunii energetice și a guvernanței economice, aceste investiții răspund nevoilor economiei reale. </w:t>
      </w:r>
    </w:p>
    <w:p w:rsidR="009A3F82" w:rsidRDefault="003D4079">
      <w:pPr>
        <w:spacing w:before="120"/>
        <w:rPr>
          <w:rFonts w:cs="Times New Roman"/>
          <w:noProof/>
        </w:rPr>
      </w:pPr>
      <w:r>
        <w:rPr>
          <w:noProof/>
        </w:rPr>
        <w:t>Acest al doilea raport strategic</w:t>
      </w:r>
      <w:r>
        <w:rPr>
          <w:rStyle w:val="FootnoteReference"/>
          <w:rFonts w:cs="Times New Roman"/>
          <w:noProof/>
        </w:rPr>
        <w:footnoteReference w:id="3"/>
      </w:r>
      <w:r>
        <w:rPr>
          <w:noProof/>
        </w:rPr>
        <w:t xml:space="preserve"> se bazează pe rapoartele de implementare și pe rapoartele privind progresele înregistrate ale statelor membre privind implementarea programelor pentru perioada 2014-2020 finanțate din fondurile ESI, până la sfârșitul anului 2018</w:t>
      </w:r>
      <w:r>
        <w:rPr>
          <w:rStyle w:val="FootnoteReference"/>
          <w:rFonts w:cs="Times New Roman"/>
          <w:noProof/>
        </w:rPr>
        <w:footnoteReference w:id="4"/>
      </w:r>
      <w:r>
        <w:rPr>
          <w:noProof/>
        </w:rPr>
        <w:t>. În acel moment, erau de</w:t>
      </w:r>
      <w:r>
        <w:rPr>
          <w:noProof/>
        </w:rPr>
        <w:t>ja angajate 72 % din resursele disponibile din cadrul fondurilor ESI</w:t>
      </w:r>
      <w:r>
        <w:rPr>
          <w:rStyle w:val="FootnoteReference"/>
          <w:rFonts w:cs="Times New Roman"/>
          <w:noProof/>
        </w:rPr>
        <w:footnoteReference w:id="5"/>
      </w:r>
      <w:r>
        <w:rPr>
          <w:noProof/>
        </w:rPr>
        <w:t>. Proiectele deja finanțate au un impact tot mai mare în domeniile-cheie de politică, de exemplu:</w:t>
      </w:r>
    </w:p>
    <w:p w:rsidR="009A3F82" w:rsidRDefault="003D4079">
      <w:pPr>
        <w:pStyle w:val="ListParagraph"/>
        <w:numPr>
          <w:ilvl w:val="0"/>
          <w:numId w:val="48"/>
        </w:numPr>
        <w:spacing w:before="120"/>
        <w:rPr>
          <w:rFonts w:cs="Times New Roman"/>
          <w:noProof/>
        </w:rPr>
      </w:pPr>
      <w:r>
        <w:rPr>
          <w:noProof/>
        </w:rPr>
        <w:t>sunt sprijinite peste 1,6 milioane de întreprinderi, inclusiv ferme;</w:t>
      </w:r>
    </w:p>
    <w:p w:rsidR="009A3F82" w:rsidRDefault="003D4079">
      <w:pPr>
        <w:pStyle w:val="ListParagraph"/>
        <w:numPr>
          <w:ilvl w:val="0"/>
          <w:numId w:val="48"/>
        </w:numPr>
        <w:spacing w:before="120"/>
        <w:rPr>
          <w:rFonts w:cs="Times New Roman"/>
          <w:noProof/>
        </w:rPr>
      </w:pPr>
      <w:r>
        <w:rPr>
          <w:noProof/>
        </w:rPr>
        <w:t>întreprinderile care</w:t>
      </w:r>
      <w:r>
        <w:rPr>
          <w:noProof/>
        </w:rPr>
        <w:t xml:space="preserve"> au beneficiat de sprijin creează 300 000 de noi locuri de muncă; </w:t>
      </w:r>
    </w:p>
    <w:p w:rsidR="009A3F82" w:rsidRDefault="003D4079">
      <w:pPr>
        <w:pStyle w:val="ListParagraph"/>
        <w:numPr>
          <w:ilvl w:val="0"/>
          <w:numId w:val="48"/>
        </w:numPr>
        <w:spacing w:before="120"/>
        <w:rPr>
          <w:rFonts w:cs="Times New Roman"/>
          <w:noProof/>
        </w:rPr>
      </w:pPr>
      <w:r>
        <w:rPr>
          <w:noProof/>
        </w:rPr>
        <w:t>26 de milioane de oameni au primit sprijin pentru a participa la activități de formare și la programe de învățământ sau pentru a-și căuta un loc de muncă;</w:t>
      </w:r>
    </w:p>
    <w:p w:rsidR="009A3F82" w:rsidRDefault="003D4079">
      <w:pPr>
        <w:pStyle w:val="ListParagraph"/>
        <w:numPr>
          <w:ilvl w:val="0"/>
          <w:numId w:val="48"/>
        </w:numPr>
        <w:spacing w:before="120"/>
        <w:rPr>
          <w:rFonts w:cs="Times New Roman"/>
          <w:noProof/>
        </w:rPr>
      </w:pPr>
      <w:r>
        <w:rPr>
          <w:noProof/>
        </w:rPr>
        <w:t>8,3 milioane de gospodării vor ave</w:t>
      </w:r>
      <w:r>
        <w:rPr>
          <w:noProof/>
        </w:rPr>
        <w:t>a acces la bandă largă de o calitate mai bună;</w:t>
      </w:r>
    </w:p>
    <w:p w:rsidR="009A3F82" w:rsidRDefault="003D4079">
      <w:pPr>
        <w:pStyle w:val="ListParagraph"/>
        <w:numPr>
          <w:ilvl w:val="0"/>
          <w:numId w:val="48"/>
        </w:numPr>
        <w:spacing w:before="120"/>
        <w:rPr>
          <w:rFonts w:cs="Times New Roman"/>
          <w:noProof/>
        </w:rPr>
      </w:pPr>
      <w:r>
        <w:rPr>
          <w:noProof/>
        </w:rPr>
        <w:t xml:space="preserve">se construiesc sau se reconstruiesc peste 3 900 de km de linii de cale ferată; </w:t>
      </w:r>
    </w:p>
    <w:p w:rsidR="009A3F82" w:rsidRDefault="003D4079">
      <w:pPr>
        <w:pStyle w:val="ListParagraph"/>
        <w:numPr>
          <w:ilvl w:val="0"/>
          <w:numId w:val="48"/>
        </w:numPr>
        <w:spacing w:before="120"/>
        <w:rPr>
          <w:rFonts w:cs="Times New Roman"/>
          <w:noProof/>
        </w:rPr>
      </w:pPr>
      <w:r>
        <w:rPr>
          <w:noProof/>
        </w:rPr>
        <w:t xml:space="preserve">60 de milioane de persoane beneficiază de proiectele aflate în desfășurare în sectorul sănătății. </w:t>
      </w:r>
    </w:p>
    <w:p w:rsidR="009A3F82" w:rsidRDefault="003D4079">
      <w:pPr>
        <w:spacing w:before="120"/>
        <w:rPr>
          <w:rFonts w:cs="Times New Roman"/>
          <w:noProof/>
        </w:rPr>
      </w:pPr>
      <w:r>
        <w:rPr>
          <w:noProof/>
        </w:rPr>
        <w:t xml:space="preserve">Prezentul raport și platforma </w:t>
      </w:r>
      <w:r>
        <w:rPr>
          <w:noProof/>
        </w:rPr>
        <w:t>de date deschise pentru fondurile ESI prezintă în detaliu progresele înregistrate în toate domeniile tematice</w:t>
      </w:r>
      <w:r>
        <w:rPr>
          <w:rStyle w:val="FootnoteReference"/>
          <w:rFonts w:cs="Times New Roman"/>
          <w:noProof/>
        </w:rPr>
        <w:footnoteReference w:id="6"/>
      </w:r>
      <w:r>
        <w:rPr>
          <w:noProof/>
        </w:rPr>
        <w:t>.</w:t>
      </w:r>
    </w:p>
    <w:p w:rsidR="009A3F82" w:rsidRDefault="003D4079">
      <w:pPr>
        <w:spacing w:before="120"/>
        <w:rPr>
          <w:rFonts w:cs="Times New Roman"/>
          <w:noProof/>
        </w:rPr>
      </w:pPr>
      <w:r>
        <w:rPr>
          <w:noProof/>
        </w:rPr>
        <w:t>Obiectivul actual de politică și cadrul adaptabil al acestuia permit fondurilor ESI să aibă o contribuție majoră la abordarea provocărilor noi ș</w:t>
      </w:r>
      <w:r>
        <w:rPr>
          <w:noProof/>
        </w:rPr>
        <w:t xml:space="preserve">i emergente. Majoritatea domeniilor de finanțare susțin deja obiectivele de dezvoltare durabilă ale ONU (ODD), acțiunile care vizează adaptarea la schimbările climatice și reducerea riscurilor, iar această abordare poate fi stimulată în cadrul programelor </w:t>
      </w:r>
      <w:r>
        <w:rPr>
          <w:noProof/>
        </w:rPr>
        <w:t xml:space="preserve">finanțate din fondurile ESI, în funcție de necesități. </w:t>
      </w:r>
    </w:p>
    <w:p w:rsidR="009A3F82" w:rsidRDefault="003D4079">
      <w:pPr>
        <w:pStyle w:val="Heading1"/>
        <w:rPr>
          <w:rFonts w:cstheme="minorBidi"/>
          <w:noProof/>
        </w:rPr>
      </w:pPr>
      <w:r>
        <w:rPr>
          <w:noProof/>
        </w:rPr>
        <w:br w:type="page"/>
      </w:r>
      <w:bookmarkStart w:id="3" w:name="_Toc28961606"/>
      <w:r>
        <w:rPr>
          <w:noProof/>
        </w:rPr>
        <w:t>1. UN CONTEXT DIFICIL ȘI FOARTE SCHIMBĂTOR</w:t>
      </w:r>
      <w:bookmarkEnd w:id="3"/>
    </w:p>
    <w:p w:rsidR="009A3F82" w:rsidRDefault="003D4079">
      <w:pPr>
        <w:spacing w:before="120"/>
        <w:rPr>
          <w:rFonts w:cs="Times New Roman"/>
          <w:noProof/>
        </w:rPr>
      </w:pPr>
      <w:r>
        <w:rPr>
          <w:noProof/>
        </w:rPr>
        <w:t xml:space="preserve">În rapoartele privind progresele înregistrate ale statelor membre din 2019, acestea recunosc rolul decisiv jucat de fondurile ESI în abordarea schimbărilor </w:t>
      </w:r>
      <w:r>
        <w:rPr>
          <w:noProof/>
        </w:rPr>
        <w:t>de mediu, economice și sociale și în sprijinirea realizării reformelor necesare pentru a asigura un viitor durabil. În urma crizei financiare, fondurile ESI au contribuit în mod esențial la sprijinirea investițiilor și la relansarea convergenței economice</w:t>
      </w:r>
      <w:r>
        <w:rPr>
          <w:rFonts w:cs="Times New Roman"/>
          <w:noProof/>
          <w:vertAlign w:val="superscript"/>
        </w:rPr>
        <w:footnoteReference w:id="7"/>
      </w:r>
      <w:r>
        <w:rPr>
          <w:noProof/>
        </w:rPr>
        <w:t>.</w:t>
      </w:r>
    </w:p>
    <w:p w:rsidR="009A3F82" w:rsidRDefault="003D4079">
      <w:pPr>
        <w:spacing w:before="120"/>
        <w:rPr>
          <w:rFonts w:cs="Times New Roman"/>
          <w:noProof/>
        </w:rPr>
      </w:pPr>
      <w:r>
        <w:rPr>
          <w:noProof/>
        </w:rPr>
        <w:t>Cu toate acestea, mai multe state membre evidențiază persistența inegalităților teritoriale și regionale și a excluziunii sociale, precum și un număr tot mai mare de probleme legate de schimbările demografice. Se mențin disparitățile inter- și intra-regi</w:t>
      </w:r>
      <w:r>
        <w:rPr>
          <w:noProof/>
        </w:rPr>
        <w:t>onale, precum și cele dintre zonele urbane și rurale. Mai multe regiuni, care și-au pierdut avantajul competitiv, au intrat în „capcana veniturilor medii”</w:t>
      </w:r>
      <w:r>
        <w:rPr>
          <w:rFonts w:cs="Times New Roman"/>
          <w:noProof/>
          <w:vertAlign w:val="superscript"/>
        </w:rPr>
        <w:footnoteReference w:id="8"/>
      </w:r>
      <w:r>
        <w:rPr>
          <w:noProof/>
        </w:rPr>
        <w:t>, iar unele se confruntă în continuare cu rate ridicate ale șomajului, în special în rândul tinerilor</w:t>
      </w:r>
      <w:r>
        <w:rPr>
          <w:noProof/>
        </w:rPr>
        <w:t>. Altele sunt mai vulnerabile la efectele dublei tranziții generate de acțiunile climatice și de digitalizare sau la consecințele actuale ale crizei refugiaților și a migrației. Aceste discrepanțe geografice au reprezentat un catalizator al sentimentelor a</w:t>
      </w:r>
      <w:r>
        <w:rPr>
          <w:noProof/>
        </w:rPr>
        <w:t>ntieuropene</w:t>
      </w:r>
      <w:r>
        <w:rPr>
          <w:rFonts w:cs="Times New Roman"/>
          <w:noProof/>
          <w:vertAlign w:val="superscript"/>
        </w:rPr>
        <w:footnoteReference w:id="9"/>
      </w:r>
      <w:r>
        <w:rPr>
          <w:noProof/>
        </w:rPr>
        <w:t>.</w:t>
      </w:r>
    </w:p>
    <w:p w:rsidR="009A3F82" w:rsidRDefault="003D4079">
      <w:pPr>
        <w:spacing w:before="120"/>
        <w:rPr>
          <w:rFonts w:cs="Times New Roman"/>
          <w:noProof/>
        </w:rPr>
      </w:pPr>
      <w:r>
        <w:rPr>
          <w:noProof/>
        </w:rPr>
        <w:t>Fondurile ESI, canalizate prin intermediul gestiunii partajate, capacitează actorii locali și regionali pentru a contracara aceste tendințe prin sprijinirea coeziunii teritoriale, a investițiilor care favorizează creșterea economică, a creări</w:t>
      </w:r>
      <w:r>
        <w:rPr>
          <w:noProof/>
        </w:rPr>
        <w:t>i de locuri de muncă, a competitivității întreprinderilor, a cercetării și inovării (C&amp;I) și a ecosistemelor de inițiere de afaceri, a acțiunilor în domeniul mediului, a adaptării și rezilienței la schimbările climatice, a reducerii riscurilor de dezastre,</w:t>
      </w:r>
      <w:r>
        <w:rPr>
          <w:noProof/>
        </w:rPr>
        <w:t xml:space="preserve"> a incluziunii sociale și a proiectelor în domeniul sănătății și al educației, pentru îmbunătățirea vieții cetățenilor și apropierea lor de UE. </w:t>
      </w:r>
    </w:p>
    <w:p w:rsidR="009A3F82" w:rsidRDefault="009A3F82">
      <w:pPr>
        <w:spacing w:before="120"/>
        <w:rPr>
          <w:rFonts w:cs="Times New Roman"/>
          <w:b/>
          <w:noProof/>
        </w:rPr>
      </w:pPr>
    </w:p>
    <w:p w:rsidR="009A3F82" w:rsidRDefault="003D4079">
      <w:pPr>
        <w:pStyle w:val="Heading1"/>
        <w:rPr>
          <w:noProof/>
        </w:rPr>
      </w:pPr>
      <w:bookmarkStart w:id="4" w:name="_Toc28961607"/>
      <w:r>
        <w:rPr>
          <w:noProof/>
        </w:rPr>
        <w:t>2. REALIZAREA UNOR INVESTIȚII PENTRU O CREȘTERE INTELIGENTĂ, DURABILĂ ȘI FAVORABILĂ INCLUZIUNII</w:t>
      </w:r>
      <w:bookmarkEnd w:id="4"/>
    </w:p>
    <w:p w:rsidR="009A3F82" w:rsidRDefault="003D4079">
      <w:pPr>
        <w:pStyle w:val="Heading2"/>
        <w:rPr>
          <w:noProof/>
        </w:rPr>
      </w:pPr>
      <w:bookmarkStart w:id="5" w:name="_Toc28961608"/>
      <w:r>
        <w:rPr>
          <w:noProof/>
        </w:rPr>
        <w:t xml:space="preserve">2.1. Progrese </w:t>
      </w:r>
      <w:r>
        <w:rPr>
          <w:noProof/>
        </w:rPr>
        <w:t>generale</w:t>
      </w:r>
      <w:bookmarkEnd w:id="5"/>
    </w:p>
    <w:p w:rsidR="009A3F82" w:rsidRDefault="003D4079">
      <w:pPr>
        <w:spacing w:before="120"/>
        <w:rPr>
          <w:rFonts w:cs="Times New Roman"/>
          <w:noProof/>
        </w:rPr>
      </w:pPr>
      <w:r>
        <w:rPr>
          <w:noProof/>
        </w:rPr>
        <w:t>Prin noile elemente introduse în Regulamentul (UE) nr. 1303/2013, în special prin concentrarea investițiilor pe obiectivele-cheie de dezvoltare și prin accentul mai puternic pus pe performanță, programele finanțate din fondurile ESI sunt orientate</w:t>
      </w:r>
      <w:r>
        <w:rPr>
          <w:noProof/>
        </w:rPr>
        <w:t xml:space="preserve"> spre îndeplinirea în mod eficace și eficient a obiectivelor UE care vizează creșterea inteligentă, durabilă și favorabilă incluziunii. Abordarea simplă și flexibilă a Comisiei a consolidat și mai mult această tendință, în special prin modificarea programe</w:t>
      </w:r>
      <w:r>
        <w:rPr>
          <w:noProof/>
        </w:rPr>
        <w:t>lor, monitorizarea programelor în situație de risc sau prin mai multe acțiuni-pilot</w:t>
      </w:r>
      <w:r>
        <w:rPr>
          <w:rStyle w:val="FootnoteReference"/>
          <w:rFonts w:cs="Times New Roman"/>
          <w:noProof/>
        </w:rPr>
        <w:footnoteReference w:id="10"/>
      </w:r>
      <w:r>
        <w:rPr>
          <w:noProof/>
        </w:rPr>
        <w:t xml:space="preserve"> care au pus la dispoziție asistență personalizată și lecțiile învățate, în vederea viitoarei implementări. </w:t>
      </w:r>
    </w:p>
    <w:p w:rsidR="009A3F82" w:rsidRDefault="009A3F82">
      <w:pPr>
        <w:spacing w:before="120"/>
        <w:rPr>
          <w:rFonts w:cs="Times New Roman"/>
          <w:b/>
          <w:noProof/>
        </w:rPr>
      </w:pPr>
    </w:p>
    <w:p w:rsidR="009A3F82" w:rsidRDefault="003D4079">
      <w:pPr>
        <w:spacing w:before="120"/>
        <w:rPr>
          <w:rFonts w:cs="Times New Roman"/>
          <w:b/>
          <w:noProof/>
        </w:rPr>
      </w:pPr>
      <w:r>
        <w:rPr>
          <w:b/>
          <w:noProof/>
        </w:rPr>
        <w:t xml:space="preserve">Volumul total al investițiilor planificate (UE și naționale) </w:t>
      </w:r>
      <w:r>
        <w:rPr>
          <w:b/>
          <w:noProof/>
        </w:rPr>
        <w:t>din cadrul fondurilor ESI în funcție de obiectivele tematice (miliarde EUR)</w:t>
      </w:r>
      <w:r>
        <w:rPr>
          <w:rStyle w:val="FootnoteReference"/>
          <w:rFonts w:cs="Times New Roman"/>
          <w:b/>
          <w:noProof/>
        </w:rPr>
        <w:footnoteReference w:id="11"/>
      </w:r>
    </w:p>
    <w:p w:rsidR="009A3F82" w:rsidRDefault="003D4079">
      <w:pPr>
        <w:spacing w:before="120"/>
        <w:rPr>
          <w:rFonts w:cs="Times New Roman"/>
          <w:noProof/>
        </w:rPr>
      </w:pPr>
      <w:r>
        <w:rPr>
          <w:i/>
          <w:noProof/>
          <w:lang w:val="en-GB" w:eastAsia="en-GB"/>
        </w:rPr>
        <w:drawing>
          <wp:inline distT="0" distB="0" distL="0" distR="0">
            <wp:extent cx="5760720" cy="3872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872230"/>
                    </a:xfrm>
                    <a:prstGeom prst="rect">
                      <a:avLst/>
                    </a:prstGeom>
                    <a:noFill/>
                  </pic:spPr>
                </pic:pic>
              </a:graphicData>
            </a:graphic>
          </wp:inline>
        </w:drawing>
      </w:r>
    </w:p>
    <w:p w:rsidR="009A3F82" w:rsidRDefault="003D4079">
      <w:pPr>
        <w:spacing w:before="120"/>
        <w:rPr>
          <w:rFonts w:cs="Times New Roman"/>
          <w:b/>
          <w:noProof/>
        </w:rPr>
      </w:pPr>
      <w:r>
        <w:rPr>
          <w:i/>
          <w:noProof/>
          <w:sz w:val="20"/>
          <w:szCs w:val="20"/>
        </w:rPr>
        <w:t xml:space="preserve">Sursă: Date deschise privind fondurile ESI - </w:t>
      </w:r>
      <w:hyperlink r:id="rId22" w:history="1">
        <w:r>
          <w:rPr>
            <w:rStyle w:val="Hyperlink"/>
            <w:i/>
            <w:noProof/>
            <w:sz w:val="20"/>
            <w:szCs w:val="20"/>
          </w:rPr>
          <w:t>https://cohesiondata.ec.europa.eu/d/e4v6-qrrq</w:t>
        </w:r>
      </w:hyperlink>
    </w:p>
    <w:p w:rsidR="009A3F82" w:rsidRDefault="009A3F82">
      <w:pPr>
        <w:spacing w:before="120"/>
        <w:rPr>
          <w:rFonts w:cs="Times New Roman"/>
          <w:noProof/>
        </w:rPr>
      </w:pPr>
    </w:p>
    <w:p w:rsidR="009A3F82" w:rsidRDefault="003D4079">
      <w:pPr>
        <w:spacing w:before="120"/>
        <w:rPr>
          <w:rFonts w:cs="Times New Roman"/>
          <w:noProof/>
        </w:rPr>
      </w:pPr>
      <w:r>
        <w:rPr>
          <w:noProof/>
        </w:rPr>
        <w:t>Dacă se analizează cifr</w:t>
      </w:r>
      <w:r>
        <w:rPr>
          <w:noProof/>
        </w:rPr>
        <w:t>ele, luând în considerare toate fondurile ESI, rata de selecție a proiectelor (finanțarea decisă) a crescut mai mult decât dublu față de primul raport strategic din 2017, însumând 464 de miliarde EUR (72 % din totalul investițiilor planificate). Progresele</w:t>
      </w:r>
      <w:r>
        <w:rPr>
          <w:noProof/>
        </w:rPr>
        <w:t xml:space="preserve"> se fac remarcate în sectoare precum cel al cercetării și al inovării, în special datorită efectului catalizator al strategiilor de specializare inteligentă, tehnologiei informației și comunicațiilor (TIC) și infrastructurilor de transport. Selecția proiec</w:t>
      </w:r>
      <w:r>
        <w:rPr>
          <w:noProof/>
        </w:rPr>
        <w:t>telor s-a accelerat de asemenea, deși la un nivel mai moderat, în domenii precum economia cu emisii scăzute de dioxid de carbon și crearea de locuri de muncă durabile și de calitate.</w:t>
      </w:r>
    </w:p>
    <w:p w:rsidR="009A3F82" w:rsidRDefault="003D4079">
      <w:pPr>
        <w:spacing w:before="120"/>
        <w:rPr>
          <w:rFonts w:cs="Times New Roman"/>
          <w:noProof/>
        </w:rPr>
      </w:pPr>
      <w:r>
        <w:rPr>
          <w:noProof/>
        </w:rPr>
        <w:t>În ceea ce privește cheltuielile efective</w:t>
      </w:r>
      <w:r>
        <w:rPr>
          <w:rStyle w:val="FootnoteReference"/>
          <w:rFonts w:cs="Times New Roman"/>
          <w:noProof/>
        </w:rPr>
        <w:footnoteReference w:id="12"/>
      </w:r>
      <w:r>
        <w:rPr>
          <w:noProof/>
        </w:rPr>
        <w:t>, luând în considerare toate fo</w:t>
      </w:r>
      <w:r>
        <w:rPr>
          <w:noProof/>
        </w:rPr>
        <w:t>ndurile ESI, 27 % din bugetul disponibil a fost plătit statelor membre până la sfârșitul lunii decembrie 2018 (36 % până la sfârșitul lunii octombrie 2019). Acest nivel al cheltuielilor declarate se situează sub nivelul înregistrat în perioadele anterioare</w:t>
      </w:r>
      <w:r>
        <w:rPr>
          <w:noProof/>
        </w:rPr>
        <w:t xml:space="preserve"> și sugerează că este necesar ca statele membre să acorde în continuare mai multă atenție cheltuielilor</w:t>
      </w:r>
      <w:r>
        <w:rPr>
          <w:rStyle w:val="FootnoteReference"/>
          <w:rFonts w:cs="Times New Roman"/>
          <w:noProof/>
        </w:rPr>
        <w:footnoteReference w:id="13"/>
      </w:r>
      <w:r>
        <w:rPr>
          <w:noProof/>
        </w:rPr>
        <w:t>.</w:t>
      </w:r>
    </w:p>
    <w:p w:rsidR="009A3F82" w:rsidRDefault="003D4079">
      <w:pPr>
        <w:spacing w:before="120"/>
        <w:rPr>
          <w:rFonts w:cs="Times New Roman"/>
          <w:noProof/>
        </w:rPr>
      </w:pPr>
      <w:r>
        <w:rPr>
          <w:noProof/>
        </w:rPr>
        <w:t xml:space="preserve">În ceea ce privește implementarea instrumentelor financiare, sumele programate pentru operațiunile selectate care implică instrumente financiare s-au </w:t>
      </w:r>
      <w:r>
        <w:rPr>
          <w:noProof/>
        </w:rPr>
        <w:t>ridicat la 21,9 miliarde EUR, până la sfârșitul anului 2018, reprezentând aproximativ 77 % din sumele planificate în programele care au în vedere această formă de sprijin. Acest lucru confirmă faptul că majoritatea instrumentelor financiare produc rezultat</w:t>
      </w:r>
      <w:r>
        <w:rPr>
          <w:noProof/>
        </w:rPr>
        <w:t>e pe teren.</w:t>
      </w:r>
    </w:p>
    <w:p w:rsidR="009A3F82" w:rsidRDefault="003D4079">
      <w:pPr>
        <w:pStyle w:val="Heading2"/>
        <w:rPr>
          <w:noProof/>
        </w:rPr>
      </w:pPr>
      <w:bookmarkStart w:id="6" w:name="_Toc28961609"/>
      <w:r>
        <w:rPr>
          <w:noProof/>
        </w:rPr>
        <w:t>2.2. Cercetare, dezvoltare tehnologică și inovare, TIC și competitivitatea IMM-urilor</w:t>
      </w:r>
      <w:bookmarkEnd w:id="6"/>
    </w:p>
    <w:p w:rsidR="009A3F82" w:rsidRDefault="003D4079">
      <w:pPr>
        <w:spacing w:before="120"/>
        <w:rPr>
          <w:rFonts w:cs="Times New Roman"/>
          <w:noProof/>
        </w:rPr>
      </w:pPr>
      <w:r>
        <w:rPr>
          <w:noProof/>
        </w:rPr>
        <w:t>Pentru această perioadă de programare, investițiile în cercetare și inovare au fost recunoscute ca fiind o forță motrice esențială pentru creștere și converge</w:t>
      </w:r>
      <w:r>
        <w:rPr>
          <w:noProof/>
        </w:rPr>
        <w:t xml:space="preserve">nță. Sprijinul pentru dezvoltarea teritorială pe care o generează inovarea, în special prin strategii de specializare inteligentă, a condus la o creștere semnificativă a numărului de proiecte selectate în domeniul cercetării, al dezvoltării tehnologice și </w:t>
      </w:r>
      <w:r>
        <w:rPr>
          <w:noProof/>
        </w:rPr>
        <w:t xml:space="preserve">al inovării (CD&amp;I), al TIC și al competitivității întreprinderilor mici și mijlocii. Până la sfârșitul anului 2018, au fost selectate proiecte al căror volum total a depășit 117 miliarde EUR din cele 163 de miliarde EUR disponibile.  </w:t>
      </w:r>
    </w:p>
    <w:p w:rsidR="009A3F82" w:rsidRDefault="003D4079">
      <w:pPr>
        <w:pStyle w:val="ListParagraph"/>
        <w:numPr>
          <w:ilvl w:val="0"/>
          <w:numId w:val="5"/>
        </w:numPr>
        <w:spacing w:before="120" w:after="80"/>
        <w:ind w:left="714" w:hanging="357"/>
        <w:contextualSpacing w:val="0"/>
        <w:rPr>
          <w:rFonts w:cs="Times New Roman"/>
          <w:noProof/>
        </w:rPr>
      </w:pPr>
      <w:r>
        <w:rPr>
          <w:noProof/>
        </w:rPr>
        <w:t>În domeniul cercetări</w:t>
      </w:r>
      <w:r>
        <w:rPr>
          <w:noProof/>
        </w:rPr>
        <w:t>i, al dezvoltării tehnologice și al inovării, au fost alocate peste 42,6 miliarde EUR pentru proiecte care au vizat sprijinirea a aproape 20 000 de noi cercetători și aproape 30 000 de întreprinderi au primit sprijin pentru a introduce pe piață produse noi</w:t>
      </w:r>
      <w:r>
        <w:rPr>
          <w:noProof/>
        </w:rPr>
        <w:t xml:space="preserve">.   </w:t>
      </w:r>
    </w:p>
    <w:p w:rsidR="009A3F82" w:rsidRDefault="003D4079">
      <w:pPr>
        <w:pStyle w:val="ListParagraph"/>
        <w:numPr>
          <w:ilvl w:val="0"/>
          <w:numId w:val="5"/>
        </w:numPr>
        <w:spacing w:before="120" w:after="80"/>
        <w:contextualSpacing w:val="0"/>
        <w:rPr>
          <w:rFonts w:cs="Times New Roman"/>
          <w:noProof/>
        </w:rPr>
      </w:pPr>
      <w:r>
        <w:rPr>
          <w:noProof/>
        </w:rPr>
        <w:t>Peste 12,3 miliarde EUR au fost alocate proiectelor din cadrul economiei digitale, sprijinindu-se, printre altele, dezvoltarea rețelelor de comunicații în bandă largă, serviciile publice digitale sau comerțul electronic. Această sumă include sprijinul</w:t>
      </w:r>
      <w:r>
        <w:rPr>
          <w:noProof/>
        </w:rPr>
        <w:t xml:space="preserve"> în valoare de 1,5 miliarde EUR acordat de FEADR pentru infrastructura TIC din zonele rurale. 8,3 milioane de gospodării vor avea acces la bandă largă îmbunătățită. </w:t>
      </w:r>
    </w:p>
    <w:p w:rsidR="009A3F82" w:rsidRDefault="003D4079">
      <w:pPr>
        <w:pStyle w:val="ListParagraph"/>
        <w:numPr>
          <w:ilvl w:val="0"/>
          <w:numId w:val="5"/>
        </w:numPr>
        <w:spacing w:before="120" w:after="80"/>
        <w:contextualSpacing w:val="0"/>
        <w:rPr>
          <w:rFonts w:cs="Times New Roman"/>
          <w:noProof/>
        </w:rPr>
      </w:pPr>
      <w:r>
        <w:rPr>
          <w:noProof/>
        </w:rPr>
        <w:t>Peste 62,5 miliarde EUR sunt alocate proiectelor care au fost selectate pentru a stimula c</w:t>
      </w:r>
      <w:r>
        <w:rPr>
          <w:noProof/>
        </w:rPr>
        <w:t xml:space="preserve">ompetitivitatea IMM-urilor și care sunt legate de crearea celor mai multe dintre cele 300 000 de noi locuri de muncă create în cadrul FEDR. În zonele rurale, peste 130 000 de ferme primesc sprijin financiar pentru a fi ajutate să se restructureze și să se </w:t>
      </w:r>
      <w:r>
        <w:rPr>
          <w:noProof/>
        </w:rPr>
        <w:t>modernizeze și pentru a obține o creștere a productivității.</w:t>
      </w:r>
    </w:p>
    <w:p w:rsidR="009A3F82" w:rsidRDefault="003D4079">
      <w:pPr>
        <w:pStyle w:val="ListParagraph"/>
        <w:numPr>
          <w:ilvl w:val="0"/>
          <w:numId w:val="5"/>
        </w:numPr>
        <w:rPr>
          <w:rFonts w:cs="Times New Roman"/>
          <w:noProof/>
        </w:rPr>
      </w:pPr>
      <w:r>
        <w:rPr>
          <w:noProof/>
        </w:rPr>
        <w:t>Parteneriatul european pentru inovare privind productivitatea și durabilitatea agriculturii (PEI-AGRI) sprijină 7 730 de proiecte interactive de inovare. Cunoașterea și inovarea dezvoltate prin p</w:t>
      </w:r>
      <w:r>
        <w:rPr>
          <w:noProof/>
        </w:rPr>
        <w:t xml:space="preserve">roiectele PEI-AGRI sunt partajate prin rețelele naționale și rurale de inovare și prin rețeaua PEI-AGRI. </w:t>
      </w:r>
    </w:p>
    <w:p w:rsidR="009A3F82" w:rsidRDefault="003D4079">
      <w:pPr>
        <w:pStyle w:val="Heading2"/>
        <w:rPr>
          <w:noProof/>
        </w:rPr>
      </w:pPr>
      <w:bookmarkStart w:id="7" w:name="_Toc28961610"/>
      <w:r>
        <w:rPr>
          <w:noProof/>
        </w:rPr>
        <w:t>2.3. Economia cu emisii scăzute de dioxid de carbon, schimbările climatice, mediul, transporturile și energia</w:t>
      </w:r>
      <w:bookmarkEnd w:id="7"/>
    </w:p>
    <w:p w:rsidR="009A3F82" w:rsidRDefault="003D4079">
      <w:pPr>
        <w:spacing w:before="120"/>
        <w:rPr>
          <w:rFonts w:cs="Times New Roman"/>
          <w:noProof/>
        </w:rPr>
      </w:pPr>
      <w:r>
        <w:rPr>
          <w:noProof/>
        </w:rPr>
        <w:t>Pentru această perioadă de programare, 2</w:t>
      </w:r>
      <w:r>
        <w:rPr>
          <w:noProof/>
        </w:rPr>
        <w:t>0 % din bugetul UE a fost alocat acțiunilor climatice, iar Comisia a propus ca acest procent să ajungă la 25 % în următorul buget al UE</w:t>
      </w:r>
      <w:r>
        <w:rPr>
          <w:rStyle w:val="FootnoteReference"/>
          <w:rFonts w:cs="Times New Roman"/>
          <w:noProof/>
        </w:rPr>
        <w:footnoteReference w:id="14"/>
      </w:r>
      <w:r>
        <w:rPr>
          <w:noProof/>
        </w:rPr>
        <w:t>. Fondurile ESI au jucat un rol-cheie în conturarea unor modificări semnificative. Prin sumele alocate și prin condițiil</w:t>
      </w:r>
      <w:r>
        <w:rPr>
          <w:noProof/>
        </w:rPr>
        <w:t>e prealabile pentru investiții, fondurile ESI au produs un efect de levier clar asupra politicilor legate de acțiunile climatice și de creșterea durabilă. Până la sfârșitul anului 2018, au fost alocate peste 169 de miliarde EUR proiectelor din regiunile și</w:t>
      </w:r>
      <w:r>
        <w:rPr>
          <w:noProof/>
        </w:rPr>
        <w:t xml:space="preserve"> orașele care sprijină decarbonizarea, reziliența la efectele schimbărilor climatice și prevenirea riscurilor, eficiența energetică sau transportul durabil.</w:t>
      </w:r>
    </w:p>
    <w:p w:rsidR="009A3F82" w:rsidRDefault="003D4079">
      <w:pPr>
        <w:pStyle w:val="ListParagraph"/>
        <w:numPr>
          <w:ilvl w:val="0"/>
          <w:numId w:val="5"/>
        </w:numPr>
        <w:spacing w:before="120" w:after="80"/>
        <w:ind w:left="714" w:hanging="357"/>
        <w:contextualSpacing w:val="0"/>
        <w:rPr>
          <w:rFonts w:cs="Times New Roman"/>
          <w:noProof/>
        </w:rPr>
      </w:pPr>
      <w:r>
        <w:rPr>
          <w:noProof/>
        </w:rPr>
        <w:t>Cu sprijinul FEDR, a fost angajată o sumă de peste 31,8 miliarde EUR pentru proiecte în domeniul ec</w:t>
      </w:r>
      <w:r>
        <w:rPr>
          <w:noProof/>
        </w:rPr>
        <w:t>onomiei cu emisii scăzute de dioxid de carbon, care au vizat îmbunătățirea consumului de energie în peste 400 000 de gospodării.</w:t>
      </w:r>
    </w:p>
    <w:p w:rsidR="009A3F82" w:rsidRDefault="003D4079">
      <w:pPr>
        <w:pStyle w:val="ListParagraph"/>
        <w:numPr>
          <w:ilvl w:val="0"/>
          <w:numId w:val="5"/>
        </w:numPr>
        <w:spacing w:before="120" w:after="80"/>
        <w:contextualSpacing w:val="0"/>
        <w:rPr>
          <w:rFonts w:cs="Times New Roman"/>
          <w:noProof/>
        </w:rPr>
      </w:pPr>
      <w:r>
        <w:rPr>
          <w:noProof/>
        </w:rPr>
        <w:t>Peste 52 de miliarde EUR au fost acordate unor proiecte de mediu sau în domeniul utilizării eficiente a resurselor, care au viz</w:t>
      </w:r>
      <w:r>
        <w:rPr>
          <w:noProof/>
        </w:rPr>
        <w:t>at furnizarea unei capacități suplimentare de reciclare a deșeurilor de peste 500 000 de tone pe an. Ca urmare a proiectelor aprobate, 20 de milioane de persoane vor avea acces la o mai bună epurare a apelor uzate.</w:t>
      </w:r>
    </w:p>
    <w:p w:rsidR="009A3F82" w:rsidRDefault="003D4079">
      <w:pPr>
        <w:pStyle w:val="ListParagraph"/>
        <w:numPr>
          <w:ilvl w:val="0"/>
          <w:numId w:val="5"/>
        </w:numPr>
        <w:spacing w:before="120" w:after="80"/>
        <w:ind w:left="714" w:hanging="357"/>
        <w:contextualSpacing w:val="0"/>
        <w:rPr>
          <w:rFonts w:cs="Times New Roman"/>
          <w:noProof/>
        </w:rPr>
      </w:pPr>
      <w:r>
        <w:rPr>
          <w:noProof/>
        </w:rPr>
        <w:t>În ceea ce privește acțiunile climatice î</w:t>
      </w:r>
      <w:r>
        <w:rPr>
          <w:noProof/>
        </w:rPr>
        <w:t>n sectorul agricol (de exemplu, sechestrarea carbonului, reducerea emisiilor de gaze cu efect de seră și de amoniac), au fost înregistrate progrese semnificative, în special având în vedere fermierii care s-au alăturat în mod voluntar programelor de agrome</w:t>
      </w:r>
      <w:r>
        <w:rPr>
          <w:noProof/>
        </w:rPr>
        <w:t>diu și climatice pentru a asigura gestionarea ecologică a fermelor. Obiectivul este de a atinge ținta de: (i) 18 % din suprafața terenurilor agricole din UE gestionate pentru biodiversitate, (ii) 15 % pentru o mai bună gestionare a solului și (iii) 15 % pe</w:t>
      </w:r>
      <w:r>
        <w:rPr>
          <w:noProof/>
        </w:rPr>
        <w:t>ntru o mai bună gospodărire a apelor. În toate cele trei cazuri, peste 85 % dintre ținte au fost atinse.</w:t>
      </w:r>
    </w:p>
    <w:p w:rsidR="009A3F82" w:rsidRDefault="003D4079">
      <w:pPr>
        <w:pStyle w:val="ListParagraph"/>
        <w:numPr>
          <w:ilvl w:val="0"/>
          <w:numId w:val="5"/>
        </w:numPr>
        <w:spacing w:before="120" w:after="80"/>
        <w:ind w:left="714" w:hanging="357"/>
        <w:contextualSpacing w:val="0"/>
        <w:rPr>
          <w:rFonts w:cs="Times New Roman"/>
          <w:noProof/>
        </w:rPr>
      </w:pPr>
      <w:r>
        <w:rPr>
          <w:noProof/>
        </w:rPr>
        <w:t>Sprijinirea digitalizării și a decarbonizării sectorului transporturilor este o prioritate, în special în zonele urbane. Cu peste 56 de miliarde EUR al</w:t>
      </w:r>
      <w:r>
        <w:rPr>
          <w:noProof/>
        </w:rPr>
        <w:t>ocate rețelelor de transport și energie, proiectele aprobate vor avea ca rezultat, printre altele, construcția sau reabilitarea a peste 3 900 de km de linii de cale ferată și construcția sau îmbunătățirea a peste 400 de km de linii de tramvai sau de metrou</w:t>
      </w:r>
      <w:r>
        <w:rPr>
          <w:noProof/>
        </w:rPr>
        <w:t>.</w:t>
      </w:r>
    </w:p>
    <w:p w:rsidR="009A3F82" w:rsidRDefault="003D4079">
      <w:pPr>
        <w:pStyle w:val="ListParagraph"/>
        <w:numPr>
          <w:ilvl w:val="0"/>
          <w:numId w:val="5"/>
        </w:numPr>
        <w:spacing w:before="120" w:after="80"/>
        <w:ind w:left="714" w:hanging="357"/>
        <w:contextualSpacing w:val="0"/>
        <w:rPr>
          <w:rFonts w:cs="Times New Roman"/>
          <w:noProof/>
        </w:rPr>
      </w:pPr>
      <w:r>
        <w:rPr>
          <w:noProof/>
        </w:rPr>
        <w:t>FEPAM a angajat 1,25 miliarde EUR pentru promovarea unui echilibru durabil între flotele de pescuit, resursele disponibile și protecția ecosistemelor marine. Alte 428 de milioane EUR au fost angajate pentru sprijinirea acvaculturii durabile și 625 de mil</w:t>
      </w:r>
      <w:r>
        <w:rPr>
          <w:noProof/>
        </w:rPr>
        <w:t xml:space="preserve">ioane EUR pentru sprijinirea dezvoltării socioeconomice a sectorului. Fondul a sprijinit peste 34 000 de operațiuni, dintre care 2 000 au vizat o mai bună gestionare a siturilor Natura 2000 și peste 1 500 au vizat alte zone marine protejate. </w:t>
      </w:r>
    </w:p>
    <w:p w:rsidR="009A3F82" w:rsidRDefault="009A3F82">
      <w:pPr>
        <w:pStyle w:val="ListParagraph"/>
        <w:spacing w:before="120" w:after="80"/>
        <w:ind w:left="714"/>
        <w:contextualSpacing w:val="0"/>
        <w:rPr>
          <w:rFonts w:cs="Times New Roman"/>
          <w:noProof/>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9A3F82">
        <w:trPr>
          <w:trHeight w:val="557"/>
        </w:trPr>
        <w:tc>
          <w:tcPr>
            <w:tcW w:w="5000" w:type="pct"/>
            <w:shd w:val="clear" w:color="auto" w:fill="D9D9D9" w:themeFill="background1" w:themeFillShade="D9"/>
          </w:tcPr>
          <w:p w:rsidR="009A3F82" w:rsidRDefault="003D4079">
            <w:pPr>
              <w:rPr>
                <w:b/>
                <w:bCs/>
                <w:noProof/>
              </w:rPr>
            </w:pPr>
            <w:r>
              <w:rPr>
                <w:b/>
                <w:bCs/>
                <w:noProof/>
              </w:rPr>
              <w:t xml:space="preserve">Realizarea </w:t>
            </w:r>
            <w:r>
              <w:rPr>
                <w:b/>
                <w:bCs/>
                <w:noProof/>
              </w:rPr>
              <w:t>acțiunilor climatice</w:t>
            </w:r>
          </w:p>
          <w:p w:rsidR="009A3F82" w:rsidRDefault="003D4079">
            <w:pPr>
              <w:spacing w:before="120"/>
              <w:rPr>
                <w:noProof/>
              </w:rPr>
            </w:pPr>
            <w:r>
              <w:rPr>
                <w:noProof/>
              </w:rPr>
              <w:t>Fondurile ESI, în special prin FEADR, FEDR și Fondul de coeziune, sprijină abordări pe termen lung ale provocărilor cu care se confruntă statele membre și regiunile pe calea către o economie neutră din punctul de vedere al emisiilor de</w:t>
            </w:r>
            <w:r>
              <w:rPr>
                <w:noProof/>
              </w:rPr>
              <w:t xml:space="preserve"> dioxid de carbon. Implementarea decurge bine: din suma de 115 miliarde EUR planificată pentru acțiuni privind schimbările climatice, până la sfârșitul anului 2018 au fost alocate proiectelor 88,1 miliarde EUR. Contribuția FSE la obiectivele climatice este</w:t>
            </w:r>
            <w:r>
              <w:rPr>
                <w:noProof/>
              </w:rPr>
              <w:t xml:space="preserve"> de cinci ori mai mare decât valoarea planificată inițial, în special prin sprijinul mai mare acordat formării și măsurilor de pe piața forței de muncă legate de locurile de muncă verzi (a se vedea anexa 3). </w:t>
            </w:r>
          </w:p>
        </w:tc>
      </w:tr>
    </w:tbl>
    <w:p w:rsidR="009A3F82" w:rsidRDefault="003D4079">
      <w:pPr>
        <w:pStyle w:val="Heading2"/>
        <w:rPr>
          <w:noProof/>
        </w:rPr>
      </w:pPr>
      <w:bookmarkStart w:id="8" w:name="_Toc28961611"/>
      <w:r>
        <w:rPr>
          <w:noProof/>
        </w:rPr>
        <w:t>2.4. Ocuparea forței de muncă, incluziunea soc</w:t>
      </w:r>
      <w:r>
        <w:rPr>
          <w:noProof/>
        </w:rPr>
        <w:t>ială, sănătatea și educația</w:t>
      </w:r>
      <w:bookmarkEnd w:id="8"/>
    </w:p>
    <w:p w:rsidR="009A3F82" w:rsidRDefault="003D4079">
      <w:pPr>
        <w:spacing w:before="120"/>
        <w:rPr>
          <w:rFonts w:cs="Times New Roman"/>
          <w:noProof/>
        </w:rPr>
      </w:pPr>
      <w:r>
        <w:rPr>
          <w:noProof/>
        </w:rPr>
        <w:t>În ultimii ani, UE și-a activat puternic agenda socială, în special prin adoptarea în 2017 a Pilonului european al drepturilor sociale. În acest context, fondurile ESI – în special FSE – au contribuit la reforma structurală, inc</w:t>
      </w:r>
      <w:r>
        <w:rPr>
          <w:noProof/>
        </w:rPr>
        <w:t>lusiv la modernizarea serviciilor publice, la încurajarea ocupării forței de muncă în rândul tinerilor și la reducerea sărăciei și a inegalităților. Până la sfârșitul anului 2018, proiectele care au fost selectate reprezentau două treimi din alocarea total</w:t>
      </w:r>
      <w:r>
        <w:rPr>
          <w:noProof/>
        </w:rPr>
        <w:t>ă planificată, în valoare de aproximativ 103 miliarde EUR.</w:t>
      </w:r>
    </w:p>
    <w:p w:rsidR="009A3F82" w:rsidRDefault="003D4079">
      <w:pPr>
        <w:pStyle w:val="ListParagraph"/>
        <w:numPr>
          <w:ilvl w:val="0"/>
          <w:numId w:val="5"/>
        </w:numPr>
        <w:spacing w:before="120" w:after="80"/>
        <w:ind w:left="714" w:hanging="357"/>
        <w:contextualSpacing w:val="0"/>
        <w:rPr>
          <w:rFonts w:cs="Times New Roman"/>
          <w:noProof/>
        </w:rPr>
      </w:pPr>
      <w:r>
        <w:rPr>
          <w:noProof/>
        </w:rPr>
        <w:t>Proiectele selectate în vederea îmbunătățirii șanselor de angajare acoperă peste 34 de miliarde EUR, 23 de milioane de persoane beneficiind de sprijin din partea FSE. Până la sfârșitul anului 2018,</w:t>
      </w:r>
      <w:r>
        <w:rPr>
          <w:noProof/>
        </w:rPr>
        <w:t xml:space="preserve"> un număr de 2,1 milioane de persoane și-au găsit un loc de muncă, inclusiv ca lucrători independenți. </w:t>
      </w:r>
    </w:p>
    <w:p w:rsidR="009A3F82" w:rsidRDefault="003D4079">
      <w:pPr>
        <w:pStyle w:val="ListParagraph"/>
        <w:numPr>
          <w:ilvl w:val="0"/>
          <w:numId w:val="5"/>
        </w:numPr>
        <w:spacing w:before="120" w:after="80"/>
        <w:ind w:left="714" w:hanging="357"/>
        <w:contextualSpacing w:val="0"/>
        <w:rPr>
          <w:rFonts w:cs="Times New Roman"/>
          <w:noProof/>
        </w:rPr>
      </w:pPr>
      <w:r>
        <w:rPr>
          <w:noProof/>
        </w:rPr>
        <w:t>Pe lângă FSE, Inițiativa privind ocuparea forței de muncă în rândul tinerilor (YEI) înregistrează progrese semnificative, aproximativ 8,8 miliarde EUR f</w:t>
      </w:r>
      <w:r>
        <w:rPr>
          <w:noProof/>
        </w:rPr>
        <w:t>iind alocate proiectelor selectate până la sfârșitul anului 2018. Până la aceeași dată, aproximativ 2,7 milioane de tineri au fost incluși în măsurile sprijinite de YEI:</w:t>
      </w:r>
    </w:p>
    <w:p w:rsidR="009A3F82" w:rsidRDefault="003D4079">
      <w:pPr>
        <w:pStyle w:val="ListParagraph"/>
        <w:numPr>
          <w:ilvl w:val="1"/>
          <w:numId w:val="5"/>
        </w:numPr>
        <w:spacing w:before="120" w:after="80"/>
        <w:contextualSpacing w:val="0"/>
        <w:rPr>
          <w:rFonts w:cs="Times New Roman"/>
          <w:noProof/>
        </w:rPr>
      </w:pPr>
      <w:r>
        <w:rPr>
          <w:noProof/>
        </w:rPr>
        <w:t xml:space="preserve">820 000 de tineri au primit un loc de muncă, educație continuă, ucenicie sau formare; </w:t>
      </w:r>
      <w:r>
        <w:rPr>
          <w:noProof/>
        </w:rPr>
        <w:t>ș</w:t>
      </w:r>
      <w:r>
        <w:rPr>
          <w:noProof/>
        </w:rPr>
        <w:t>i</w:t>
      </w:r>
    </w:p>
    <w:p w:rsidR="009A3F82" w:rsidRDefault="003D4079">
      <w:pPr>
        <w:pStyle w:val="ListParagraph"/>
        <w:numPr>
          <w:ilvl w:val="1"/>
          <w:numId w:val="5"/>
        </w:numPr>
        <w:spacing w:before="120" w:after="80"/>
        <w:contextualSpacing w:val="0"/>
        <w:rPr>
          <w:rFonts w:cs="Times New Roman"/>
          <w:noProof/>
        </w:rPr>
      </w:pPr>
      <w:r>
        <w:rPr>
          <w:noProof/>
        </w:rPr>
        <w:t xml:space="preserve">peste 1,1 milioane de persoane care urmau un program educațional sau de formare profesională au obținut o calificare sau un loc de muncă, inclusiv ca lucrători independenți. </w:t>
      </w:r>
    </w:p>
    <w:p w:rsidR="009A3F82" w:rsidRDefault="003D4079">
      <w:pPr>
        <w:pStyle w:val="ListParagraph"/>
        <w:numPr>
          <w:ilvl w:val="0"/>
          <w:numId w:val="5"/>
        </w:numPr>
        <w:spacing w:before="120" w:after="80"/>
        <w:ind w:left="714" w:hanging="357"/>
        <w:contextualSpacing w:val="0"/>
        <w:rPr>
          <w:rFonts w:cs="Times New Roman"/>
          <w:noProof/>
        </w:rPr>
      </w:pPr>
      <w:r>
        <w:rPr>
          <w:noProof/>
        </w:rPr>
        <w:t xml:space="preserve">În ceea ce privește incluziunea socială, la care FSE contribuie cel mai mult, </w:t>
      </w:r>
      <w:r>
        <w:rPr>
          <w:noProof/>
        </w:rPr>
        <w:t>proiectelor selectate până în prezent le-au fost alocate peste 36 de miliarde EUR. Până la sfârșitul anului 2018, au beneficiat de sprijin 1,8 milioane de participanți cu handicap, 3,6 milioane de migranți, participanți de origine străină sau aparținând un</w:t>
      </w:r>
      <w:r>
        <w:rPr>
          <w:noProof/>
        </w:rPr>
        <w:t>ei minorități și alte 4,2 milioane de persoane defavorizate, pentru a-și îmbunătăți șansele de angajare și pentru a-și dezvolta competențele adecvate pentru piața locurilor de muncă. FEADR a sprijinit, de asemenea, peste 60 000 de acțiuni care au vizat inc</w:t>
      </w:r>
      <w:r>
        <w:rPr>
          <w:noProof/>
        </w:rPr>
        <w:t>luziunea socială în zonele rurale.</w:t>
      </w:r>
    </w:p>
    <w:p w:rsidR="009A3F82" w:rsidRDefault="003D4079">
      <w:pPr>
        <w:pStyle w:val="ListParagraph"/>
        <w:numPr>
          <w:ilvl w:val="0"/>
          <w:numId w:val="5"/>
        </w:numPr>
        <w:spacing w:before="120" w:after="80"/>
        <w:ind w:left="714" w:hanging="357"/>
        <w:contextualSpacing w:val="0"/>
        <w:rPr>
          <w:rFonts w:cs="Times New Roman"/>
          <w:noProof/>
        </w:rPr>
      </w:pPr>
      <w:r>
        <w:rPr>
          <w:noProof/>
        </w:rPr>
        <w:t xml:space="preserve">De asemenea, au fost înregistrate progrese în ceea ce privește investițiile în măsuri în domeniul sănătății. Până în prezent, s-au investit peste 8 miliarde EUR în peste 7 000 de proiecte în domeniul sănătății (abordarea </w:t>
      </w:r>
      <w:r>
        <w:rPr>
          <w:noProof/>
        </w:rPr>
        <w:t>inegalităților în materie de asistență medicală, reformarea sistemelor de sănătate, promovarea e-sănătății, a cercetării și a inovării). În general, proiectele selectate urmăresc îmbunătățirea serviciilor de sănătate pentru mai mult de 60 de milioane de pe</w:t>
      </w:r>
      <w:r>
        <w:rPr>
          <w:noProof/>
        </w:rPr>
        <w:t>rsoane.</w:t>
      </w:r>
    </w:p>
    <w:p w:rsidR="009A3F82" w:rsidRDefault="003D4079">
      <w:pPr>
        <w:pStyle w:val="ListParagraph"/>
        <w:numPr>
          <w:ilvl w:val="0"/>
          <w:numId w:val="5"/>
        </w:numPr>
        <w:spacing w:before="120" w:after="80"/>
        <w:contextualSpacing w:val="0"/>
        <w:rPr>
          <w:rFonts w:cs="Times New Roman"/>
          <w:noProof/>
        </w:rPr>
      </w:pPr>
      <w:r>
        <w:rPr>
          <w:noProof/>
        </w:rPr>
        <w:t>În ceea ce privește educația și formarea, au fost angajate 28,3 miliarde EUR în proiecte concrete. Până la sfârșitul anului 2018, datorită sprijinului FSE, au fost sprijinite 11,6 milioane de persoane slab calificate, 3,4 milioane au obținut o cali</w:t>
      </w:r>
      <w:r>
        <w:rPr>
          <w:noProof/>
        </w:rPr>
        <w:t>ficare și 1,2 milioane urmau un program educațional sau de formare profesională. Investițiile FEDR vor avea ca rezultat îmbunătățirea serviciilor de îngrijire a copiilor sau a facilităților în domeniul educației, de care vor beneficia peste 8 milioane de p</w:t>
      </w:r>
      <w:r>
        <w:rPr>
          <w:noProof/>
        </w:rPr>
        <w:t>ersoane. În zonele rurale, peste un milion de activități de formare profesională au fost sprijinite de FEADR.</w:t>
      </w:r>
    </w:p>
    <w:p w:rsidR="009A3F82" w:rsidRDefault="009A3F82">
      <w:pPr>
        <w:pStyle w:val="ListParagraph"/>
        <w:spacing w:before="120" w:after="80"/>
        <w:ind w:left="714"/>
        <w:contextualSpacing w:val="0"/>
        <w:rPr>
          <w:rFonts w:cs="Times New Roman"/>
          <w:noProof/>
        </w:rPr>
      </w:pPr>
    </w:p>
    <w:p w:rsidR="009A3F82" w:rsidRDefault="003D4079">
      <w:pPr>
        <w:pStyle w:val="Heading1"/>
        <w:rPr>
          <w:noProof/>
        </w:rPr>
      </w:pPr>
      <w:bookmarkStart w:id="9" w:name="_Toc28961612"/>
      <w:r>
        <w:rPr>
          <w:noProof/>
        </w:rPr>
        <w:t>3. IMPACTUL PRINCIPALELOR REFORME DIN PERIOADA 2014-2020</w:t>
      </w:r>
      <w:bookmarkEnd w:id="9"/>
    </w:p>
    <w:p w:rsidR="009A3F82" w:rsidRDefault="003D4079">
      <w:pPr>
        <w:pStyle w:val="Heading2"/>
        <w:rPr>
          <w:i/>
          <w:iCs/>
          <w:caps/>
          <w:noProof/>
        </w:rPr>
      </w:pPr>
      <w:bookmarkStart w:id="10" w:name="_Toc28961613"/>
      <w:r>
        <w:rPr>
          <w:noProof/>
        </w:rPr>
        <w:t>3.1. Contribuția fondurilor ESI la semestrul european</w:t>
      </w:r>
      <w:bookmarkEnd w:id="10"/>
    </w:p>
    <w:p w:rsidR="009A3F82" w:rsidRDefault="003D4079">
      <w:pPr>
        <w:spacing w:before="120"/>
        <w:rPr>
          <w:rFonts w:cs="Times New Roman"/>
          <w:noProof/>
        </w:rPr>
      </w:pPr>
      <w:r>
        <w:rPr>
          <w:noProof/>
        </w:rPr>
        <w:t>Majoritatea provocărilor de natură</w:t>
      </w:r>
      <w:r>
        <w:rPr>
          <w:noProof/>
        </w:rPr>
        <w:t xml:space="preserve"> structurală și politică identificate prin intermediul semestrului european sunt relevante pentru fondurile ESI. Programele actuale au luat deja în considerare provocările de natură structurală identificate în recomandările specifice fiecărei țări relevant</w:t>
      </w:r>
      <w:r>
        <w:rPr>
          <w:noProof/>
        </w:rPr>
        <w:t>e pentru domeniul investițiilor. După cum au subliniat statele membre în rapoartele privind progresele înregistrate, fondurile ESI au sprijinit reformele în domenii precum protecția locurilor de muncă și politicile sociale, mediul de afaceri, cercetarea și</w:t>
      </w:r>
      <w:r>
        <w:rPr>
          <w:noProof/>
        </w:rPr>
        <w:t xml:space="preserve"> inovarea, eficiența energetică și utilizarea eficientă a resurselor, telecomunicațiile, transporturile, sănătatea, educația și reformele administrative.</w:t>
      </w:r>
    </w:p>
    <w:p w:rsidR="009A3F82" w:rsidRDefault="003D4079">
      <w:pPr>
        <w:spacing w:before="120"/>
        <w:rPr>
          <w:rFonts w:cs="Times New Roman"/>
          <w:noProof/>
        </w:rPr>
      </w:pPr>
      <w:r>
        <w:rPr>
          <w:noProof/>
        </w:rPr>
        <w:t>Având în vedere faptul că recomandările specifice fiecărei țări relevante, emise în 2014-2015, au făcu</w:t>
      </w:r>
      <w:r>
        <w:rPr>
          <w:noProof/>
        </w:rPr>
        <w:t>t trimitere în special la domenii care se confruntă cu provocări pe termen lung în ceea ce privește dezvoltarea, finanțarea prin intermediul politicii de coeziune a UE este strâns aliniată la nevoile de investiții identificate în recomandările specifice fi</w:t>
      </w:r>
      <w:r>
        <w:rPr>
          <w:noProof/>
        </w:rPr>
        <w:t>ecărei țări din 2019. Aceste recomandări, împreună cu rapoartele de țară din acest an, oferă un cadru analitic complet pentru identificarea priorităților de investiții pentru perioada 2021-2027.</w:t>
      </w:r>
    </w:p>
    <w:p w:rsidR="009A3F82" w:rsidRDefault="003D4079">
      <w:pPr>
        <w:pStyle w:val="Heading2"/>
        <w:rPr>
          <w:noProof/>
        </w:rPr>
      </w:pPr>
      <w:bookmarkStart w:id="11" w:name="_Toc28961614"/>
      <w:r>
        <w:rPr>
          <w:noProof/>
        </w:rPr>
        <w:t xml:space="preserve">3.2. Condiții prealabile pentru finanțare: condiționalități </w:t>
      </w:r>
      <w:r>
        <w:rPr>
          <w:i/>
          <w:iCs/>
          <w:noProof/>
        </w:rPr>
        <w:t>e</w:t>
      </w:r>
      <w:r>
        <w:rPr>
          <w:i/>
          <w:iCs/>
          <w:noProof/>
        </w:rPr>
        <w:t>x ante</w:t>
      </w:r>
      <w:bookmarkEnd w:id="11"/>
    </w:p>
    <w:p w:rsidR="009A3F82" w:rsidRDefault="003D4079">
      <w:pPr>
        <w:spacing w:before="120"/>
        <w:rPr>
          <w:rFonts w:cs="Times New Roman"/>
          <w:noProof/>
        </w:rPr>
      </w:pPr>
      <w:r>
        <w:rPr>
          <w:noProof/>
        </w:rPr>
        <w:t xml:space="preserve">Una dintre reformele majore din perioada 2014-2020 a constat în introducerea unor condiții prealabile specifice, cunoscute drept „condiționalități </w:t>
      </w:r>
      <w:r>
        <w:rPr>
          <w:i/>
          <w:iCs/>
          <w:noProof/>
        </w:rPr>
        <w:t>ex ante</w:t>
      </w:r>
      <w:r>
        <w:rPr>
          <w:noProof/>
        </w:rPr>
        <w:t>”, pentru a asigura utilizarea eficace și eficientă a fondurilor ESI de către statele membre și</w:t>
      </w:r>
      <w:r>
        <w:rPr>
          <w:noProof/>
        </w:rPr>
        <w:t xml:space="preserve"> de către regiuni. Procesul privind condiționalitățile </w:t>
      </w:r>
      <w:r>
        <w:rPr>
          <w:i/>
          <w:iCs/>
          <w:noProof/>
        </w:rPr>
        <w:t xml:space="preserve">ex ante </w:t>
      </w:r>
      <w:r>
        <w:rPr>
          <w:noProof/>
        </w:rPr>
        <w:t xml:space="preserve">pentru perioada 2014-2020 s-a finalizat. </w:t>
      </w:r>
    </w:p>
    <w:p w:rsidR="009A3F82" w:rsidRDefault="003D4079">
      <w:pPr>
        <w:spacing w:before="120"/>
        <w:rPr>
          <w:rFonts w:cs="Times New Roman"/>
          <w:noProof/>
        </w:rPr>
      </w:pPr>
      <w:r>
        <w:rPr>
          <w:noProof/>
        </w:rPr>
        <w:t xml:space="preserve">În general, condiționalitățile </w:t>
      </w:r>
      <w:r>
        <w:rPr>
          <w:i/>
          <w:iCs/>
          <w:noProof/>
        </w:rPr>
        <w:t>ex ante</w:t>
      </w:r>
      <w:r>
        <w:rPr>
          <w:noProof/>
        </w:rPr>
        <w:t xml:space="preserve"> s-au dovedit a fi un instrument de politică util, în special prin contribuția la îmbunătățirea mediului de inves</w:t>
      </w:r>
      <w:r>
        <w:rPr>
          <w:noProof/>
        </w:rPr>
        <w:t>tiții în UE și prin stimularea inițierii mai multor reforme structurale</w:t>
      </w:r>
      <w:r>
        <w:rPr>
          <w:rStyle w:val="FootnoteReference"/>
          <w:rFonts w:cs="Times New Roman"/>
          <w:noProof/>
        </w:rPr>
        <w:footnoteReference w:id="15"/>
      </w:r>
      <w:r>
        <w:rPr>
          <w:noProof/>
        </w:rPr>
        <w:t>. Pentru următoarea perioadă de programare, în propunerea sa de Regulament de stabilire a unor dispoziții comune</w:t>
      </w:r>
      <w:r>
        <w:rPr>
          <w:rStyle w:val="FootnoteReference"/>
          <w:rFonts w:cs="Times New Roman"/>
          <w:noProof/>
        </w:rPr>
        <w:footnoteReference w:id="16"/>
      </w:r>
      <w:r>
        <w:rPr>
          <w:noProof/>
        </w:rPr>
        <w:t xml:space="preserve"> („propunerea privind RDC pentru 2021-2027”), Comisia sugerează ca meca</w:t>
      </w:r>
      <w:r>
        <w:rPr>
          <w:noProof/>
        </w:rPr>
        <w:t>nismul să funcționeze și să fie îmbunătățit prin introducerea unui nou sistem de condiții favorizante, cu proceduri administrative simplificate și cu respectarea deplină și monitorizarea condițiilor.</w:t>
      </w:r>
    </w:p>
    <w:p w:rsidR="009A3F82" w:rsidRDefault="003D4079">
      <w:pPr>
        <w:pStyle w:val="Heading2"/>
        <w:rPr>
          <w:noProof/>
        </w:rPr>
      </w:pPr>
      <w:bookmarkStart w:id="12" w:name="_Toc28961615"/>
      <w:r>
        <w:rPr>
          <w:noProof/>
        </w:rPr>
        <w:t>3.3. Regula privind dezangajarea „N+3”</w:t>
      </w:r>
      <w:bookmarkEnd w:id="12"/>
    </w:p>
    <w:p w:rsidR="009A3F82" w:rsidRDefault="003D4079">
      <w:pPr>
        <w:spacing w:before="120"/>
        <w:rPr>
          <w:rFonts w:cs="Times New Roman"/>
          <w:noProof/>
        </w:rPr>
      </w:pPr>
      <w:r>
        <w:rPr>
          <w:noProof/>
        </w:rPr>
        <w:t>Regula privind de</w:t>
      </w:r>
      <w:r>
        <w:rPr>
          <w:noProof/>
        </w:rPr>
        <w:t>zangajarea „N+3”, prin care suma care face obiectul finanțării angajate de UE care nu a fost cheltuită în termen de trei ani poate fi pierdută, a fost introdusă în regulamentul care vizează perioada 2014-2020 pentru a înlocui regula „N+2”. Aceasta s-a apli</w:t>
      </w:r>
      <w:r>
        <w:rPr>
          <w:noProof/>
        </w:rPr>
        <w:t>cat tuturor statelor membre pentru prima dată în 2018.</w:t>
      </w:r>
    </w:p>
    <w:p w:rsidR="009A3F82" w:rsidRDefault="003D4079">
      <w:pPr>
        <w:spacing w:before="120"/>
        <w:rPr>
          <w:rFonts w:cs="Times New Roman"/>
          <w:noProof/>
        </w:rPr>
      </w:pPr>
      <w:r>
        <w:rPr>
          <w:noProof/>
        </w:rPr>
        <w:t>Deși a oferit autorităților de gestiune mai mult timp pentru selecția și implementarea proiectelor, reforma a redus presiunea pentru o execuție bugetară rapidă. Împreună cu conturile anuale și cu proce</w:t>
      </w:r>
      <w:r>
        <w:rPr>
          <w:noProof/>
        </w:rPr>
        <w:t xml:space="preserve">sele de închidere anuală, care au determinat o prudență excesivă în legătură cu riscurile aferente corecției financiare nete, regula „N+3” a contribuit semnificativ la nivelul scăzut al plăților de la bugetul UE către statele membre. Revenirea treptată la </w:t>
      </w:r>
      <w:r>
        <w:rPr>
          <w:noProof/>
        </w:rPr>
        <w:t>regula „N+2”, astfel cum a fost propusă de Comisie pentru perioada de programare 2021-2027, împreună cu măsurile cuprinzătoare de simplificare și de restructurare în vederea gestionării și a controlului, ar trebui să determine implementarea mai rapidă în b</w:t>
      </w:r>
      <w:r>
        <w:rPr>
          <w:noProof/>
        </w:rPr>
        <w:t>eneficiul cetățenilor europeni.</w:t>
      </w:r>
    </w:p>
    <w:p w:rsidR="009A3F82" w:rsidRDefault="003D4079">
      <w:pPr>
        <w:pStyle w:val="Heading2"/>
        <w:rPr>
          <w:noProof/>
        </w:rPr>
      </w:pPr>
      <w:bookmarkStart w:id="13" w:name="_Toc28961616"/>
      <w:r>
        <w:rPr>
          <w:noProof/>
        </w:rPr>
        <w:t>3.4. Cadrul de performanță</w:t>
      </w:r>
      <w:bookmarkEnd w:id="13"/>
    </w:p>
    <w:p w:rsidR="009A3F82" w:rsidRDefault="003D4079">
      <w:pPr>
        <w:spacing w:before="120"/>
        <w:rPr>
          <w:rFonts w:cs="Times New Roman"/>
          <w:iCs/>
          <w:noProof/>
        </w:rPr>
      </w:pPr>
      <w:r>
        <w:rPr>
          <w:noProof/>
        </w:rPr>
        <w:t xml:space="preserve">Un procent de 6 % din fondurile ESI alocate pentru programele din cadrul obiectivului privind investițiile pentru creștere economică și locuri de muncă a fost păstrat ca rezervă de performanță. În </w:t>
      </w:r>
      <w:r>
        <w:rPr>
          <w:noProof/>
        </w:rPr>
        <w:t xml:space="preserve">2019, Comisia a analizat performanța programelor (evaluarea performanței) și a alocat rezerva de performanță priorităților pentru care, la sfârșitul anului 2018, au fost îndeplinite obiectivele stabilite pentru etapele intermediare. </w:t>
      </w:r>
    </w:p>
    <w:p w:rsidR="009A3F82" w:rsidRDefault="003D4079">
      <w:pPr>
        <w:spacing w:before="120"/>
        <w:rPr>
          <w:rFonts w:cs="Times New Roman"/>
          <w:iCs/>
          <w:noProof/>
        </w:rPr>
      </w:pPr>
      <w:r>
        <w:rPr>
          <w:noProof/>
        </w:rPr>
        <w:t>Evaluarea performanței</w:t>
      </w:r>
      <w:r>
        <w:rPr>
          <w:noProof/>
        </w:rPr>
        <w:t xml:space="preserve"> s-a dovedit a fi o modalitate bună de a introduce stimulente pentru rezultatele obținute în implementarea politicii. În propunerea Comisiei privind RDC pentru 2021-2027, abordarea performanței se păstrează, însă se lasă mai mult loc pentru considerentele </w:t>
      </w:r>
      <w:r>
        <w:rPr>
          <w:noProof/>
        </w:rPr>
        <w:t>de ordin politic. Analiza va include o evaluare mai amplă și mai calitativă a performanței programelor, ținând seama de provocările identificate în recomandările specifice fiecărei țări din 2024, de situația socioeconomică a statelor membre sau a regiunilo</w:t>
      </w:r>
      <w:r>
        <w:rPr>
          <w:noProof/>
        </w:rPr>
        <w:t>r și de progresele înregistrate în ceea ce privește îndeplinirea la jumătatea perioadei a obiectivelor de etapă ale programului. În propunerea Comisiei referitoare la planurile strategice privind politica agricolă comună (PAC) pentru 2021-2027</w:t>
      </w:r>
      <w:r>
        <w:rPr>
          <w:rStyle w:val="FootnoteReference"/>
          <w:rFonts w:cs="Times New Roman"/>
          <w:iCs/>
          <w:noProof/>
        </w:rPr>
        <w:footnoteReference w:id="17"/>
      </w:r>
      <w:r>
        <w:rPr>
          <w:noProof/>
        </w:rPr>
        <w:t>, se menține</w:t>
      </w:r>
      <w:r>
        <w:rPr>
          <w:noProof/>
        </w:rPr>
        <w:t>, de asemenea, o orientare puternică spre performanță, eligibilitatea cheltuielilor depinzând de obținerea de rezultate pe teren.</w:t>
      </w:r>
    </w:p>
    <w:p w:rsidR="009A3F82" w:rsidRDefault="003D4079">
      <w:pPr>
        <w:pStyle w:val="Heading2"/>
        <w:rPr>
          <w:noProof/>
        </w:rPr>
      </w:pPr>
      <w:bookmarkStart w:id="14" w:name="_Toc28961617"/>
      <w:r>
        <w:rPr>
          <w:noProof/>
        </w:rPr>
        <w:t>3.5. Susținerea dezvoltării teritoriale integrate</w:t>
      </w:r>
      <w:bookmarkEnd w:id="14"/>
    </w:p>
    <w:p w:rsidR="009A3F82" w:rsidRDefault="003D4079">
      <w:pPr>
        <w:spacing w:before="120"/>
        <w:rPr>
          <w:rFonts w:cs="Times New Roman"/>
          <w:noProof/>
        </w:rPr>
      </w:pPr>
      <w:r>
        <w:rPr>
          <w:noProof/>
        </w:rPr>
        <w:t xml:space="preserve">Fondurile ESI reprezintă principalul instrument al UE de stimulare a </w:t>
      </w:r>
      <w:r>
        <w:rPr>
          <w:noProof/>
        </w:rPr>
        <w:t>dezvoltării teritoriale integrate în statele membre și în regiuni. Peste 3 800 de strategii teritoriale, urbane și locale primesc finanțare UE. În plus, fondurile ESI sprijină statele membre să pună în aplicare măsuri pentru a răspunde nevoilor unor terito</w:t>
      </w:r>
      <w:r>
        <w:rPr>
          <w:noProof/>
        </w:rPr>
        <w:t xml:space="preserve">rii specifice, cum ar fi zonele care se confruntă cu sărăcia sau cu excluziunea socială, zonele slab populate, regiunile montane, insulele și regiunile ultraperiferice. Această abordare individualizată a fost consolidată în propunerea Comisiei privind RDC </w:t>
      </w:r>
      <w:r>
        <w:rPr>
          <w:noProof/>
        </w:rPr>
        <w:t>pentru 2021-2027, în special prin acordarea unei atenții sporite teritoriilor funcționale (de exemplu bazinele hidrografice, zonele de coastă, lanțurile muntoase etc.), pentru a reduce fragmentările la nivel administrativ, precum și inițiativelor locale.</w:t>
      </w:r>
    </w:p>
    <w:p w:rsidR="009A3F82" w:rsidRDefault="003D4079">
      <w:pPr>
        <w:pStyle w:val="Heading3"/>
        <w:rPr>
          <w:noProof/>
        </w:rPr>
      </w:pPr>
      <w:bookmarkStart w:id="15" w:name="_Toc28961618"/>
      <w:r>
        <w:rPr>
          <w:noProof/>
        </w:rPr>
        <w:t>3</w:t>
      </w:r>
      <w:r>
        <w:rPr>
          <w:noProof/>
        </w:rPr>
        <w:t>.5.1. Investițiile integrate în orașe</w:t>
      </w:r>
      <w:bookmarkEnd w:id="15"/>
    </w:p>
    <w:p w:rsidR="009A3F82" w:rsidRDefault="003D4079">
      <w:pPr>
        <w:spacing w:before="120"/>
        <w:rPr>
          <w:rFonts w:cs="Times New Roman"/>
          <w:noProof/>
        </w:rPr>
      </w:pPr>
      <w:r>
        <w:rPr>
          <w:noProof/>
        </w:rPr>
        <w:t>Atenția importantă acordată problemelor urbane în cadrul acestei perioade de programare, împreună cu impulsul politic unic declanșat de Agenda urbană a UE</w:t>
      </w:r>
      <w:r>
        <w:rPr>
          <w:rFonts w:cs="Times New Roman"/>
          <w:noProof/>
          <w:vertAlign w:val="superscript"/>
        </w:rPr>
        <w:footnoteReference w:id="18"/>
      </w:r>
      <w:r>
        <w:rPr>
          <w:noProof/>
        </w:rPr>
        <w:t>, au oferit orașelor mijloacele necesare pentru a-și elabora pr</w:t>
      </w:r>
      <w:r>
        <w:rPr>
          <w:noProof/>
        </w:rPr>
        <w:t>opriile strategii urbane integrate cu sprijinul fondurilor ESI. Din cele 81 de miliarde EUR investite în zonele urbane până la sfârșitul anului 2018, orașele au ales proiecte în valoare de aproximativ 10,8 miliarde EUR, care urmează să fie puse în aplicare</w:t>
      </w:r>
      <w:r>
        <w:rPr>
          <w:noProof/>
        </w:rPr>
        <w:t xml:space="preserve"> prin intermediul a peste 900 de strategii urbane integrate. Trebuie menționat, de asemenea, succesul inițiativei Acțiuni urbane inovatoare, care a sprijinit zonele urbane să testeze soluții inovatoare pentru o dezvoltare urbană durabilă prin 75 de acțiuni</w:t>
      </w:r>
      <w:r>
        <w:rPr>
          <w:rFonts w:cs="Times New Roman"/>
          <w:noProof/>
          <w:vertAlign w:val="superscript"/>
        </w:rPr>
        <w:footnoteReference w:id="19"/>
      </w:r>
      <w:r>
        <w:rPr>
          <w:noProof/>
        </w:rPr>
        <w:t>.</w:t>
      </w:r>
    </w:p>
    <w:p w:rsidR="009A3F82" w:rsidRDefault="003D4079">
      <w:pPr>
        <w:pStyle w:val="Heading3"/>
        <w:rPr>
          <w:noProof/>
        </w:rPr>
      </w:pPr>
      <w:bookmarkStart w:id="16" w:name="_Toc28961619"/>
      <w:r>
        <w:rPr>
          <w:noProof/>
        </w:rPr>
        <w:t>3.5.2. Implementarea unor instrumente teritoriale</w:t>
      </w:r>
      <w:bookmarkEnd w:id="16"/>
    </w:p>
    <w:p w:rsidR="009A3F82" w:rsidRDefault="003D4079">
      <w:pPr>
        <w:spacing w:before="120"/>
        <w:rPr>
          <w:rFonts w:cs="Times New Roman"/>
          <w:noProof/>
        </w:rPr>
      </w:pPr>
      <w:r>
        <w:rPr>
          <w:noProof/>
        </w:rPr>
        <w:t>Pentru a încuraja strategiile integrate de dezvoltare teritorială care să depășească nivelurile tradiționale naționale și regionale, au fost introduse investițiile teritoriale integrate („ITI”) și instru</w:t>
      </w:r>
      <w:r>
        <w:rPr>
          <w:noProof/>
        </w:rPr>
        <w:t xml:space="preserve">mentul de dezvoltare locală plasată sub responsabilitatea comunității („CLLD”)  . </w:t>
      </w:r>
    </w:p>
    <w:p w:rsidR="009A3F82" w:rsidRDefault="003D4079">
      <w:pPr>
        <w:spacing w:before="120"/>
        <w:rPr>
          <w:rFonts w:cs="Times New Roman"/>
          <w:noProof/>
        </w:rPr>
      </w:pPr>
      <w:r>
        <w:rPr>
          <w:noProof/>
        </w:rPr>
        <w:t>ITI au fost utilizate pentru implementarea a peste 200 de strategii urbane și 120 de strategii teritoriale, mobilizând o sumă totală de 15,9 miliarde EUR pentru finanțarea d</w:t>
      </w:r>
      <w:r>
        <w:rPr>
          <w:noProof/>
        </w:rPr>
        <w:t>in fonduri ESI. Instrumentul CLLD, la baza căruia se află metoda LEADER</w:t>
      </w:r>
      <w:r>
        <w:rPr>
          <w:rStyle w:val="FootnoteReference"/>
          <w:rFonts w:cs="Times New Roman"/>
          <w:noProof/>
        </w:rPr>
        <w:footnoteReference w:id="20"/>
      </w:r>
      <w:r>
        <w:rPr>
          <w:noProof/>
        </w:rPr>
        <w:t>, a contribuit la mobilizarea unei sume totale de 9,1 miliarde EUR pentru finanțarea din fonduri ESI. Până în prezent, au fost instituite în întreaga UE peste 3 000 de grupuri de acțiu</w:t>
      </w:r>
      <w:r>
        <w:rPr>
          <w:noProof/>
        </w:rPr>
        <w:t>ne locală care sunt responsabile pentru mobilizarea comunităților locale și pentru implementarea strategiilor CLLD. În multe cazuri, ITI și CLLD au avut un debut lent din cauza necesității de a elabora mai întâi strategiile globale aferente și din cauza di</w:t>
      </w:r>
      <w:r>
        <w:rPr>
          <w:noProof/>
        </w:rPr>
        <w:t>ficultăților legate de combinarea unor fonduri diferite. Rapoartele privind progresele înregistrate arată totuși entuziasmul general pentru aceste instrumente: instrumentele au contribuit la depășirea dificultăților legate de implementarea măsurilor de dez</w:t>
      </w:r>
      <w:r>
        <w:rPr>
          <w:noProof/>
        </w:rPr>
        <w:t xml:space="preserve">voltare urbană în mai multe sectoare și la o mai bună abordare a nevoilor teritoriale. </w:t>
      </w:r>
    </w:p>
    <w:p w:rsidR="009A3F82" w:rsidRDefault="003D4079">
      <w:pPr>
        <w:spacing w:before="120"/>
        <w:rPr>
          <w:rFonts w:cs="Times New Roman"/>
          <w:noProof/>
        </w:rPr>
      </w:pPr>
      <w:r>
        <w:rPr>
          <w:noProof/>
        </w:rPr>
        <w:t>Noua abordare politică introdusă de Comisie în propunerea sa privind RDC pentru 2021-2027 se bazează pe experiențele pozitive ale ITI și CLLD, simplificând și eficienti</w:t>
      </w:r>
      <w:r>
        <w:rPr>
          <w:noProof/>
        </w:rPr>
        <w:t>zând investițiile teritoriale. În plus, în propunerea Comisiei referitoare la planurile strategice privind PAC pentru 2021-2027, LEADER își va menține caracterul obligatoriu și o proporție minimă de 5 % din contribuția totală a FEADR îi va fi rezervată.</w:t>
      </w:r>
    </w:p>
    <w:p w:rsidR="009A3F82" w:rsidRDefault="003D4079">
      <w:pPr>
        <w:pStyle w:val="Heading3"/>
        <w:rPr>
          <w:noProof/>
        </w:rPr>
      </w:pPr>
      <w:bookmarkStart w:id="17" w:name="_Toc28961620"/>
      <w:r>
        <w:rPr>
          <w:noProof/>
        </w:rPr>
        <w:t>3.</w:t>
      </w:r>
      <w:r>
        <w:rPr>
          <w:noProof/>
        </w:rPr>
        <w:t>5.3. Cooperarea teritorială</w:t>
      </w:r>
      <w:bookmarkEnd w:id="17"/>
      <w:r>
        <w:rPr>
          <w:noProof/>
        </w:rPr>
        <w:t xml:space="preserve"> </w:t>
      </w:r>
    </w:p>
    <w:p w:rsidR="009A3F82" w:rsidRDefault="003D4079">
      <w:pPr>
        <w:spacing w:before="120"/>
        <w:rPr>
          <w:rFonts w:cs="Times New Roman"/>
          <w:noProof/>
        </w:rPr>
      </w:pPr>
      <w:r>
        <w:rPr>
          <w:noProof/>
        </w:rPr>
        <w:t>Programele de cooperare teritorială europeană (Interreg) sunt puse în aplicare la nivel transfrontalier, transnațional și interregional. Selecția proiectelor a înregistrat progrese în toate programele Interreg, valoarea finanță</w:t>
      </w:r>
      <w:r>
        <w:rPr>
          <w:noProof/>
        </w:rPr>
        <w:t xml:space="preserve">rii fiind de aproximativ 9,7 miliarde EUR la sfârșitul anului 2018. Principalele domenii care au fost sprijinite sunt protecția mediului și utilizarea eficientă a resurselor (de exemplu, prevenirea inundațiilor, protecția împotriva incendiilor, protejarea </w:t>
      </w:r>
      <w:r>
        <w:rPr>
          <w:noProof/>
        </w:rPr>
        <w:t>naturii), precum și domeniul cercetării, al dezvoltării și al inovării (de exemplu, clustere transfrontaliere, rețele de inovare). În ultimii doi ani, s-a acordat mai multă atenție eliminării obstacolelor de natură juridică, administrativă și instituțional</w:t>
      </w:r>
      <w:r>
        <w:rPr>
          <w:noProof/>
        </w:rPr>
        <w:t>ă care împiedică investițiile și dezvoltarea economică în regiunile frontaliere. De exemplu, Comisia a creat un punct de contact frontalier dedicat, pentru a sprijini depășirea acestor obstacole în domenii specifice cum ar fi domeniul transporturilor, al p</w:t>
      </w:r>
      <w:r>
        <w:rPr>
          <w:noProof/>
        </w:rPr>
        <w:t>ieței locurilor de muncă, al sănătății și al educației</w:t>
      </w:r>
      <w:r>
        <w:rPr>
          <w:rStyle w:val="FootnoteReference"/>
          <w:rFonts w:cs="Times New Roman"/>
          <w:noProof/>
        </w:rPr>
        <w:footnoteReference w:id="21"/>
      </w:r>
      <w:r>
        <w:rPr>
          <w:noProof/>
        </w:rPr>
        <w:t xml:space="preserve">. </w:t>
      </w:r>
    </w:p>
    <w:p w:rsidR="009A3F82" w:rsidRDefault="003D4079">
      <w:pPr>
        <w:spacing w:before="120"/>
        <w:rPr>
          <w:rFonts w:cs="Times New Roman"/>
          <w:b/>
          <w:bCs/>
          <w:noProof/>
        </w:rPr>
      </w:pPr>
      <w:r>
        <w:rPr>
          <w:noProof/>
        </w:rPr>
        <w:t>În ceea ce privește strategiile macroregionale ale UE, al doilea raport al Comisiei</w:t>
      </w:r>
      <w:r>
        <w:rPr>
          <w:rFonts w:cs="Times New Roman"/>
          <w:noProof/>
          <w:vertAlign w:val="superscript"/>
        </w:rPr>
        <w:footnoteReference w:id="22"/>
      </w:r>
      <w:r>
        <w:rPr>
          <w:noProof/>
        </w:rPr>
        <w:t xml:space="preserve"> a subliniat impactul pozitiv al abordării macroregionale, în special asupra sensibilizării în ceea ce privește pr</w:t>
      </w:r>
      <w:r>
        <w:rPr>
          <w:noProof/>
        </w:rPr>
        <w:t>ovocările comune din zonele funcționale (de exemplu, zonele urbane funcționale, bazinele hidrografice, zonele de coastă, lanțurile muntoase etc. ). Raportul Comisiei identifică totuși o lipsă de asumare a strategiilor în unele state membre participante, ce</w:t>
      </w:r>
      <w:r>
        <w:rPr>
          <w:noProof/>
        </w:rPr>
        <w:t>ea ce conduce la o alocare insuficientă a resurselor administrative și tehnice. Cu toate acestea, rapoartele prezentate de statele membre indică un nivel din ce în ce mai ridicat de integrare a strategiilor macroregionale în programele finanțate din fondur</w:t>
      </w:r>
      <w:r>
        <w:rPr>
          <w:noProof/>
        </w:rPr>
        <w:t>ile ESI. Pentru a menține impulsul, Comisia a recomandat statelor membre participante să ia în considerare prioritățile strategiilor macroregionale din documentele de programare ale fondurilor ESI pentru perioada 2021-2027. Consiliul Uniunii Europene a sus</w:t>
      </w:r>
      <w:r>
        <w:rPr>
          <w:noProof/>
        </w:rPr>
        <w:t>ț</w:t>
      </w:r>
      <w:r>
        <w:rPr>
          <w:noProof/>
        </w:rPr>
        <w:t>inut această recomandare.</w:t>
      </w:r>
    </w:p>
    <w:p w:rsidR="009A3F82" w:rsidRDefault="003D4079">
      <w:pPr>
        <w:pStyle w:val="Heading1"/>
        <w:rPr>
          <w:noProof/>
        </w:rPr>
      </w:pPr>
      <w:bookmarkStart w:id="18" w:name="_Toc28961621"/>
      <w:r>
        <w:rPr>
          <w:noProof/>
        </w:rPr>
        <w:t>4. O MAI BUNĂ GESTIONARE A PROGRAMELOR</w:t>
      </w:r>
      <w:bookmarkEnd w:id="18"/>
    </w:p>
    <w:p w:rsidR="009A3F82" w:rsidRDefault="003D4079">
      <w:pPr>
        <w:pStyle w:val="Heading2"/>
        <w:rPr>
          <w:noProof/>
        </w:rPr>
      </w:pPr>
      <w:bookmarkStart w:id="19" w:name="_Toc28961622"/>
      <w:r>
        <w:rPr>
          <w:noProof/>
        </w:rPr>
        <w:t>4.1. Capacitatea autorităților și a beneficiarilor</w:t>
      </w:r>
      <w:bookmarkEnd w:id="19"/>
      <w:r>
        <w:rPr>
          <w:noProof/>
        </w:rPr>
        <w:t xml:space="preserve"> </w:t>
      </w:r>
    </w:p>
    <w:p w:rsidR="009A3F82" w:rsidRDefault="003D4079">
      <w:pPr>
        <w:spacing w:before="120"/>
        <w:rPr>
          <w:rFonts w:cs="Times New Roman"/>
          <w:noProof/>
        </w:rPr>
      </w:pPr>
      <w:r>
        <w:rPr>
          <w:noProof/>
        </w:rPr>
        <w:t>Comisia a pus la dispoziția statelor membre un set amplu de instrumente specifice</w:t>
      </w:r>
      <w:r>
        <w:rPr>
          <w:rStyle w:val="FootnoteReference"/>
          <w:rFonts w:cs="Times New Roman"/>
          <w:noProof/>
        </w:rPr>
        <w:footnoteReference w:id="23"/>
      </w:r>
      <w:r>
        <w:rPr>
          <w:noProof/>
        </w:rPr>
        <w:t xml:space="preserve"> pentru a veni în sprijinul eforturilor pe care acestea le depun pentru a se asigura că autoritățile și beneficiarii programului au o capacitate administrativă suficientă pentru a pune în aplicare eficient fondurile ESI. Acest sprijin îmbracă diferite form</w:t>
      </w:r>
      <w:r>
        <w:rPr>
          <w:noProof/>
        </w:rPr>
        <w:t>e, de la eliminarea blocajelor pe termen scurt – de exemplu, prin perfecționarea personalului care se ocupă de achizițiile publice și de ajutoarele de stat – la dezvoltarea unor acțiuni mai strategice și mai adaptate în materie de consolidare a capacității</w:t>
      </w:r>
      <w:r>
        <w:rPr>
          <w:noProof/>
        </w:rPr>
        <w:t xml:space="preserve"> administrative. De exemplu, până la sfârșitul anului 2018, 2 600 de participanți din toate statele membre au luat parte la peste 170 de ateliere, vizite de studiu și misiuni de experți în cadrul platformei „TAIEX-REGIO Peer2Peer”. Alte inițiative din 2018</w:t>
      </w:r>
      <w:r>
        <w:rPr>
          <w:noProof/>
        </w:rPr>
        <w:t xml:space="preserve"> includ lansarea unui cadru de competență și a unui instrument de autoevaluare pentru a ajuta administrațiile să identifice și să remedieze lacunele legate de competență. </w:t>
      </w:r>
    </w:p>
    <w:p w:rsidR="009A3F82" w:rsidRDefault="003D4079">
      <w:pPr>
        <w:spacing w:before="120"/>
        <w:rPr>
          <w:rFonts w:cs="Times New Roman"/>
          <w:noProof/>
        </w:rPr>
      </w:pPr>
      <w:r>
        <w:rPr>
          <w:noProof/>
        </w:rPr>
        <w:t>În domeniul digital, Rețeaua de birouri cu competențe în materie de bandă largă (BCO</w:t>
      </w:r>
      <w:r>
        <w:rPr>
          <w:noProof/>
        </w:rPr>
        <w:t>)</w:t>
      </w:r>
      <w:r>
        <w:rPr>
          <w:rStyle w:val="FootnoteReference"/>
          <w:rFonts w:cs="Times New Roman"/>
          <w:noProof/>
        </w:rPr>
        <w:footnoteReference w:id="24"/>
      </w:r>
      <w:r>
        <w:rPr>
          <w:noProof/>
        </w:rPr>
        <w:t xml:space="preserve"> este acum complet funcțională. Aceasta reunește 113 autorități și organisme publice naționale și regionale care sprijină dezvoltarea rețelelor de comunicații în bandă largă în toate statele membre. Cu sprijinul Comisiei, BCO face schimb de cunoștințe, d</w:t>
      </w:r>
      <w:r>
        <w:rPr>
          <w:noProof/>
        </w:rPr>
        <w:t xml:space="preserve">e bune practici și de experiențe pentru a depăși provocările comune legate de elaborarea și de punerea în aplicare a strategiilor și a proiectelor privind banda largă. </w:t>
      </w:r>
    </w:p>
    <w:p w:rsidR="009A3F82" w:rsidRDefault="003D4079">
      <w:pPr>
        <w:pStyle w:val="Heading2"/>
        <w:rPr>
          <w:noProof/>
        </w:rPr>
      </w:pPr>
      <w:bookmarkStart w:id="20" w:name="_Toc28961623"/>
      <w:r>
        <w:rPr>
          <w:noProof/>
        </w:rPr>
        <w:t>4.2. Simplificări pentru beneficiari</w:t>
      </w:r>
      <w:bookmarkEnd w:id="20"/>
    </w:p>
    <w:p w:rsidR="009A3F82" w:rsidRDefault="003D4079">
      <w:pPr>
        <w:pStyle w:val="NormalWeb"/>
        <w:spacing w:before="120" w:after="120"/>
        <w:jc w:val="both"/>
        <w:rPr>
          <w:noProof/>
        </w:rPr>
      </w:pPr>
      <w:r>
        <w:rPr>
          <w:noProof/>
        </w:rPr>
        <w:t xml:space="preserve">Modificările aduse mai multor regulamente privind </w:t>
      </w:r>
      <w:r>
        <w:rPr>
          <w:noProof/>
        </w:rPr>
        <w:t>fondurile ESI</w:t>
      </w:r>
      <w:r>
        <w:rPr>
          <w:noProof/>
          <w:vertAlign w:val="superscript"/>
        </w:rPr>
        <w:footnoteReference w:id="25"/>
      </w:r>
      <w:r>
        <w:rPr>
          <w:noProof/>
        </w:rPr>
        <w:t xml:space="preserve"> în iulie 2018 au oferit noi oportunități de a reduce birocrația în cazul implementării programelor 2014-2020. Modificările au vizat o utilizare mai amplă a opțiunilor simplificate în materie de costuri - permițând autorităților să se concent</w:t>
      </w:r>
      <w:r>
        <w:rPr>
          <w:noProof/>
        </w:rPr>
        <w:t>reze într-o mai mare măsură pe rezultate, sporind în același timp securitatea juridică pentru toți actorii, oferind mai multe posibilități de a combina surse de finanțare și o reducere suplimentară a sarcinilor de audit pentru operațiunile mici, prin extin</w:t>
      </w:r>
      <w:r>
        <w:rPr>
          <w:noProof/>
        </w:rPr>
        <w:t xml:space="preserve">derea domeniului de aplicare al normei „un singur audit”. </w:t>
      </w:r>
    </w:p>
    <w:p w:rsidR="009A3F82" w:rsidRDefault="003D4079">
      <w:pPr>
        <w:pStyle w:val="NormalWeb"/>
        <w:jc w:val="both"/>
        <w:rPr>
          <w:noProof/>
        </w:rPr>
      </w:pPr>
      <w:r>
        <w:rPr>
          <w:noProof/>
        </w:rPr>
        <w:t>În ceea ce privește opțiunile simplificate în materie de costuri, în special rețeaua transnațională în domeniul FSE, în noiembrie 2018 a fost lansată o platformă specifică pentru ca autoritățile să</w:t>
      </w:r>
      <w:r>
        <w:rPr>
          <w:noProof/>
        </w:rPr>
        <w:t xml:space="preserve"> partajeze cunoștințele și bunele practici în ceea ce privește implementarea opțiunilor simplificate în materie de costuri în cadrul FEDR și al Fondului de coeziune. Opțiunile simplificate în materie de costuri din cadrul FEADR au fost puternic sprijinite </w:t>
      </w:r>
      <w:r>
        <w:rPr>
          <w:noProof/>
        </w:rPr>
        <w:t>prin activități de creare de rețele și de consolidare a capacității. Pentru FSE, Comisia a adoptat, de trei ori începând din august 2018, noi costuri unitare și sume forfetare pentru mai multe state membre, inclusiv, pentru prima dată, pentru Bulgaria și P</w:t>
      </w:r>
      <w:r>
        <w:rPr>
          <w:noProof/>
        </w:rPr>
        <w:t xml:space="preserve">ortugalia. </w:t>
      </w:r>
    </w:p>
    <w:p w:rsidR="009A3F82" w:rsidRDefault="003D4079">
      <w:pPr>
        <w:pStyle w:val="Heading2"/>
        <w:rPr>
          <w:noProof/>
        </w:rPr>
      </w:pPr>
      <w:bookmarkStart w:id="21" w:name="_Toc28961624"/>
      <w:r>
        <w:rPr>
          <w:noProof/>
        </w:rPr>
        <w:t>4.3.</w:t>
      </w:r>
      <w:r>
        <w:rPr>
          <w:caps/>
          <w:noProof/>
        </w:rPr>
        <w:t xml:space="preserve"> </w:t>
      </w:r>
      <w:r>
        <w:rPr>
          <w:noProof/>
        </w:rPr>
        <w:t>Rolul partenerilor în implementarea programelor</w:t>
      </w:r>
      <w:bookmarkEnd w:id="21"/>
    </w:p>
    <w:p w:rsidR="009A3F82" w:rsidRDefault="003D4079">
      <w:pPr>
        <w:rPr>
          <w:noProof/>
        </w:rPr>
      </w:pPr>
      <w:r>
        <w:rPr>
          <w:noProof/>
        </w:rPr>
        <w:t>Modul în care este pus în aplicare principiul parteneriatului variază de la un stat membru la altul, în funcție de sistemul administrativ și instituțional al acestora. Totuși, la fel ca în 20</w:t>
      </w:r>
      <w:r>
        <w:rPr>
          <w:noProof/>
        </w:rPr>
        <w:t>17, rapoartele privind progresele înregistrate indică un efort general de implicare a partenerilor, în conformitate cu codul de conduită privind parteneriatul. În multe state membre, rapoartele privind progresele înregistrate au fost discutate cu parteneri</w:t>
      </w:r>
      <w:r>
        <w:rPr>
          <w:noProof/>
        </w:rPr>
        <w:t>i în cadrul comitetelor de monitorizare sau în cadrul unor forumuri dedicate. Statele membre au continuat să implice parteneri fie prin intermediul comitetelor de monitorizare, al grupurilor consultative, al consultărilor cu privire la cererile de propuner</w:t>
      </w:r>
      <w:r>
        <w:rPr>
          <w:noProof/>
        </w:rPr>
        <w:t>i, fie prin organizarea de campanii de informare și de ateliere. De exemplu, în 11 state membre, organizațiile societății civile au monitorizat în mod activ întregul ciclu al achizițiilor și al implementării proiectelor în contextul celor 17 pacte de integ</w:t>
      </w:r>
      <w:r>
        <w:rPr>
          <w:noProof/>
        </w:rPr>
        <w:t>ritate</w:t>
      </w:r>
      <w:r>
        <w:rPr>
          <w:rStyle w:val="FootnoteReference"/>
          <w:noProof/>
        </w:rPr>
        <w:footnoteReference w:id="26"/>
      </w:r>
      <w:r>
        <w:rPr>
          <w:noProof/>
        </w:rPr>
        <w:t xml:space="preserve"> finanțate de Comisie în parteneriat cu Transparency International. În general, implicarea partenerilor este percepută ca având un impact pozitiv asupra punerii în aplicare a programului.</w:t>
      </w:r>
    </w:p>
    <w:p w:rsidR="009A3F82" w:rsidRDefault="003D4079">
      <w:pPr>
        <w:pStyle w:val="Heading2"/>
        <w:rPr>
          <w:noProof/>
        </w:rPr>
      </w:pPr>
      <w:bookmarkStart w:id="22" w:name="_Toc28961625"/>
      <w:r>
        <w:rPr>
          <w:noProof/>
        </w:rPr>
        <w:t>4.4.</w:t>
      </w:r>
      <w:r>
        <w:rPr>
          <w:caps/>
          <w:noProof/>
        </w:rPr>
        <w:t xml:space="preserve"> </w:t>
      </w:r>
      <w:r>
        <w:rPr>
          <w:noProof/>
        </w:rPr>
        <w:t>Punerea în aplicare a principiilor orizontale și a obiec</w:t>
      </w:r>
      <w:r>
        <w:rPr>
          <w:noProof/>
        </w:rPr>
        <w:t>tivelor de politică</w:t>
      </w:r>
      <w:bookmarkEnd w:id="22"/>
    </w:p>
    <w:p w:rsidR="009A3F82" w:rsidRDefault="003D4079">
      <w:pPr>
        <w:spacing w:before="120"/>
        <w:rPr>
          <w:rFonts w:cs="Times New Roman"/>
          <w:noProof/>
        </w:rPr>
      </w:pPr>
      <w:r>
        <w:rPr>
          <w:noProof/>
        </w:rPr>
        <w:t>Comisia sprijină în continuare statele membre la implementarea obiectivelor orizontale, inclusiv a obiectivelor în materie de mediu și climă - în special prin convocarea de reuniuni periodice cu reprezentanții autorităților naționale di</w:t>
      </w:r>
      <w:r>
        <w:rPr>
          <w:noProof/>
        </w:rPr>
        <w:t>n domeniul energiei sau al mediului și ai autorităților de management care se ocupă de energie sau de mediu</w:t>
      </w:r>
      <w:r>
        <w:rPr>
          <w:noProof/>
          <w:vertAlign w:val="superscript"/>
        </w:rPr>
        <w:t xml:space="preserve"> </w:t>
      </w:r>
      <w:r>
        <w:rPr>
          <w:noProof/>
        </w:rPr>
        <w:t>– precum și de egalitatea de gen. În unele state membre, se oferă stimulente pozitive specifice pentru promotorii de proiecte care aduc o abordare i</w:t>
      </w:r>
      <w:r>
        <w:rPr>
          <w:noProof/>
        </w:rPr>
        <w:t xml:space="preserve">novatoare pentru integrarea perspectivei de gen. </w:t>
      </w:r>
    </w:p>
    <w:p w:rsidR="009A3F82" w:rsidRDefault="003D4079">
      <w:pPr>
        <w:pStyle w:val="Heading2"/>
        <w:rPr>
          <w:noProof/>
        </w:rPr>
      </w:pPr>
      <w:bookmarkStart w:id="23" w:name="_Toc28961626"/>
      <w:r>
        <w:rPr>
          <w:noProof/>
        </w:rPr>
        <w:t>4.5. Complementarități mai bune pentru un impact mai mare</w:t>
      </w:r>
      <w:bookmarkEnd w:id="23"/>
    </w:p>
    <w:p w:rsidR="009A3F82" w:rsidRDefault="003D4079">
      <w:pPr>
        <w:spacing w:before="120"/>
        <w:rPr>
          <w:rFonts w:cs="Times New Roman"/>
          <w:i/>
          <w:iCs/>
          <w:noProof/>
          <w:u w:val="single"/>
        </w:rPr>
      </w:pPr>
      <w:r>
        <w:rPr>
          <w:noProof/>
        </w:rPr>
        <w:t xml:space="preserve">Cadrul de reglementare 2014-2020 a consolidat coordonarea dintre fondurile ESI și complementaritățile acestora cu alte instrumente ale UE. </w:t>
      </w:r>
      <w:r>
        <w:rPr>
          <w:noProof/>
        </w:rPr>
        <w:t>Informațiile furnizate în rapoartele privind progresele înregistrate din 2019 arată că mai multe state membre au aplicat măsuri precum alinierea normelor naționale de eligibilitate, măsuri intersectoriale și interministeriale, comitete mixte de monitorizar</w:t>
      </w:r>
      <w:r>
        <w:rPr>
          <w:noProof/>
        </w:rPr>
        <w:t>e sau soluții IT care vizează programarea și implementarea mai multor fonduri.</w:t>
      </w:r>
    </w:p>
    <w:p w:rsidR="009A3F82" w:rsidRDefault="003D4079">
      <w:pPr>
        <w:spacing w:before="120"/>
        <w:rPr>
          <w:rFonts w:cs="Times New Roman"/>
          <w:noProof/>
        </w:rPr>
      </w:pPr>
      <w:r>
        <w:rPr>
          <w:noProof/>
        </w:rPr>
        <w:t>Există, de asemenea, noi proiecte care ilustrează complementaritatea dintre fondurile ESI și Fondul european pentru investiții strategice (FEIS). Printre exemple se numără aerop</w:t>
      </w:r>
      <w:r>
        <w:rPr>
          <w:noProof/>
        </w:rPr>
        <w:t xml:space="preserve">ortul de pe Insula Réunion, care a beneficiat de finanțare atât din FEDR, cât și din FEIS, și centrul de simulare medicală al Universității de medicină din Poznan, în cazul căruia sprijinul rambursabil din partea FEIS a fost însoțit de un grant FSE pentru </w:t>
      </w:r>
      <w:r>
        <w:rPr>
          <w:noProof/>
        </w:rPr>
        <w:t>a acoperi o parte din costurile echipamentelor și pentru îmbunătățirea competențelor. Rapoartele arată, totuși, că statele membre evaluează încă modul în care trebuie să utilizeze opțiunea prevăzută de modificarea</w:t>
      </w:r>
      <w:r>
        <w:rPr>
          <w:rStyle w:val="FootnoteReference"/>
          <w:rFonts w:cs="Times New Roman"/>
          <w:noProof/>
        </w:rPr>
        <w:footnoteReference w:id="27"/>
      </w:r>
      <w:r>
        <w:rPr>
          <w:noProof/>
        </w:rPr>
        <w:t xml:space="preserve"> Regulamentului (UE) nr. 1303/2013 și dacă</w:t>
      </w:r>
      <w:r>
        <w:rPr>
          <w:noProof/>
        </w:rPr>
        <w:t xml:space="preserve"> aceasta trebuie utilizată, pentru a facilita combinarea FEIS și a fondurilor ESI. </w:t>
      </w:r>
    </w:p>
    <w:p w:rsidR="009A3F82" w:rsidRDefault="003D4079">
      <w:pPr>
        <w:spacing w:before="120"/>
        <w:rPr>
          <w:rFonts w:cs="Times New Roman"/>
          <w:noProof/>
        </w:rPr>
      </w:pPr>
      <w:r>
        <w:rPr>
          <w:noProof/>
        </w:rPr>
        <w:t xml:space="preserve">În plus, participanții din majoritatea statelor membre și din mai multe țări asociate s-au alăturat comunității de practică pentru inițiativa „Marca de excelență”. Aceasta </w:t>
      </w:r>
      <w:r>
        <w:rPr>
          <w:noProof/>
        </w:rPr>
        <w:t>sprijină proiectele inovatoare pentru IMM-uri care nu ar putea primi finanțare din partea programului Orizont 2020 pentru a solicita alt sprijin, inclusiv din partea FEDR. Această inițiativă ar trebui facilitată în contextul propunerii Comisiei pentru urmă</w:t>
      </w:r>
      <w:r>
        <w:rPr>
          <w:noProof/>
        </w:rPr>
        <w:t xml:space="preserve">torul buget al UE, care are drept scop simplificarea normelor acesteia privind ajutorul de stat, pentru a sprijini în continuare finanțarea publică a proiectelor inovatoare. </w:t>
      </w:r>
    </w:p>
    <w:p w:rsidR="009A3F82" w:rsidRDefault="003D4079">
      <w:pPr>
        <w:spacing w:before="120"/>
        <w:rPr>
          <w:rFonts w:cs="Times New Roman"/>
          <w:noProof/>
        </w:rPr>
      </w:pPr>
      <w:r>
        <w:rPr>
          <w:noProof/>
        </w:rPr>
        <w:t>De asemenea, Comisia a lansat o serie de inițiative pentru îmbunătățirea sinergii</w:t>
      </w:r>
      <w:r>
        <w:rPr>
          <w:noProof/>
        </w:rPr>
        <w:t>lor, în special proiectul-pilot „Calea către excelență”, pentru a ajuta statele membre să își îmbunătățească sistemele de inovare și să se conecteze cu comunitățile de cercetare din alte țări, pentru a facilita candidaturile pentru cererile de propuneri di</w:t>
      </w:r>
      <w:r>
        <w:rPr>
          <w:noProof/>
        </w:rPr>
        <w:t>n cadrul Orizont 2020. Totuși, în pofida existenței posibilității cumulării granturilor, finanțarea combinată din cadrul programului Orizont și al fondurilor ESI pentru aceleași proiecte și-a menținut caracterul ocazional</w:t>
      </w:r>
      <w:r>
        <w:rPr>
          <w:rStyle w:val="FootnoteReference"/>
          <w:rFonts w:cs="Times New Roman"/>
          <w:noProof/>
        </w:rPr>
        <w:footnoteReference w:id="28"/>
      </w:r>
      <w:r>
        <w:rPr>
          <w:noProof/>
        </w:rPr>
        <w:t>.</w:t>
      </w:r>
    </w:p>
    <w:p w:rsidR="009A3F82" w:rsidRDefault="003D4079">
      <w:pPr>
        <w:spacing w:before="120"/>
        <w:rPr>
          <w:rFonts w:cs="Times New Roman"/>
          <w:noProof/>
        </w:rPr>
      </w:pPr>
      <w:r>
        <w:rPr>
          <w:noProof/>
        </w:rPr>
        <w:t>Parteneriatul european pentru in</w:t>
      </w:r>
      <w:r>
        <w:rPr>
          <w:noProof/>
        </w:rPr>
        <w:t>ovare privind productivitatea și durabilitatea agriculturii (PEI-AGRI) sprijinit de FEADR este un alt exemplu pentru a ilustra modul în care cercetarea realizată în cadrul programului Orizont 2020 se transpune și se aplică pe teren. PEI-AGRI combină mijloa</w:t>
      </w:r>
      <w:r>
        <w:rPr>
          <w:noProof/>
        </w:rPr>
        <w:t>ce de finanțare în vederea stimulării inovării interactive pentru a contribui la strategia UE pentru o creștere inteligentă, durabilă și favorabilă incluziunii.</w:t>
      </w:r>
    </w:p>
    <w:p w:rsidR="009A3F82" w:rsidRDefault="003D4079">
      <w:pPr>
        <w:pStyle w:val="Heading2"/>
        <w:rPr>
          <w:noProof/>
        </w:rPr>
      </w:pPr>
      <w:bookmarkStart w:id="24" w:name="_Toc28961627"/>
      <w:r>
        <w:rPr>
          <w:noProof/>
        </w:rPr>
        <w:t>4.6. Sinteza evaluării fondurilor ESI</w:t>
      </w:r>
      <w:bookmarkEnd w:id="24"/>
    </w:p>
    <w:p w:rsidR="009A3F82" w:rsidRDefault="003D4079">
      <w:pPr>
        <w:rPr>
          <w:noProof/>
        </w:rPr>
      </w:pPr>
      <w:r>
        <w:rPr>
          <w:noProof/>
        </w:rPr>
        <w:t>Pentru perioada 2014-2020, un număr tot mai mare de evalu</w:t>
      </w:r>
      <w:r>
        <w:rPr>
          <w:noProof/>
        </w:rPr>
        <w:t>ări au vizat în principal procesul de implementare și progresele înregistrate în direcția îndeplinirii obiectivelor stabilite. În pofida volumului tot mai mare de proiecte finalizate, este încă prea devreme pentru a evalua rezultatele și impactul programel</w:t>
      </w:r>
      <w:r>
        <w:rPr>
          <w:noProof/>
        </w:rPr>
        <w:t>or. Demararea evaluărilor impactului, care se desfășoară, prin natura lor, mai târziu în cadrul ciclului programului, a fost întârziată din cauza debutul tardiv al programelor și a întârzierii finalizării multor intervenții. Rezultatele evaluărilor naționa</w:t>
      </w:r>
      <w:r>
        <w:rPr>
          <w:noProof/>
        </w:rPr>
        <w:t xml:space="preserve">le de impact finalizate până în prezent evidențiază faptul că este necesară îmbunătățirea calității evaluărilor realizate. </w:t>
      </w:r>
    </w:p>
    <w:p w:rsidR="009A3F82" w:rsidRDefault="003D4079">
      <w:pPr>
        <w:rPr>
          <w:noProof/>
        </w:rPr>
      </w:pPr>
      <w:r>
        <w:rPr>
          <w:noProof/>
        </w:rPr>
        <w:t>Se preconizează o accelerare semnificativă în vederea finalizării evaluărilor pe măsură ce ne îndreptăm spre sfârșitul perioadei cur</w:t>
      </w:r>
      <w:r>
        <w:rPr>
          <w:noProof/>
        </w:rPr>
        <w:t>ente. Totuși, aproape jumătate dintre evaluările impactului sunt planificate abia pentru perioada de după 2020, când se preconizează furnizarea rezultatelor programelor</w:t>
      </w:r>
      <w:r>
        <w:rPr>
          <w:rStyle w:val="FootnoteReference"/>
          <w:noProof/>
        </w:rPr>
        <w:footnoteReference w:id="29"/>
      </w:r>
      <w:r>
        <w:rPr>
          <w:noProof/>
        </w:rPr>
        <w:t>.</w:t>
      </w:r>
    </w:p>
    <w:p w:rsidR="009A3F82" w:rsidRDefault="003D4079">
      <w:pPr>
        <w:pStyle w:val="Heading2"/>
        <w:rPr>
          <w:noProof/>
        </w:rPr>
      </w:pPr>
      <w:bookmarkStart w:id="25" w:name="_Toc28961628"/>
      <w:r>
        <w:rPr>
          <w:noProof/>
        </w:rPr>
        <w:t>4.7. Comunicarea privind fondurile ESI</w:t>
      </w:r>
      <w:bookmarkEnd w:id="25"/>
    </w:p>
    <w:p w:rsidR="009A3F82" w:rsidRDefault="003D4079">
      <w:pPr>
        <w:rPr>
          <w:noProof/>
        </w:rPr>
      </w:pPr>
      <w:r>
        <w:rPr>
          <w:noProof/>
        </w:rPr>
        <w:t>Statele membre și-au intensificat eforturile d</w:t>
      </w:r>
      <w:r>
        <w:rPr>
          <w:noProof/>
        </w:rPr>
        <w:t>e comunicare cu privire la realizările fondurilor ESI. Acest lucru a fost esențial pentru atingerea unui nivel mai ridicat de sensibilizare a publicului cu privire la beneficiile sprijinului UE, astfel cum s-a demonstrat, de exemplu, în rezultatele ultimul</w:t>
      </w:r>
      <w:r>
        <w:rPr>
          <w:noProof/>
        </w:rPr>
        <w:t>ui sondaj Eurobarometru privind politica regională. Gradul de sensibilizare a crescut, la nivel european, cu cinci puncte procentuale, până la 40 % de la ultimul sondaj din 2017</w:t>
      </w:r>
      <w:r>
        <w:rPr>
          <w:rStyle w:val="FootnoteReference"/>
          <w:noProof/>
        </w:rPr>
        <w:footnoteReference w:id="30"/>
      </w:r>
      <w:r>
        <w:rPr>
          <w:noProof/>
        </w:rPr>
        <w:t xml:space="preserve">. </w:t>
      </w:r>
    </w:p>
    <w:p w:rsidR="009A3F82" w:rsidRDefault="003D4079">
      <w:pPr>
        <w:rPr>
          <w:noProof/>
        </w:rPr>
      </w:pPr>
      <w:r>
        <w:rPr>
          <w:noProof/>
        </w:rPr>
        <w:t>În 2018, campania emblematică populară a Comisiei #EuinmyRegion a avut ca r</w:t>
      </w:r>
      <w:r>
        <w:rPr>
          <w:noProof/>
        </w:rPr>
        <w:t>ezultat organizarea a peste 1 700 de evenimente de tip „ziua porților deschise”, la care au participat aproximativ 450 000 de persoane. Activitatea comună desfășurată la toate nivelurile instituționale a avut, de asemenea, un rol decisiv în derularea a dou</w:t>
      </w:r>
      <w:r>
        <w:rPr>
          <w:noProof/>
        </w:rPr>
        <w:t>ă campanii inovatoare: (i) Proiectul „Road Trip Project”, care vizează tinerii cu vârste cuprinse între 18 și 24 de ani; și (ii) o serie de 40 de campanii regionale, care au fost concepute în comun cu regiunile și care prezintă proiecte locale emblematice.</w:t>
      </w:r>
    </w:p>
    <w:p w:rsidR="009A3F82" w:rsidRDefault="003D4079">
      <w:pPr>
        <w:rPr>
          <w:noProof/>
        </w:rPr>
      </w:pPr>
      <w:r>
        <w:rPr>
          <w:noProof/>
        </w:rPr>
        <w:t xml:space="preserve">În ceea ce privește FEADR, în mod regulat se organizează diverse activități de comunicare, cum ar fi târgurile agricole, zilele porților deschise, conferințele sau campaniile pe platformele de comunicare socială, pentru a face cunoscute oportunitățile de </w:t>
      </w:r>
      <w:r>
        <w:rPr>
          <w:noProof/>
        </w:rPr>
        <w:t>finanțare. De asemenea, Rețeaua Europeană de Dezvoltare Rurală face posibil schimbul de informații și de bune practici privind dezvoltarea rurală.</w:t>
      </w:r>
    </w:p>
    <w:p w:rsidR="009A3F82" w:rsidRDefault="003D4079">
      <w:pPr>
        <w:rPr>
          <w:noProof/>
        </w:rPr>
      </w:pPr>
      <w:r>
        <w:rPr>
          <w:noProof/>
        </w:rPr>
        <w:t>Statele membre și regiunile au înregistrat progrese semnificative și în ceea ce privește consolidarea transpa</w:t>
      </w:r>
      <w:r>
        <w:rPr>
          <w:noProof/>
        </w:rPr>
        <w:t xml:space="preserve">renței. În prezent, aproape toate programele respectă pe deplin cerințele de informare și de comunicare, precum publicarea listelor de proiecte, desemnarea responsabililor de comunicare sau prezentarea proiectelor de succes pe site-urile lor web. În plus, </w:t>
      </w:r>
      <w:r>
        <w:rPr>
          <w:noProof/>
        </w:rPr>
        <w:t>cetățenii au avut oportunitatea de a-și exprima opiniile cu privire la chestiunile europene, în special cu privire la prioritățile de finanțare ale UE, cu ocazia celor peste 400 de dialoguri organizate cu sprijinul fondurilor ESI.</w:t>
      </w:r>
    </w:p>
    <w:p w:rsidR="009A3F82" w:rsidRDefault="003D4079">
      <w:pPr>
        <w:pStyle w:val="Heading1"/>
        <w:rPr>
          <w:noProof/>
        </w:rPr>
      </w:pPr>
      <w:r>
        <w:rPr>
          <w:noProof/>
        </w:rPr>
        <w:br w:type="page"/>
      </w:r>
      <w:bookmarkStart w:id="26" w:name="_Toc28961629"/>
      <w:r>
        <w:rPr>
          <w:noProof/>
        </w:rPr>
        <w:t>CONCLUZIE</w:t>
      </w:r>
      <w:bookmarkEnd w:id="26"/>
    </w:p>
    <w:p w:rsidR="009A3F82" w:rsidRDefault="003D4079">
      <w:pPr>
        <w:spacing w:before="120"/>
        <w:rPr>
          <w:rFonts w:cs="Times New Roman"/>
          <w:noProof/>
          <w:szCs w:val="24"/>
        </w:rPr>
      </w:pPr>
      <w:r>
        <w:rPr>
          <w:noProof/>
        </w:rPr>
        <w:t xml:space="preserve">Fondurile ESI </w:t>
      </w:r>
      <w:r>
        <w:rPr>
          <w:noProof/>
        </w:rPr>
        <w:t>îmbunătățesc viața a milioane de europeni. Fondurile ESI, fie că sunt investite în oameni și competențe, în întreprinderi, în școli, în universități, în domeniul mediului, al climei și al infrastructurii, joacă un rol crucial în sprijinirea regiunilor, a o</w:t>
      </w:r>
      <w:r>
        <w:rPr>
          <w:noProof/>
        </w:rPr>
        <w:t>rașelor, a zonelor rurale și a comunităților de coastă pentru a ține pasul și pentru a anticipa schimbările care se petrec în jurul nostru.</w:t>
      </w:r>
    </w:p>
    <w:p w:rsidR="009A3F82" w:rsidRDefault="003D4079">
      <w:pPr>
        <w:spacing w:before="120"/>
        <w:rPr>
          <w:rFonts w:cs="Times New Roman"/>
          <w:noProof/>
          <w:szCs w:val="24"/>
        </w:rPr>
      </w:pPr>
      <w:r>
        <w:rPr>
          <w:noProof/>
        </w:rPr>
        <w:t>În primii cinci ani de implementare a programelor, s-au înregistrat progrese semnificative în direcția creșterii int</w:t>
      </w:r>
      <w:r>
        <w:rPr>
          <w:noProof/>
        </w:rPr>
        <w:t>eligente, durabile și favorabile incluziunii. Până la sfârșitul lunii septembrie 2019, statele membre au raportat că au fost selectate proiecte al căror cost total se ridică la 500 de miliarde EUR – aproximativ 77 % din totalul planificat – din care au fos</w:t>
      </w:r>
      <w:r>
        <w:rPr>
          <w:noProof/>
        </w:rPr>
        <w:t>t raportate cheltuieli de peste 210 miliarde EUR. Aceste proiecte au un impact tangibil asupra a milioane de europeni, dar mai sunt încă multe de făcut. Comisia își va continua activitatea pentru a obține rezultate într-un mod mai eficient și mai axat pe o</w:t>
      </w:r>
      <w:r>
        <w:rPr>
          <w:noProof/>
        </w:rPr>
        <w:t xml:space="preserve">biective specifice. De asemenea, va continua să învețe lecțiile necesare pentru a simplifica în continuare procesele și pentru a asigura faptul că se va pune un accent mai mare pe realizările fondurilor ESI. </w:t>
      </w:r>
    </w:p>
    <w:p w:rsidR="009A3F82" w:rsidRDefault="003D4079">
      <w:pPr>
        <w:spacing w:before="120"/>
        <w:rPr>
          <w:rFonts w:cs="Times New Roman"/>
          <w:noProof/>
          <w:szCs w:val="24"/>
        </w:rPr>
      </w:pPr>
      <w:r>
        <w:rPr>
          <w:noProof/>
        </w:rPr>
        <w:t>Prin propunerile sale privind RDC și PAC pentru</w:t>
      </w:r>
      <w:r>
        <w:rPr>
          <w:noProof/>
        </w:rPr>
        <w:t xml:space="preserve"> 2021-2027, Comisia urmărește să consolideze contribuția fondurilor la realizarea obiectivelor Acordului de la Paris privind schimbările climatice, să investească în oameni, să inoveze și să ofere regiunilor, orașelor, zonelor rurale și de coastă mijloacel</w:t>
      </w:r>
      <w:r>
        <w:rPr>
          <w:noProof/>
        </w:rPr>
        <w:t>e necesare pentru punerea în aplicare a obiectivelor de dezvoltare durabilă. Deși nu este inclus în propunerea Comisiei privind RDC pentru 2021-2027, FEADR va rămâne strâns legat de FEDR, de FSE+, de Fondul de coeziune și de FEPAM, de exemplu atunci când s</w:t>
      </w:r>
      <w:r>
        <w:rPr>
          <w:noProof/>
        </w:rPr>
        <w:t>prijină inițiativele locale prin DLRC sau prin instrumente financiare.</w:t>
      </w:r>
    </w:p>
    <w:p w:rsidR="009A3F82" w:rsidRDefault="003D4079">
      <w:pPr>
        <w:spacing w:before="120"/>
        <w:rPr>
          <w:rFonts w:cs="Times New Roman"/>
          <w:noProof/>
          <w:szCs w:val="24"/>
        </w:rPr>
      </w:pPr>
      <w:r>
        <w:rPr>
          <w:noProof/>
        </w:rPr>
        <w:t xml:space="preserve">Următoarea generație de programe, aflată în prezent în pregătire, reprezintă o oportunitate unică de a pune bazele viitorului durabil al UE. Aceste programe vor contribui la asigurarea </w:t>
      </w:r>
      <w:r>
        <w:rPr>
          <w:noProof/>
        </w:rPr>
        <w:t>unei tranziții corecte pentru toți, alături de Fondul pentru o tranziție echitabilă, creând oportunități noi și diferite în toată Europa și nelăsând pe nimeni în urmă.</w:t>
      </w:r>
    </w:p>
    <w:sectPr w:rsidR="009A3F8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82" w:rsidRDefault="003D4079">
      <w:pPr>
        <w:spacing w:after="0"/>
      </w:pPr>
      <w:r>
        <w:separator/>
      </w:r>
    </w:p>
  </w:endnote>
  <w:endnote w:type="continuationSeparator" w:id="0">
    <w:p w:rsidR="009A3F82" w:rsidRDefault="003D4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3D4079">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92663"/>
      <w:docPartObj>
        <w:docPartGallery w:val="Page Numbers (Bottom of Page)"/>
        <w:docPartUnique/>
      </w:docPartObj>
    </w:sdtPr>
    <w:sdtEndPr>
      <w:rPr>
        <w:noProof/>
      </w:rPr>
    </w:sdtEndPr>
    <w:sdtContent>
      <w:p w:rsidR="009A3F82" w:rsidRDefault="003D4079">
        <w:pPr>
          <w:pStyle w:val="Footer"/>
          <w:jc w:val="center"/>
        </w:pPr>
        <w:r>
          <w:fldChar w:fldCharType="begin"/>
        </w:r>
        <w:r>
          <w:instrText xml:space="preserve"> PAGE   \* MERGEFORMAT </w:instrText>
        </w:r>
        <w:r>
          <w:fldChar w:fldCharType="separate"/>
        </w:r>
        <w:r>
          <w:rPr>
            <w:noProof/>
          </w:rPr>
          <w:t>1</w:t>
        </w:r>
        <w:r>
          <w:fldChar w:fldCharType="end"/>
        </w:r>
      </w:p>
    </w:sdtContent>
  </w:sdt>
  <w:p w:rsidR="009A3F82" w:rsidRDefault="009A3F82">
    <w:pPr>
      <w:pStyle w:val="Footer"/>
      <w:tabs>
        <w:tab w:val="clear" w:pos="4535"/>
        <w:tab w:val="clear" w:pos="9071"/>
        <w:tab w:val="clear" w:pos="9921"/>
        <w:tab w:val="left" w:pos="400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353642"/>
      <w:docPartObj>
        <w:docPartGallery w:val="Page Numbers (Bottom of Page)"/>
        <w:docPartUnique/>
      </w:docPartObj>
    </w:sdtPr>
    <w:sdtEndPr>
      <w:rPr>
        <w:noProof/>
      </w:rPr>
    </w:sdtEndPr>
    <w:sdtContent>
      <w:p w:rsidR="009A3F82" w:rsidRDefault="003D4079">
        <w:pPr>
          <w:pStyle w:val="Footer"/>
          <w:jc w:val="center"/>
        </w:pPr>
        <w:r>
          <w:fldChar w:fldCharType="begin"/>
        </w:r>
        <w:r>
          <w:instrText xml:space="preserve"> PAGE   \* MERGEFORMAT </w:instrText>
        </w:r>
        <w:r>
          <w:fldChar w:fldCharType="separate"/>
        </w:r>
        <w:r>
          <w:rPr>
            <w:noProof/>
          </w:rPr>
          <w:t>2</w:t>
        </w:r>
        <w:r>
          <w:fldChar w:fldCharType="end"/>
        </w:r>
      </w:p>
    </w:sdtContent>
  </w:sdt>
  <w:p w:rsidR="009A3F82" w:rsidRDefault="009A3F82">
    <w:pPr>
      <w:pStyle w:val="Footer"/>
      <w:tabs>
        <w:tab w:val="clear" w:pos="4535"/>
        <w:tab w:val="clear" w:pos="9071"/>
        <w:tab w:val="clear" w:pos="9921"/>
        <w:tab w:val="left" w:pos="4005"/>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82" w:rsidRDefault="003D4079">
      <w:pPr>
        <w:spacing w:after="0"/>
      </w:pPr>
      <w:r>
        <w:separator/>
      </w:r>
    </w:p>
  </w:footnote>
  <w:footnote w:type="continuationSeparator" w:id="0">
    <w:p w:rsidR="009A3F82" w:rsidRDefault="003D4079">
      <w:pPr>
        <w:spacing w:after="0"/>
      </w:pPr>
      <w:r>
        <w:continuationSeparator/>
      </w:r>
    </w:p>
  </w:footnote>
  <w:footnote w:id="1">
    <w:p w:rsidR="009A3F82" w:rsidRDefault="003D4079">
      <w:pPr>
        <w:pStyle w:val="FootnoteText"/>
      </w:pPr>
      <w:r>
        <w:rPr>
          <w:rStyle w:val="FootnoteReference"/>
        </w:rPr>
        <w:footnoteRef/>
      </w:r>
      <w:r>
        <w:tab/>
        <w:t>Fondurile structurale și de investiții europ</w:t>
      </w:r>
      <w:r>
        <w:t>ene sunt Fondul de coeziune, Fondul european de dezvoltare regională (FEDR), Fondul social european (FSE), Fondul european agricol pentru dezvoltare rurală (FEADR) și Fondul european pentru pescuit și afaceri maritime(FEPAM).</w:t>
      </w:r>
    </w:p>
  </w:footnote>
  <w:footnote w:id="2">
    <w:p w:rsidR="009A3F82" w:rsidRDefault="003D4079">
      <w:pPr>
        <w:pStyle w:val="FootnoteText"/>
      </w:pPr>
      <w:r>
        <w:rPr>
          <w:rStyle w:val="FootnoteReference"/>
        </w:rPr>
        <w:footnoteRef/>
      </w:r>
      <w:r>
        <w:tab/>
        <w:t>În 2018, bugetul pentru fond</w:t>
      </w:r>
      <w:r>
        <w:t>urile ESI s-a ridicat la aproximativ 460 de miliarde EUR și la peste 643 de miliarde EUR cu cofinanțare națională.</w:t>
      </w:r>
    </w:p>
  </w:footnote>
  <w:footnote w:id="3">
    <w:p w:rsidR="009A3F82" w:rsidRDefault="003D4079">
      <w:pPr>
        <w:pStyle w:val="FootnoteText"/>
      </w:pPr>
      <w:r>
        <w:rPr>
          <w:rStyle w:val="FootnoteReference"/>
        </w:rPr>
        <w:footnoteRef/>
      </w:r>
      <w:r>
        <w:tab/>
        <w:t>Solicitate prin articolul 53 din Regulamentul privind dispozițiile comune [Regulamentul (UE) nr. 1303/2013].</w:t>
      </w:r>
    </w:p>
  </w:footnote>
  <w:footnote w:id="4">
    <w:p w:rsidR="009A3F82" w:rsidRDefault="003D4079">
      <w:pPr>
        <w:pStyle w:val="FootnoteText"/>
      </w:pPr>
      <w:r>
        <w:rPr>
          <w:rStyle w:val="FootnoteReference"/>
        </w:rPr>
        <w:footnoteRef/>
      </w:r>
      <w:r>
        <w:tab/>
        <w:t xml:space="preserve">Toate valorile se referă la </w:t>
      </w:r>
      <w:r>
        <w:t>sfârșitul anului 2018, astfel cum au fost puse la dispoziție la 5 noiembrie 2019, în cazul în care nu se specifică altfel.</w:t>
      </w:r>
    </w:p>
  </w:footnote>
  <w:footnote w:id="5">
    <w:p w:rsidR="009A3F82" w:rsidRDefault="003D4079">
      <w:pPr>
        <w:pStyle w:val="FootnoteText"/>
      </w:pPr>
      <w:r>
        <w:rPr>
          <w:rStyle w:val="FootnoteReference"/>
        </w:rPr>
        <w:footnoteRef/>
      </w:r>
      <w:r>
        <w:tab/>
        <w:t>Proiectele menționate aici sunt proiecte care au fost selectate și care sunt implementate în această perioadă de programare.</w:t>
      </w:r>
    </w:p>
  </w:footnote>
  <w:footnote w:id="6">
    <w:p w:rsidR="009A3F82" w:rsidRDefault="003D4079">
      <w:pPr>
        <w:pStyle w:val="FootnoteText"/>
      </w:pPr>
      <w:r>
        <w:rPr>
          <w:rStyle w:val="FootnoteReference"/>
        </w:rPr>
        <w:footnoteRef/>
      </w:r>
      <w:r>
        <w:tab/>
        <w:t>Plat</w:t>
      </w:r>
      <w:r>
        <w:t>forma de date deschise prezintă cele mai recente cifre disponibile la momentul finalizării programelor finanțate din fondurile ESI (</w:t>
      </w:r>
      <w:hyperlink r:id="rId1" w:history="1">
        <w:r>
          <w:rPr>
            <w:rStyle w:val="Hyperlink"/>
          </w:rPr>
          <w:t>https://cohesiondata.ec.europa.eu</w:t>
        </w:r>
      </w:hyperlink>
      <w:r>
        <w:t xml:space="preserve">). </w:t>
      </w:r>
    </w:p>
  </w:footnote>
  <w:footnote w:id="7">
    <w:p w:rsidR="009A3F82" w:rsidRDefault="003D4079">
      <w:pPr>
        <w:pStyle w:val="FootnoteText"/>
      </w:pPr>
      <w:r>
        <w:rPr>
          <w:rStyle w:val="FootnoteReference"/>
        </w:rPr>
        <w:footnoteRef/>
      </w:r>
      <w:r>
        <w:tab/>
        <w:t>Cel de al 7-lea raport privind coez</w:t>
      </w:r>
      <w:r>
        <w:t>iunea economică, socială și teritorială, septembrie 2017.</w:t>
      </w:r>
      <w:r>
        <w:tab/>
        <w:t xml:space="preserve"> </w:t>
      </w:r>
      <w:hyperlink r:id="rId2" w:history="1">
        <w:r>
          <w:rPr>
            <w:rStyle w:val="Hyperlink"/>
          </w:rPr>
          <w:t>https://ec.europa.eu/regional_policy/en/informat</w:t>
        </w:r>
        <w:r>
          <w:rPr>
            <w:rStyle w:val="Hyperlink"/>
          </w:rPr>
          <w:t>ion/publications/reports/2017/7th-report-on-economic-social-and-territorial-cohesion</w:t>
        </w:r>
      </w:hyperlink>
    </w:p>
  </w:footnote>
  <w:footnote w:id="8">
    <w:p w:rsidR="009A3F82" w:rsidRDefault="003D4079">
      <w:pPr>
        <w:pStyle w:val="FootnoteText"/>
      </w:pPr>
      <w:r>
        <w:rPr>
          <w:rStyle w:val="FootnoteReference"/>
        </w:rPr>
        <w:footnoteRef/>
      </w:r>
      <w:r>
        <w:rPr>
          <w:i/>
        </w:rPr>
        <w:tab/>
      </w:r>
      <w:r>
        <w:t>În Cel de al șaptelea raport privind coeziunea economică, socială și teritorială (2017), Comisia Europeană a identificat provocarea specifică cu care se confruntă o seri</w:t>
      </w:r>
      <w:r>
        <w:t>e de regiuni al căror PIB pe cap de locuitor se apropie de media UE. Costurile ridicate, alături de industria prelucrătoare aflată în contracție și de slaba capacitate de inovare și export, au făcut ca aceste regiuni să fie mai puțin competitive și rezilie</w:t>
      </w:r>
      <w:r>
        <w:t>nte în fața globalizării decât regiunile al căror PIB pe cap de locuitor este mai scăzut sau mai ridicat.</w:t>
      </w:r>
    </w:p>
  </w:footnote>
  <w:footnote w:id="9">
    <w:p w:rsidR="009A3F82" w:rsidRDefault="003D4079">
      <w:pPr>
        <w:pStyle w:val="FootnoteText"/>
      </w:pPr>
      <w:r>
        <w:rPr>
          <w:rStyle w:val="FootnoteReference"/>
        </w:rPr>
        <w:footnoteRef/>
      </w:r>
      <w:r>
        <w:tab/>
        <w:t>„The geography of EU discontent” (Geografia nemulțumirii față de UE) de Lewis Dijkstra, Hugo Poelman și Andrés Rodríguez-Pose - Document de lucru 12</w:t>
      </w:r>
      <w:r>
        <w:t>/2018 al Direcției Generale Politică Regională și Urbană.</w:t>
      </w:r>
    </w:p>
  </w:footnote>
  <w:footnote w:id="10">
    <w:p w:rsidR="009A3F82" w:rsidRDefault="003D4079">
      <w:pPr>
        <w:pStyle w:val="FootnoteText"/>
      </w:pPr>
      <w:r>
        <w:rPr>
          <w:rStyle w:val="FootnoteReference"/>
        </w:rPr>
        <w:footnoteRef/>
      </w:r>
      <w:r>
        <w:tab/>
        <w:t>În special, acțiuni privind regiunile rămase în urmă, regiunile în tranziție industrială, regiunile carbonifere, investițiile în inovare la nivel interregional și inițiativa „Sate inteligente”.</w:t>
      </w:r>
    </w:p>
  </w:footnote>
  <w:footnote w:id="11">
    <w:p w:rsidR="009A3F82" w:rsidRDefault="003D4079">
      <w:pPr>
        <w:pStyle w:val="FootnoteText"/>
      </w:pPr>
      <w:r>
        <w:rPr>
          <w:rStyle w:val="FootnoteReference"/>
        </w:rPr>
        <w:footnoteRef/>
      </w:r>
      <w:r>
        <w:tab/>
      </w:r>
      <w:r>
        <w:t>Pentru detalii, a se vedea anexele 1.1 și 1.2. Cifrele din graficul de mai sus nu includ cota alocată temelor din cadrul obiectivelor tematice multiple, însă cifrele din anexe o includ.</w:t>
      </w:r>
    </w:p>
  </w:footnote>
  <w:footnote w:id="12">
    <w:p w:rsidR="009A3F82" w:rsidRDefault="003D4079">
      <w:pPr>
        <w:pStyle w:val="FootnoteText"/>
      </w:pPr>
      <w:r>
        <w:rPr>
          <w:rStyle w:val="FootnoteReference"/>
        </w:rPr>
        <w:footnoteRef/>
      </w:r>
      <w:r>
        <w:tab/>
        <w:t>Cereri de plată primite de la statele membre.</w:t>
      </w:r>
    </w:p>
  </w:footnote>
  <w:footnote w:id="13">
    <w:p w:rsidR="009A3F82" w:rsidRDefault="003D4079">
      <w:pPr>
        <w:pStyle w:val="FootnoteText"/>
      </w:pPr>
      <w:r>
        <w:rPr>
          <w:rStyle w:val="FootnoteReference"/>
        </w:rPr>
        <w:footnoteRef/>
      </w:r>
      <w:r>
        <w:tab/>
        <w:t>Defalcarea selecției</w:t>
      </w:r>
      <w:r>
        <w:t xml:space="preserve"> de proiecte și a cheltuielilor corespunzătoare acestora, în funcție de obiectivele tematice și de statele membre, este prezentată în tabelele din anexele 1 și 2.</w:t>
      </w:r>
    </w:p>
  </w:footnote>
  <w:footnote w:id="14">
    <w:p w:rsidR="009A3F82" w:rsidRDefault="003D4079">
      <w:pPr>
        <w:pStyle w:val="FootnoteText"/>
      </w:pPr>
      <w:r>
        <w:rPr>
          <w:rStyle w:val="FootnoteReference"/>
        </w:rPr>
        <w:footnoteRef/>
      </w:r>
      <w:r>
        <w:tab/>
        <w:t xml:space="preserve">Propunere de regulament al Consiliului de stabilire a cadrului financiar multianual pentru </w:t>
      </w:r>
      <w:r>
        <w:t>perioada 2021-2027 [COM(2018) 322 final].</w:t>
      </w:r>
    </w:p>
  </w:footnote>
  <w:footnote w:id="15">
    <w:p w:rsidR="009A3F82" w:rsidRDefault="003D4079">
      <w:pPr>
        <w:pStyle w:val="FootnoteText"/>
      </w:pPr>
      <w:r>
        <w:rPr>
          <w:rStyle w:val="FootnoteReference"/>
        </w:rPr>
        <w:footnoteRef/>
      </w:r>
      <w:r>
        <w:tab/>
        <w:t xml:space="preserve">A se vedea, de exemplu: Viță, V., 2018, Cercetare pentru Comisia REGI – </w:t>
      </w:r>
      <w:r>
        <w:rPr>
          <w:i/>
          <w:iCs/>
        </w:rPr>
        <w:t>Conditionalities in Cohesion Policy</w:t>
      </w:r>
      <w:r>
        <w:t xml:space="preserve"> (Conditionalități în politica de coeziune), Parlamentul European, Departamentul tematic pentru politici structurale și de coeziune, Bruxelles.</w:t>
      </w:r>
    </w:p>
  </w:footnote>
  <w:footnote w:id="16">
    <w:p w:rsidR="009A3F82" w:rsidRDefault="003D4079">
      <w:pPr>
        <w:pStyle w:val="FootnoteText"/>
      </w:pPr>
      <w:r>
        <w:rPr>
          <w:rStyle w:val="FootnoteReference"/>
        </w:rPr>
        <w:footnoteRef/>
      </w:r>
      <w:r>
        <w:tab/>
        <w:t>Propunere de Regulament al Parlamentului European și al Consiliului de stabilire a unor dispoziții comune priv</w:t>
      </w:r>
      <w:r>
        <w:t>ind Fondul european de dezvoltare regională, Fondul social european plus, Fondul de coeziune și Fondul european pentru pescuit și afaceri maritime, și de instituire a unor norme financiare aplicabile acestor fonduri, precum și Fondului pentru azil și migra</w:t>
      </w:r>
      <w:r>
        <w:t>ț</w:t>
      </w:r>
      <w:r>
        <w:t xml:space="preserve">ie, Fondului pentru securitate internă și Instrumentului pentru managementul frontierelor și vize – COM(2018) 375 final. </w:t>
      </w:r>
    </w:p>
  </w:footnote>
  <w:footnote w:id="17">
    <w:p w:rsidR="009A3F82" w:rsidRDefault="003D4079">
      <w:pPr>
        <w:pStyle w:val="FootnoteText"/>
      </w:pPr>
      <w:r>
        <w:rPr>
          <w:rStyle w:val="FootnoteReference"/>
        </w:rPr>
        <w:footnoteRef/>
      </w:r>
      <w:r>
        <w:tab/>
        <w:t>Propunere de regulament al Parlamentului European și al Consiliului de stabilire a normelor privind sprijinul pentru planurile stra</w:t>
      </w:r>
      <w:r>
        <w:t>tegice care urmează a fi elaborate de statele membre în cadrul politicii agricole comune (planurile strategice PAC) și finanțate de Fondul european de garantare agricolă (FEGA) și de Fondul european agricol pentru dezvoltare rurală (FEADR) și de abrogare a</w:t>
      </w:r>
      <w:r>
        <w:t xml:space="preserve"> Regulamentelor (UE) nr. 1305/2013 și (UE) nr. 1307/2013 ale Parlamentului European și ale Consiliului – COM(2018)392 final.</w:t>
      </w:r>
    </w:p>
  </w:footnote>
  <w:footnote w:id="18">
    <w:p w:rsidR="009A3F82" w:rsidRDefault="003D4079">
      <w:pPr>
        <w:pStyle w:val="FootnoteText"/>
      </w:pPr>
      <w:r>
        <w:rPr>
          <w:rStyle w:val="FootnoteReference"/>
        </w:rPr>
        <w:footnoteRef/>
      </w:r>
      <w:r>
        <w:tab/>
      </w:r>
      <w:hyperlink r:id="rId3" w:history="1">
        <w:r>
          <w:rPr>
            <w:rStyle w:val="Hyperlink"/>
          </w:rPr>
          <w:t>https://ec.europa.eu/futurium/en/urban-agenda</w:t>
        </w:r>
      </w:hyperlink>
      <w:r>
        <w:t xml:space="preserve"> </w:t>
      </w:r>
    </w:p>
  </w:footnote>
  <w:footnote w:id="19">
    <w:p w:rsidR="009A3F82" w:rsidRDefault="003D4079">
      <w:pPr>
        <w:pStyle w:val="FootnoteText"/>
      </w:pPr>
      <w:r>
        <w:rPr>
          <w:rStyle w:val="FootnoteReference"/>
        </w:rPr>
        <w:footnoteRef/>
      </w:r>
      <w:r>
        <w:tab/>
      </w:r>
      <w:hyperlink r:id="rId4" w:history="1">
        <w:r>
          <w:rPr>
            <w:rStyle w:val="Hyperlink"/>
          </w:rPr>
          <w:t>https://www.uia-initiative.eu/en</w:t>
        </w:r>
      </w:hyperlink>
      <w:r>
        <w:t xml:space="preserve"> </w:t>
      </w:r>
    </w:p>
  </w:footnote>
  <w:footnote w:id="20">
    <w:p w:rsidR="009A3F82" w:rsidRDefault="003D4079">
      <w:pPr>
        <w:pStyle w:val="FootnoteText"/>
      </w:pPr>
      <w:r>
        <w:rPr>
          <w:rStyle w:val="FootnoteReference"/>
        </w:rPr>
        <w:footnoteRef/>
      </w:r>
      <w:r>
        <w:tab/>
        <w:t>LEADER este o metodă de dezvoltare locală ascendentă cofinanțată de FEADR, care a fost introdusă în 1991 pentru a implica actorii locali în dezvoltarea zonelor rurale. În 2007, LEADER s-a e</w:t>
      </w:r>
      <w:r>
        <w:t>xtins la FEPAM, iar în 2014 la FEDR și la FSE sub forma CLLD.</w:t>
      </w:r>
    </w:p>
  </w:footnote>
  <w:footnote w:id="21">
    <w:p w:rsidR="009A3F82" w:rsidRDefault="003D4079">
      <w:pPr>
        <w:pStyle w:val="FootnoteText"/>
      </w:pPr>
      <w:r>
        <w:rPr>
          <w:rStyle w:val="FootnoteReference"/>
        </w:rPr>
        <w:footnoteRef/>
      </w:r>
      <w:r>
        <w:tab/>
        <w:t>„Stimularea creșterii economice și a coeziunii în regiunile frontaliere ale UE” - COM(2017) 534 final.</w:t>
      </w:r>
    </w:p>
  </w:footnote>
  <w:footnote w:id="22">
    <w:p w:rsidR="009A3F82" w:rsidRDefault="003D4079">
      <w:pPr>
        <w:pStyle w:val="FootnoteText"/>
      </w:pPr>
      <w:r>
        <w:rPr>
          <w:rStyle w:val="FootnoteReference"/>
        </w:rPr>
        <w:footnoteRef/>
      </w:r>
      <w:r>
        <w:tab/>
        <w:t>COM(2019) 21 final.</w:t>
      </w:r>
    </w:p>
  </w:footnote>
  <w:footnote w:id="23">
    <w:p w:rsidR="009A3F82" w:rsidRDefault="003D4079">
      <w:pPr>
        <w:pStyle w:val="FootnoteText"/>
      </w:pPr>
      <w:r>
        <w:rPr>
          <w:rStyle w:val="FootnoteReference"/>
        </w:rPr>
        <w:footnoteRef/>
      </w:r>
      <w:r>
        <w:tab/>
      </w:r>
      <w:hyperlink r:id="rId5" w:history="1">
        <w:r>
          <w:rPr>
            <w:rStyle w:val="Hyperlink"/>
          </w:rPr>
          <w:t>https://ec.europa.eu/regional_policy/ro/policy/how/improving-investment/</w:t>
        </w:r>
      </w:hyperlink>
      <w:r>
        <w:t xml:space="preserve"> </w:t>
      </w:r>
    </w:p>
  </w:footnote>
  <w:footnote w:id="24">
    <w:p w:rsidR="009A3F82" w:rsidRDefault="003D4079">
      <w:pPr>
        <w:pStyle w:val="FootnoteText"/>
      </w:pPr>
      <w:r>
        <w:rPr>
          <w:rStyle w:val="FootnoteReference"/>
        </w:rPr>
        <w:footnoteRef/>
      </w:r>
      <w:r>
        <w:tab/>
      </w:r>
      <w:hyperlink r:id="rId6" w:history="1">
        <w:r>
          <w:rPr>
            <w:rStyle w:val="Hyperlink"/>
          </w:rPr>
          <w:t>https://ec.europa.eu/digital-single-market/en/broadband-competence-offices</w:t>
        </w:r>
      </w:hyperlink>
      <w:r>
        <w:t xml:space="preserve"> </w:t>
      </w:r>
    </w:p>
  </w:footnote>
  <w:footnote w:id="25">
    <w:p w:rsidR="009A3F82" w:rsidRDefault="003D4079">
      <w:pPr>
        <w:pStyle w:val="FootnoteText"/>
      </w:pPr>
      <w:r>
        <w:rPr>
          <w:rStyle w:val="FootnoteReference"/>
        </w:rPr>
        <w:footnoteRef/>
      </w:r>
      <w:r>
        <w:tab/>
        <w:t>Regulamentul (UE, Euratom) 2018/1046 al Parlamentului European și al Consiliului din 18 iulie 2018 privind normele financiare aplicabile bugetului general al Uniunii, de modifica</w:t>
      </w:r>
      <w:r>
        <w:t>re a Regulamentelor (UE) nr. 1296/2013, (UE) nr. 1301/2013, (UE) nr. 1303/2013, (UE) nr. 1304/2013, (UE) nr. 1309/2013, (UE) nr. 1316/2013, (UE) nr. 223/2014, (UE) nr. 283/2014 și a Deciziei nr. 541/2014/UE și de abrogare a Regulamentului (UE, Euratom) nr.</w:t>
      </w:r>
      <w:r>
        <w:t xml:space="preserve"> 966/2012 (JO L 193, 30.7.2018, p. 1).</w:t>
      </w:r>
    </w:p>
  </w:footnote>
  <w:footnote w:id="26">
    <w:p w:rsidR="009A3F82" w:rsidRDefault="003D4079">
      <w:pPr>
        <w:pStyle w:val="FootnoteText"/>
      </w:pPr>
      <w:r>
        <w:rPr>
          <w:rStyle w:val="FootnoteReference"/>
        </w:rPr>
        <w:footnoteRef/>
      </w:r>
      <w:r>
        <w:tab/>
        <w:t>A se vedea nota de subsol 23.</w:t>
      </w:r>
    </w:p>
  </w:footnote>
  <w:footnote w:id="27">
    <w:p w:rsidR="009A3F82" w:rsidRDefault="003D4079">
      <w:pPr>
        <w:pStyle w:val="FootnoteText"/>
      </w:pPr>
      <w:r>
        <w:rPr>
          <w:rStyle w:val="FootnoteReference"/>
        </w:rPr>
        <w:footnoteRef/>
      </w:r>
      <w:r>
        <w:tab/>
        <w:t>A se vedea nota de subsol 25.</w:t>
      </w:r>
    </w:p>
  </w:footnote>
  <w:footnote w:id="28">
    <w:p w:rsidR="009A3F82" w:rsidRDefault="003D4079">
      <w:pPr>
        <w:pStyle w:val="FootnoteText"/>
      </w:pPr>
      <w:r>
        <w:rPr>
          <w:rStyle w:val="FootnoteReference"/>
        </w:rPr>
        <w:footnoteRef/>
      </w:r>
      <w:r>
        <w:tab/>
        <w:t>De exemplu, prin intermediul unor întreprinderi comune, cum ar fi ECSEL și CleanSky, care au mobilizat, în regiuni din Italia și din Spania, fonduri co</w:t>
      </w:r>
      <w:r>
        <w:t>mplementare din FEDR pentru proiectele lor din cadrul programului Orizont.</w:t>
      </w:r>
    </w:p>
  </w:footnote>
  <w:footnote w:id="29">
    <w:p w:rsidR="009A3F82" w:rsidRDefault="003D4079">
      <w:pPr>
        <w:pStyle w:val="FootnoteText"/>
      </w:pPr>
      <w:r>
        <w:rPr>
          <w:rStyle w:val="FootnoteReference"/>
        </w:rPr>
        <w:footnoteRef/>
      </w:r>
      <w:r>
        <w:tab/>
        <w:t>A se vedea documentul de lucru al serviciilor Comisiei „Sinteza concluziilor evaluării programelor finanțate din fondurile ESI”.</w:t>
      </w:r>
    </w:p>
  </w:footnote>
  <w:footnote w:id="30">
    <w:p w:rsidR="009A3F82" w:rsidRDefault="003D4079">
      <w:pPr>
        <w:pStyle w:val="FootnoteText"/>
      </w:pPr>
      <w:r>
        <w:rPr>
          <w:rStyle w:val="FootnoteReference"/>
        </w:rPr>
        <w:footnoteRef/>
      </w:r>
      <w:r>
        <w:tab/>
        <w:t xml:space="preserve">Principalele date ale sondajului Eurobarometru: </w:t>
      </w:r>
      <w:hyperlink r:id="rId7" w:history="1">
        <w:r>
          <w:rPr>
            <w:rStyle w:val="Hyperlink"/>
          </w:rPr>
          <w:t>https://cohesiondata.ec.europa.eu/stories/s/eyh3-tjuv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
    </w:pPr>
  </w:p>
  <w:p w:rsidR="009A3F82" w:rsidRDefault="009A3F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
    </w:pPr>
  </w:p>
  <w:p w:rsidR="009A3F82" w:rsidRDefault="009A3F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82" w:rsidRDefault="009A3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B42F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14B2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8A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07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7C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6C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B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688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6EA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59E"/>
    <w:multiLevelType w:val="hybridMultilevel"/>
    <w:tmpl w:val="C65EB4A4"/>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202C00"/>
    <w:multiLevelType w:val="multilevel"/>
    <w:tmpl w:val="67E89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2C32E87"/>
    <w:multiLevelType w:val="hybridMultilevel"/>
    <w:tmpl w:val="62E4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2826DF"/>
    <w:multiLevelType w:val="hybridMultilevel"/>
    <w:tmpl w:val="DBD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AB11A6"/>
    <w:multiLevelType w:val="multilevel"/>
    <w:tmpl w:val="6C487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65F2B7F"/>
    <w:multiLevelType w:val="hybridMultilevel"/>
    <w:tmpl w:val="412C9A2C"/>
    <w:lvl w:ilvl="0" w:tplc="08090001">
      <w:start w:val="1"/>
      <w:numFmt w:val="bullet"/>
      <w:lvlText w:val=""/>
      <w:lvlJc w:val="left"/>
      <w:pPr>
        <w:ind w:left="720" w:hanging="360"/>
      </w:pPr>
      <w:rPr>
        <w:rFonts w:ascii="Symbol" w:hAnsi="Symbol" w:hint="default"/>
      </w:rPr>
    </w:lvl>
    <w:lvl w:ilvl="1" w:tplc="225C991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E154D7"/>
    <w:multiLevelType w:val="hybridMultilevel"/>
    <w:tmpl w:val="E2906484"/>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9E2312"/>
    <w:multiLevelType w:val="multilevel"/>
    <w:tmpl w:val="64823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B071441"/>
    <w:multiLevelType w:val="hybridMultilevel"/>
    <w:tmpl w:val="67D0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3701AC"/>
    <w:multiLevelType w:val="hybridMultilevel"/>
    <w:tmpl w:val="B132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746B3"/>
    <w:multiLevelType w:val="multilevel"/>
    <w:tmpl w:val="0088C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8AF79C5"/>
    <w:multiLevelType w:val="hybridMultilevel"/>
    <w:tmpl w:val="9CD07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026CA8"/>
    <w:multiLevelType w:val="hybridMultilevel"/>
    <w:tmpl w:val="662AF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A995FBF"/>
    <w:multiLevelType w:val="hybridMultilevel"/>
    <w:tmpl w:val="6D20D8DE"/>
    <w:lvl w:ilvl="0" w:tplc="760ACF2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53717"/>
    <w:multiLevelType w:val="multilevel"/>
    <w:tmpl w:val="3412F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FEB78E3"/>
    <w:multiLevelType w:val="hybridMultilevel"/>
    <w:tmpl w:val="8A94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D344F"/>
    <w:multiLevelType w:val="hybridMultilevel"/>
    <w:tmpl w:val="F1A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6514C9"/>
    <w:multiLevelType w:val="multilevel"/>
    <w:tmpl w:val="2842F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7E1778F"/>
    <w:multiLevelType w:val="hybridMultilevel"/>
    <w:tmpl w:val="05667E1C"/>
    <w:lvl w:ilvl="0" w:tplc="25DE33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2E6E93"/>
    <w:multiLevelType w:val="multilevel"/>
    <w:tmpl w:val="77F8D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A97671A"/>
    <w:multiLevelType w:val="multilevel"/>
    <w:tmpl w:val="30E40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BBF3C59"/>
    <w:multiLevelType w:val="hybridMultilevel"/>
    <w:tmpl w:val="D41481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3EB14AE0"/>
    <w:multiLevelType w:val="multilevel"/>
    <w:tmpl w:val="917CE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506317E"/>
    <w:multiLevelType w:val="hybridMultilevel"/>
    <w:tmpl w:val="B6440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636475D"/>
    <w:multiLevelType w:val="hybridMultilevel"/>
    <w:tmpl w:val="F3D4B77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4D9754B7"/>
    <w:multiLevelType w:val="hybridMultilevel"/>
    <w:tmpl w:val="83AE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A37022"/>
    <w:multiLevelType w:val="hybridMultilevel"/>
    <w:tmpl w:val="414E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361FD"/>
    <w:multiLevelType w:val="hybridMultilevel"/>
    <w:tmpl w:val="08DA0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909C5"/>
    <w:multiLevelType w:val="multilevel"/>
    <w:tmpl w:val="DC148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B337E75"/>
    <w:multiLevelType w:val="multilevel"/>
    <w:tmpl w:val="5E404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234F7B"/>
    <w:multiLevelType w:val="multilevel"/>
    <w:tmpl w:val="BC408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3AC0DF9"/>
    <w:multiLevelType w:val="multilevel"/>
    <w:tmpl w:val="6CC2C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6B16778"/>
    <w:multiLevelType w:val="hybridMultilevel"/>
    <w:tmpl w:val="8CCA90B6"/>
    <w:lvl w:ilvl="0" w:tplc="25DE3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BB760F"/>
    <w:multiLevelType w:val="hybridMultilevel"/>
    <w:tmpl w:val="6F4A0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460974"/>
    <w:multiLevelType w:val="hybridMultilevel"/>
    <w:tmpl w:val="C97E8F1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5" w15:restartNumberingAfterBreak="0">
    <w:nsid w:val="752978AF"/>
    <w:multiLevelType w:val="hybridMultilevel"/>
    <w:tmpl w:val="866A1D96"/>
    <w:lvl w:ilvl="0" w:tplc="6FC2E61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643AD"/>
    <w:multiLevelType w:val="hybridMultilevel"/>
    <w:tmpl w:val="2474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D1710"/>
    <w:multiLevelType w:val="hybridMultilevel"/>
    <w:tmpl w:val="D960BBCE"/>
    <w:lvl w:ilvl="0" w:tplc="7A0E10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C09FA"/>
    <w:multiLevelType w:val="hybridMultilevel"/>
    <w:tmpl w:val="FB62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D5F49"/>
    <w:multiLevelType w:val="hybridMultilevel"/>
    <w:tmpl w:val="80F49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28"/>
  </w:num>
  <w:num w:numId="4">
    <w:abstractNumId w:val="35"/>
  </w:num>
  <w:num w:numId="5">
    <w:abstractNumId w:val="36"/>
  </w:num>
  <w:num w:numId="6">
    <w:abstractNumId w:val="15"/>
  </w:num>
  <w:num w:numId="7">
    <w:abstractNumId w:val="34"/>
  </w:num>
  <w:num w:numId="8">
    <w:abstractNumId w:val="13"/>
  </w:num>
  <w:num w:numId="9">
    <w:abstractNumId w:val="48"/>
  </w:num>
  <w:num w:numId="10">
    <w:abstractNumId w:val="9"/>
  </w:num>
  <w:num w:numId="11">
    <w:abstractNumId w:val="7"/>
  </w:num>
  <w:num w:numId="12">
    <w:abstractNumId w:val="6"/>
  </w:num>
  <w:num w:numId="13">
    <w:abstractNumId w:val="5"/>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7"/>
  </w:num>
  <w:num w:numId="21">
    <w:abstractNumId w:val="39"/>
  </w:num>
  <w:num w:numId="22">
    <w:abstractNumId w:val="41"/>
  </w:num>
  <w:num w:numId="23">
    <w:abstractNumId w:val="38"/>
  </w:num>
  <w:num w:numId="24">
    <w:abstractNumId w:val="17"/>
  </w:num>
  <w:num w:numId="25">
    <w:abstractNumId w:val="29"/>
  </w:num>
  <w:num w:numId="26">
    <w:abstractNumId w:val="24"/>
  </w:num>
  <w:num w:numId="27">
    <w:abstractNumId w:val="30"/>
  </w:num>
  <w:num w:numId="28">
    <w:abstractNumId w:val="14"/>
  </w:num>
  <w:num w:numId="29">
    <w:abstractNumId w:val="40"/>
  </w:num>
  <w:num w:numId="30">
    <w:abstractNumId w:val="11"/>
  </w:num>
  <w:num w:numId="31">
    <w:abstractNumId w:val="32"/>
  </w:num>
  <w:num w:numId="32">
    <w:abstractNumId w:val="26"/>
  </w:num>
  <w:num w:numId="33">
    <w:abstractNumId w:val="49"/>
  </w:num>
  <w:num w:numId="34">
    <w:abstractNumId w:val="42"/>
  </w:num>
  <w:num w:numId="35">
    <w:abstractNumId w:val="10"/>
  </w:num>
  <w:num w:numId="36">
    <w:abstractNumId w:val="16"/>
  </w:num>
  <w:num w:numId="37">
    <w:abstractNumId w:val="44"/>
  </w:num>
  <w:num w:numId="38">
    <w:abstractNumId w:val="18"/>
  </w:num>
  <w:num w:numId="39">
    <w:abstractNumId w:val="22"/>
  </w:num>
  <w:num w:numId="40">
    <w:abstractNumId w:val="21"/>
  </w:num>
  <w:num w:numId="41">
    <w:abstractNumId w:val="25"/>
  </w:num>
  <w:num w:numId="42">
    <w:abstractNumId w:val="12"/>
  </w:num>
  <w:num w:numId="43">
    <w:abstractNumId w:val="37"/>
  </w:num>
  <w:num w:numId="44">
    <w:abstractNumId w:val="47"/>
  </w:num>
  <w:num w:numId="45">
    <w:abstractNumId w:val="46"/>
  </w:num>
  <w:num w:numId="46">
    <w:abstractNumId w:val="23"/>
  </w:num>
  <w:num w:numId="47">
    <w:abstractNumId w:val="43"/>
  </w:num>
  <w:num w:numId="48">
    <w:abstractNumId w:val="31"/>
  </w:num>
  <w:num w:numId="49">
    <w:abstractNumId w:val="3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40E0B32-FDF0-4F07-8A53-6DAF670EB79D"/>
    <w:docVar w:name="LW_COVERPAGE_TYPE" w:val="1"/>
    <w:docVar w:name="LW_CROSSREFERENCE" w:val="&lt;UNUSED&gt;"/>
    <w:docVar w:name="LW_DocType" w:val="NORMAL"/>
    <w:docVar w:name="LW_EMISSION" w:val="17.12.2019"/>
    <w:docVar w:name="LW_EMISSION_ISODATE" w:val="2019-12-17"/>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6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aport strategic din 2019 privind implementarea fondurilor structurale \u537?i de investi\u539?ii europene"/>
    <w:docVar w:name="LW_TYPE.DOC.CP" w:val="RAPORT AL COMISIEI C\u258?TRE PARLAMENTUL EUROPEAN, CONSILIU, COMITETUL ECONOMIC \u536?I SOCIAL EUROPEAN \u536?I COMITETUL REGIUNILOR"/>
  </w:docVars>
  <w:rsids>
    <w:rsidRoot w:val="009A3F82"/>
    <w:rsid w:val="003D4079"/>
    <w:rsid w:val="009A3F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EE1E5AC-317E-4EDC-A45D-AF3C86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pPr>
      <w:keepNext/>
      <w:keepLines/>
      <w:spacing w:before="36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before="24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lang w:val="ro-RO"/>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ro-RO"/>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 w:val="24"/>
      <w:lang w:val="ro-RO"/>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ro-RO"/>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
    <w:basedOn w:val="Normal"/>
    <w:link w:val="FootnoteTextChar"/>
    <w:unhideWhenUsed/>
    <w:qFormat/>
    <w:pPr>
      <w:spacing w:after="0"/>
      <w:ind w:left="357" w:hanging="357"/>
    </w:pPr>
    <w:rPr>
      <w:rFonts w:cs="Times New Roman"/>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rFonts w:ascii="Times New Roman" w:hAnsi="Times New Roman" w:cs="Times New Roman"/>
      <w:sz w:val="20"/>
      <w:szCs w:val="20"/>
      <w:lang w:val="ro-RO"/>
    </w:rPr>
  </w:style>
  <w:style w:type="character" w:styleId="FootnoteReference">
    <w:name w:val="footnote reference"/>
    <w:aliases w:val="Footnote symbol,Footnote Reference Number,Footnote reference number,Times 10 Point,Exposant 3 Point,EN Footnote Reference,note TESI,-E Fußnotenzeichen,SUPERS,Appel note de bas de p,Footnote Reference/,number,ftref"/>
    <w:basedOn w:val="DefaultParagraphFont"/>
    <w:link w:val="FootnotesymbolCarZchn"/>
    <w:uiPriority w:val="99"/>
    <w:unhideWhenUsed/>
    <w:qFormat/>
    <w:rPr>
      <w:vertAlign w:val="superscript"/>
    </w:rPr>
  </w:style>
  <w:style w:type="paragraph" w:styleId="NoSpacing">
    <w:name w:val="No Spacing"/>
    <w:uiPriority w:val="1"/>
    <w:qFormat/>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hAnsi="Times New Roman"/>
      <w:sz w:val="24"/>
      <w:lang w:val="ro-RO"/>
    </w:rPr>
  </w:style>
  <w:style w:type="paragraph" w:styleId="ListBullet5">
    <w:name w:val="List Bullet 5"/>
    <w:basedOn w:val="Normal"/>
    <w:autoRedefine/>
    <w:pPr>
      <w:numPr>
        <w:numId w:val="1"/>
      </w:numPr>
      <w:spacing w:after="240"/>
    </w:pPr>
    <w:rPr>
      <w:rFonts w:eastAsia="Times New Roman" w:cs="Times New Roman"/>
      <w:szCs w:val="20"/>
    </w:rPr>
  </w:style>
  <w:style w:type="paragraph" w:customStyle="1" w:styleId="SECTIONTITLE">
    <w:name w:val="SECTION TITLE"/>
    <w:basedOn w:val="Normal"/>
    <w:link w:val="SECTIONTITLEChar"/>
    <w:qFormat/>
    <w:pPr>
      <w:keepNext/>
      <w:spacing w:before="480"/>
    </w:pPr>
    <w:rPr>
      <w:b/>
      <w:bCs/>
      <w:caps/>
    </w:rPr>
  </w:style>
  <w:style w:type="paragraph" w:customStyle="1" w:styleId="Subsectiontitle">
    <w:name w:val="Subsection title"/>
    <w:basedOn w:val="Normal"/>
    <w:link w:val="SubsectiontitleChar"/>
    <w:qFormat/>
    <w:pPr>
      <w:spacing w:after="80"/>
    </w:pPr>
    <w:rPr>
      <w:bCs/>
      <w:i/>
      <w:sz w:val="20"/>
      <w:szCs w:val="20"/>
    </w:rPr>
  </w:style>
  <w:style w:type="character" w:customStyle="1" w:styleId="SECTIONTITLEChar">
    <w:name w:val="SECTION TITLE Char"/>
    <w:basedOn w:val="DefaultParagraphFont"/>
    <w:link w:val="SECTIONTITLE"/>
    <w:rPr>
      <w:rFonts w:ascii="Times New Roman" w:hAnsi="Times New Roman"/>
      <w:b/>
      <w:bCs/>
      <w:caps/>
      <w:sz w:val="24"/>
      <w:lang w:val="ro-RO"/>
    </w:rPr>
  </w:style>
  <w:style w:type="character" w:customStyle="1" w:styleId="SubsectiontitleChar">
    <w:name w:val="Subsection title Char"/>
    <w:basedOn w:val="DefaultParagraphFont"/>
    <w:link w:val="Subsectiontitle"/>
    <w:rPr>
      <w:rFonts w:ascii="Times New Roman" w:hAnsi="Times New Roman"/>
      <w:bCs/>
      <w:i/>
      <w:sz w:val="20"/>
      <w:szCs w:val="20"/>
      <w:lang w:val="ro-RO"/>
    </w:rPr>
  </w:style>
  <w:style w:type="paragraph" w:styleId="TOC1">
    <w:name w:val="toc 1"/>
    <w:basedOn w:val="Normal"/>
    <w:next w:val="Normal"/>
    <w:autoRedefine/>
    <w:uiPriority w:val="39"/>
    <w:unhideWhenUsed/>
    <w:pPr>
      <w:spacing w:after="100"/>
    </w:pPr>
    <w:rPr>
      <w:b/>
    </w:rPr>
  </w:style>
  <w:style w:type="paragraph" w:styleId="TOC2">
    <w:name w:val="toc 2"/>
    <w:basedOn w:val="Normal"/>
    <w:next w:val="Normal"/>
    <w:autoRedefine/>
    <w:uiPriority w:val="39"/>
    <w:unhideWhenUsed/>
    <w:pPr>
      <w:spacing w:after="100"/>
      <w:ind w:left="221"/>
    </w:pPr>
  </w:style>
  <w:style w:type="paragraph" w:styleId="Header">
    <w:name w:val="header"/>
    <w:basedOn w:val="Normal"/>
    <w:link w:val="HeaderChar"/>
    <w:uiPriority w:val="99"/>
    <w:unhideWhenUsed/>
    <w:pPr>
      <w:tabs>
        <w:tab w:val="center" w:pos="4535"/>
        <w:tab w:val="right" w:pos="9071"/>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sz w:val="22"/>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TR-Caption,Inscription,Beschriftung Char Char Char,Beschriftung Char Char,Caption-tables,Table legend,Tab_Überschrift,Figure reference,Caption1 Char Char Char Char Char Char Char Char,Beschriftung Char2 Char,Beschriftung Char1 Cha...,Char Char"/>
    <w:basedOn w:val="Normal"/>
    <w:next w:val="Normal"/>
    <w:link w:val="CaptionChar"/>
    <w:uiPriority w:val="35"/>
    <w:qFormat/>
    <w:pPr>
      <w:spacing w:before="120"/>
    </w:pPr>
    <w:rPr>
      <w:rFonts w:eastAsia="Times New Roman" w:cs="Times New Roman"/>
      <w:b/>
      <w:szCs w:val="20"/>
    </w:rPr>
  </w:style>
  <w:style w:type="character" w:customStyle="1" w:styleId="CaptionChar">
    <w:name w:val="Caption Char"/>
    <w:aliases w:val="TR-Caption Char,Inscription Char,Beschriftung Char Char Char Char,Beschriftung Char Char Char1,Caption-tables Char,Table legend Char,Tab_Überschrift Char,Figure reference Char,Caption1 Char Char Char Char Char Char Char Char Char"/>
    <w:link w:val="Caption"/>
    <w:uiPriority w:val="35"/>
    <w:locked/>
    <w:rPr>
      <w:rFonts w:ascii="Times New Roman" w:eastAsia="Times New Roman" w:hAnsi="Times New Roman" w:cs="Times New Roman"/>
      <w:b/>
      <w:sz w:val="24"/>
      <w:szCs w:val="20"/>
      <w:lang w:val="ro-RO"/>
    </w:rPr>
  </w:style>
  <w:style w:type="paragraph" w:customStyle="1" w:styleId="Chaptertitle">
    <w:name w:val="Chapter title"/>
    <w:basedOn w:val="Normal"/>
    <w:pPr>
      <w:keepNext/>
      <w:spacing w:before="480"/>
    </w:pPr>
    <w:rPr>
      <w:rFonts w:cs="Times New Roman"/>
      <w:b/>
      <w:caps/>
      <w:szCs w:val="24"/>
    </w:rPr>
  </w:style>
  <w:style w:type="paragraph" w:customStyle="1" w:styleId="Sub1">
    <w:name w:val="Sub 1"/>
    <w:basedOn w:val="Normal"/>
    <w:pPr>
      <w:keepNext/>
      <w:spacing w:before="120" w:after="80"/>
    </w:pPr>
    <w:rPr>
      <w:rFonts w:cs="Times New Roman"/>
      <w:b/>
      <w:bCs/>
      <w:i/>
      <w:szCs w:val="24"/>
    </w:rPr>
  </w:style>
  <w:style w:type="paragraph" w:customStyle="1" w:styleId="Sub2">
    <w:name w:val="Sub2"/>
    <w:basedOn w:val="Normal"/>
    <w:link w:val="Sub2Char"/>
    <w:pPr>
      <w:keepNext/>
      <w:spacing w:before="120" w:after="80"/>
    </w:pPr>
    <w:rPr>
      <w:rFonts w:cs="Times New Roman"/>
      <w:b/>
      <w:szCs w:val="24"/>
    </w:rPr>
  </w:style>
  <w:style w:type="paragraph" w:styleId="TOC3">
    <w:name w:val="toc 3"/>
    <w:basedOn w:val="Normal"/>
    <w:next w:val="Normal"/>
    <w:autoRedefine/>
    <w:uiPriority w:val="39"/>
    <w:unhideWhenUsed/>
    <w:pPr>
      <w:spacing w:after="100"/>
      <w:ind w:left="440"/>
    </w:pPr>
    <w:rPr>
      <w:i/>
    </w:rPr>
  </w:style>
  <w:style w:type="character" w:customStyle="1" w:styleId="Sub2Char">
    <w:name w:val="Sub2 Char"/>
    <w:basedOn w:val="DefaultParagraphFont"/>
    <w:link w:val="Sub2"/>
    <w:rPr>
      <w:rFonts w:ascii="Times New Roman" w:hAnsi="Times New Roman" w:cs="Times New Roman"/>
      <w:b/>
      <w:sz w:val="24"/>
      <w:szCs w:val="24"/>
      <w:lang w:val="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NoteHead">
    <w:name w:val="NoteHead"/>
    <w:basedOn w:val="Normal"/>
    <w:next w:val="Subject"/>
    <w:pPr>
      <w:spacing w:before="720" w:after="720"/>
      <w:jc w:val="center"/>
    </w:pPr>
    <w:rPr>
      <w:rFonts w:eastAsia="Times New Roman" w:cs="Times New Roman"/>
      <w:b/>
      <w:smallCaps/>
      <w:szCs w:val="20"/>
    </w:rPr>
  </w:style>
  <w:style w:type="paragraph" w:customStyle="1" w:styleId="Subject">
    <w:name w:val="Subject"/>
    <w:basedOn w:val="Normal"/>
    <w:next w:val="Normal"/>
    <w:pPr>
      <w:spacing w:after="480"/>
      <w:ind w:left="1531" w:hanging="1531"/>
      <w:jc w:val="left"/>
    </w:pPr>
    <w:rPr>
      <w:rFonts w:eastAsia="Times New Roman" w:cs="Times New Roman"/>
      <w:b/>
      <w:szCs w:val="20"/>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paragraph" w:customStyle="1" w:styleId="Declassification">
    <w:name w:val="Declassification"/>
    <w:basedOn w:val="Normal"/>
    <w:next w:val="Normal"/>
    <w:pPr>
      <w:spacing w:after="0"/>
    </w:pPr>
    <w:rPr>
      <w:rFonts w:cs="Times New Roman"/>
    </w:rPr>
  </w:style>
  <w:style w:type="paragraph" w:customStyle="1" w:styleId="HeaderLandscape">
    <w:name w:val="HeaderLandscape"/>
    <w:basedOn w:val="Normal"/>
    <w:pPr>
      <w:tabs>
        <w:tab w:val="center" w:pos="7285"/>
        <w:tab w:val="right" w:pos="14003"/>
      </w:tabs>
    </w:pPr>
    <w:rPr>
      <w:rFonts w:cs="Times New Roman"/>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cs="Times New Roman"/>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after="0"/>
      <w:jc w:val="left"/>
    </w:pPr>
    <w:rPr>
      <w:rFonts w:cs="Times New Roman"/>
      <w:szCs w:val="24"/>
      <w:lang w:eastAsia="en-GB"/>
    </w:rPr>
  </w:style>
  <w:style w:type="paragraph" w:customStyle="1" w:styleId="SecurityMarking">
    <w:name w:val="SecurityMarking"/>
    <w:basedOn w:val="Normal"/>
    <w:pPr>
      <w:spacing w:after="0" w:line="276" w:lineRule="auto"/>
      <w:ind w:left="5103"/>
      <w:jc w:val="left"/>
    </w:pPr>
    <w:rPr>
      <w:rFonts w:cs="Times New Roman"/>
      <w:sz w:val="28"/>
    </w:rPr>
  </w:style>
  <w:style w:type="paragraph" w:customStyle="1" w:styleId="DateMarking">
    <w:name w:val="DateMarking"/>
    <w:basedOn w:val="Normal"/>
    <w:pPr>
      <w:spacing w:after="0" w:line="276" w:lineRule="auto"/>
      <w:ind w:left="5103"/>
      <w:jc w:val="left"/>
    </w:pPr>
    <w:rPr>
      <w:rFonts w:cs="Times New Roman"/>
      <w:i/>
      <w:sz w:val="28"/>
    </w:rPr>
  </w:style>
  <w:style w:type="paragraph" w:customStyle="1" w:styleId="ReleasableTo">
    <w:name w:val="ReleasableTo"/>
    <w:basedOn w:val="Normal"/>
    <w:pPr>
      <w:spacing w:after="0" w:line="276" w:lineRule="auto"/>
      <w:ind w:left="5103"/>
      <w:jc w:val="left"/>
    </w:pPr>
    <w:rPr>
      <w:rFonts w:cs="Times New Roman"/>
      <w:i/>
      <w:sz w:val="28"/>
    </w:rPr>
  </w:style>
  <w:style w:type="paragraph" w:customStyle="1" w:styleId="HeaderSensitivityRight">
    <w:name w:val="Header Sensitivity Right"/>
    <w:basedOn w:val="Normal"/>
    <w:pPr>
      <w:jc w:val="right"/>
    </w:pPr>
    <w:rPr>
      <w:sz w:val="28"/>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lang w:val="ro-RO"/>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TOCHeading">
    <w:name w:val="TOC Heading"/>
    <w:basedOn w:val="Heading1"/>
    <w:next w:val="Normal"/>
    <w:uiPriority w:val="39"/>
    <w:unhideWhenUsed/>
    <w:qFormat/>
    <w:p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hesiondata.ec.europa.eu/d/e4v6-qrrq" TargetMode="Externa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uturium/en/urban-agenda" TargetMode="External"/><Relationship Id="rId7" Type="http://schemas.openxmlformats.org/officeDocument/2006/relationships/hyperlink" Target="https://cohesiondata.ec.europa.eu/stories/s/eyh3-tjuv" TargetMode="External"/><Relationship Id="rId2" Type="http://schemas.openxmlformats.org/officeDocument/2006/relationships/hyperlink" Target="https://ec.europa.eu/regional_policy/en/information/publications/reports/2017/7th-report-on-economic-social-and-territorial-cohesion" TargetMode="External"/><Relationship Id="rId1" Type="http://schemas.openxmlformats.org/officeDocument/2006/relationships/hyperlink" Target="https://cohesiondata.ec.europa.eu" TargetMode="External"/><Relationship Id="rId6" Type="http://schemas.openxmlformats.org/officeDocument/2006/relationships/hyperlink" Target="https://ec.europa.eu/digital-single-market/en/broadband-competence-offices" TargetMode="External"/><Relationship Id="rId5" Type="http://schemas.openxmlformats.org/officeDocument/2006/relationships/hyperlink" Target="https://ec.europa.eu/regional_policy/ro/policy/how/improving-investment/" TargetMode="External"/><Relationship Id="rId4" Type="http://schemas.openxmlformats.org/officeDocument/2006/relationships/hyperlink" Target="https://www.uia-initiative.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9CF091-34A7-4A13-9E62-DE8DE5E4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6078</Words>
  <Characters>36171</Characters>
  <Application>Microsoft Office Word</Application>
  <DocSecurity>0</DocSecurity>
  <Lines>548</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24</cp:revision>
  <cp:lastPrinted>2019-11-15T09:37:00Z</cp:lastPrinted>
  <dcterms:created xsi:type="dcterms:W3CDTF">2019-11-15T09:33:00Z</dcterms:created>
  <dcterms:modified xsi:type="dcterms:W3CDTF">2020-01-03T15:33:00Z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 Build 20190717</vt:lpwstr>
  </property>
</Properties>
</file>