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2A340CC-E252-48E5-B829-60581AEF4B0C"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u w:color="000000"/>
          <w:bdr w:val="nil"/>
        </w:rPr>
        <w:t>•</w:t>
      </w:r>
      <w:r>
        <w:rPr>
          <w:noProof/>
          <w:u w:color="000000"/>
          <w:bdr w:val="nil"/>
        </w:rPr>
        <w:tab/>
      </w:r>
      <w:r>
        <w:rPr>
          <w:noProof/>
        </w:rPr>
        <w:t>Przyczyny i cele wniosku</w:t>
      </w:r>
    </w:p>
    <w:p>
      <w:pPr>
        <w:pBdr>
          <w:top w:val="nil"/>
          <w:left w:val="nil"/>
          <w:bottom w:val="nil"/>
          <w:right w:val="nil"/>
          <w:between w:val="nil"/>
          <w:bar w:val="nil"/>
        </w:pBdr>
        <w:spacing w:before="0" w:after="240"/>
        <w:rPr>
          <w:rFonts w:eastAsia="Arial Unicode MS"/>
          <w:noProof/>
        </w:rPr>
      </w:pPr>
      <w:r>
        <w:rPr>
          <w:noProof/>
        </w:rPr>
        <w:t>Aktualna umowa o partnerstwie w sprawie połowów między Unią Europejską a Seszelami</w:t>
      </w:r>
      <w:r>
        <w:rPr>
          <w:rStyle w:val="FootnoteReference"/>
          <w:noProof/>
        </w:rPr>
        <w:footnoteReference w:id="1"/>
      </w:r>
      <w:r>
        <w:rPr>
          <w:noProof/>
        </w:rPr>
        <w:t xml:space="preserve"> została podpisana w dniu 28 lutego 2007 r.</w:t>
      </w:r>
      <w:r>
        <w:rPr>
          <w:rStyle w:val="FootnoteReference"/>
          <w:noProof/>
        </w:rPr>
        <w:footnoteReference w:id="2"/>
      </w:r>
      <w:r>
        <w:rPr>
          <w:noProof/>
        </w:rPr>
        <w:t xml:space="preserve"> i weszła w życie w dniu 2 listopada 2007 r. na okres sześciu lat. Umowa jest przedłużana automatycznie i w związku z tym nadal obowiązuje. Obecny, 6-letni protokół</w:t>
      </w:r>
      <w:r>
        <w:rPr>
          <w:rStyle w:val="FootnoteReference"/>
          <w:noProof/>
        </w:rPr>
        <w:footnoteReference w:id="3"/>
      </w:r>
      <w:r>
        <w:rPr>
          <w:noProof/>
        </w:rPr>
        <w:t xml:space="preserve"> do umowy o partnerstwie w sprawie połowów wszedł w życie w dniu 18 stycznia 2014 r. i wygaśnie w dniu 17 stycznia 2020 r.</w:t>
      </w:r>
    </w:p>
    <w:p>
      <w:pPr>
        <w:pBdr>
          <w:top w:val="nil"/>
          <w:left w:val="nil"/>
          <w:bottom w:val="nil"/>
          <w:right w:val="nil"/>
          <w:between w:val="nil"/>
          <w:bar w:val="nil"/>
        </w:pBdr>
        <w:spacing w:before="0" w:after="240"/>
        <w:rPr>
          <w:noProof/>
        </w:rPr>
      </w:pPr>
      <w:r>
        <w:rPr>
          <w:noProof/>
        </w:rPr>
        <w:t>Na podstawie odpowiednich wytycznych negocjacyjnych</w:t>
      </w:r>
      <w:r>
        <w:rPr>
          <w:rStyle w:val="FootnoteReference"/>
          <w:noProof/>
        </w:rPr>
        <w:footnoteReference w:id="4"/>
      </w:r>
      <w:r>
        <w:rPr>
          <w:noProof/>
        </w:rPr>
        <w:t xml:space="preserve"> Komisja przeprowadziła rokowania z rządem Republiki Seszeli (zwanej dalej „Seszelami”) w celu zawarcia, w imieniu Unii Europejskiej, nowej umowy o partnerstwie w sprawie zrównoważonych połowów i protokołu do niej (na lata 2020–2026). W wyniku tych rokowań umowa i protokół zostały parafowane przez negocjatorów w dniu 22 października 2019 r. Nowa umowa uchyla i zastępuje obowiązującą umowę; obejmuje ona okres sześciu lat, począwszy od daty jej tymczasowego stosowania ustalonej w jej art. 15, tj. od daty jej podpisania przez strony, z możliwością automatycznego odnowienia. Nowy protokół obejmuje okres sześciu lat, począwszy od daty jego tymczasowego stosowania ustalonej w jego art. 15, tj. od daty jego podpisania przez obie strony.</w:t>
      </w:r>
    </w:p>
    <w:p>
      <w:pPr>
        <w:pBdr>
          <w:top w:val="nil"/>
          <w:left w:val="nil"/>
          <w:bottom w:val="nil"/>
          <w:right w:val="nil"/>
          <w:between w:val="nil"/>
          <w:bar w:val="nil"/>
        </w:pBdr>
        <w:spacing w:before="0" w:after="240"/>
        <w:rPr>
          <w:rFonts w:eastAsia="Arial Unicode MS"/>
          <w:noProof/>
        </w:rPr>
      </w:pPr>
      <w:r>
        <w:rPr>
          <w:noProof/>
        </w:rPr>
        <w:t>Celem niniejszego wniosku jest upoważnienie do zawarcia umowy i protokołu wykonawczego do niej.</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Spójność z przepisami obowiązującymi w tej dziedzinie polityki</w:t>
      </w:r>
    </w:p>
    <w:p>
      <w:pPr>
        <w:rPr>
          <w:rFonts w:eastAsia="Calibri"/>
          <w:noProof/>
        </w:rPr>
      </w:pPr>
      <w:r>
        <w:rPr>
          <w:noProof/>
        </w:rPr>
        <w:t>Głównym celem nowej umowy jest stworzenie nowych ram przy uwzględnieniu priorytetów zreformowanej wspólnej polityki rybołówstwa</w:t>
      </w:r>
      <w:r>
        <w:rPr>
          <w:rStyle w:val="FootnoteReference"/>
          <w:noProof/>
        </w:rPr>
        <w:footnoteReference w:id="5"/>
      </w:r>
      <w:r>
        <w:rPr>
          <w:noProof/>
        </w:rPr>
        <w:t xml:space="preserve"> i jej wymiaru zewnętrznego z myślą o kontynuacji i wzmocnieniu partnerstwa strategicznego między Unią Europejską a Republiką Seszeli w dziedzinie rybołówstwa.</w:t>
      </w:r>
    </w:p>
    <w:p>
      <w:pPr>
        <w:rPr>
          <w:rFonts w:eastAsia="Calibri"/>
          <w:noProof/>
        </w:rPr>
      </w:pPr>
      <w:r>
        <w:rPr>
          <w:noProof/>
        </w:rPr>
        <w:t>Celem protokołu wykonawczego jest przyznanie statkom Unii Europejskiej uprawnień do połowów na obszarze połowowym Seszeli w poszanowaniu najlepszych dostępnych opinii naukowych i rezolucji oraz zaleceń Komisji ds. Tuńczyka na Oceanie Indyjskim (IOTC) w granicach dostępnej nadwyżki. Stanowisko Komisji było oparte między innymi na wynikach oceny poprzednio obowiązującej umowy i protokołu (na lata 2014–2020) oraz perspektywicznej oceny dotyczącej potrzeby zawarcia nowej umowy i protokołu. Obie oceny zostały przeprowadzone przez ekspertów zewnętrznych. Celem jest również leżące w interesie obu stron ożywienie współpracy między Unią Europejską a Republiką Seszeli służącej wspieraniu zrównoważonej polityki rybołówstwa oraz odpowiedzialnej eksploatacji zasobów rybnych na obszarze połowowym Seszeli i na Oceanie Indyjskim. Ponadto współpraca ta przyczyni się również do propagowania godnych warunków pracy w obszarze działalności połowowej.</w:t>
      </w:r>
    </w:p>
    <w:p>
      <w:pPr>
        <w:rPr>
          <w:rFonts w:eastAsia="Calibri"/>
          <w:noProof/>
        </w:rPr>
      </w:pPr>
      <w:r>
        <w:rPr>
          <w:noProof/>
        </w:rPr>
        <w:lastRenderedPageBreak/>
        <w:t>Nowy Protokół przewiduje w szczególności uprawnienia do połowów w następujących kategoriach:</w:t>
      </w:r>
    </w:p>
    <w:p>
      <w:pPr>
        <w:rPr>
          <w:rFonts w:eastAsia="Calibri"/>
          <w:noProof/>
        </w:rPr>
      </w:pPr>
      <w:r>
        <w:rPr>
          <w:noProof/>
        </w:rPr>
        <w:t>-</w:t>
      </w:r>
      <w:r>
        <w:rPr>
          <w:noProof/>
        </w:rPr>
        <w:tab/>
        <w:t>40 sejnerów do połowu tuńczyków przy użyciu okrężnicy;</w:t>
      </w:r>
    </w:p>
    <w:p>
      <w:pPr>
        <w:rPr>
          <w:rFonts w:eastAsia="Calibri"/>
          <w:noProof/>
        </w:rPr>
      </w:pPr>
      <w:r>
        <w:rPr>
          <w:noProof/>
        </w:rPr>
        <w:t>-</w:t>
      </w:r>
      <w:r>
        <w:rPr>
          <w:noProof/>
        </w:rPr>
        <w:tab/>
        <w:t>8 taklowców powierzchniowych;</w:t>
      </w:r>
    </w:p>
    <w:p>
      <w:pPr>
        <w:pBdr>
          <w:top w:val="nil"/>
          <w:left w:val="nil"/>
          <w:bottom w:val="nil"/>
          <w:right w:val="nil"/>
          <w:between w:val="nil"/>
          <w:bar w:val="nil"/>
        </w:pBdr>
        <w:spacing w:before="0" w:after="240"/>
        <w:rPr>
          <w:rFonts w:eastAsia="Arial Unicode MS"/>
          <w:noProof/>
        </w:rPr>
      </w:pPr>
      <w:r>
        <w:rPr>
          <w:noProof/>
        </w:rPr>
        <w:t>-</w:t>
      </w:r>
      <w:r>
        <w:rPr>
          <w:noProof/>
        </w:rPr>
        <w:tab/>
        <w:t>statki pomocnicze zgodnie z odpowiednimi rezolucjami IOTC.</w:t>
      </w:r>
    </w:p>
    <w:p>
      <w:pPr>
        <w:pStyle w:val="ManualHeading2"/>
        <w:rPr>
          <w:rFonts w:eastAsia="Arial Unicode MS"/>
          <w:noProof/>
        </w:rPr>
      </w:pPr>
      <w:r>
        <w:rPr>
          <w:noProof/>
          <w:u w:color="000000"/>
          <w:bdr w:val="nil"/>
        </w:rPr>
        <w:t>•</w:t>
      </w:r>
      <w:r>
        <w:rPr>
          <w:noProof/>
          <w:u w:color="000000"/>
          <w:bdr w:val="nil"/>
        </w:rPr>
        <w:tab/>
      </w:r>
      <w:r>
        <w:rPr>
          <w:noProof/>
        </w:rPr>
        <w:t>Spójność z innymi politykami Unii</w:t>
      </w:r>
    </w:p>
    <w:p>
      <w:pPr>
        <w:spacing w:before="0" w:after="240"/>
        <w:rPr>
          <w:noProof/>
        </w:rPr>
      </w:pPr>
      <w:r>
        <w:rPr>
          <w:noProof/>
        </w:rPr>
        <w:t>Rokowania dotyczące nowej umowy o partnerstwie w sprawie połowów z Seszelami wpisują się w ramy działań zewnętrznych Unii wobec krajów Afryki, Karaibów i Pacyfiku (AKP) oraz uwzględniają w szczególności cele Unii w zakresie poszanowania zasad demokratycznych i praw człowieka.</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u w:color="000000"/>
          <w:bdr w:val="nil"/>
        </w:rPr>
        <w:t>•</w:t>
      </w:r>
      <w:r>
        <w:rPr>
          <w:noProof/>
          <w:u w:color="000000"/>
          <w:bdr w:val="nil"/>
        </w:rPr>
        <w:tab/>
        <w:t>Podstawa prawna</w:t>
      </w:r>
    </w:p>
    <w:p>
      <w:pPr>
        <w:keepNext/>
        <w:rPr>
          <w:noProof/>
          <w:sz w:val="22"/>
        </w:rPr>
      </w:pPr>
      <w:r>
        <w:rPr>
          <w:noProof/>
        </w:rPr>
        <w:t>Podstawę prawną stanowi art. 43 ust. 2 Traktatu o funkcjonowaniu Unii Europejskiej (TFUE), który ustanawia wspólną politykę rybołówstwa, oraz jego art. 218 ust. 6 lit. a) ppkt (v) i art. 218 ust. 7 w sprawie zawierania umów między Unią a państwami trzecimi oraz możliwości upoważnienia negocjatora do zatwierdzenia, w imieniu Unii, zmian w umowie, które zostały przyjęte w ramach procedury uproszczonej lub przez organ utworzony na mocy umowy.</w:t>
      </w:r>
    </w:p>
    <w:p>
      <w:pPr>
        <w:pStyle w:val="ManualHeading2"/>
        <w:rPr>
          <w:rFonts w:eastAsia="Arial Unicode MS"/>
          <w:noProof/>
          <w:u w:color="000000"/>
          <w:bdr w:val="nil"/>
        </w:rPr>
      </w:pPr>
      <w:r>
        <w:rPr>
          <w:noProof/>
          <w:u w:color="000000"/>
          <w:bdr w:val="nil"/>
        </w:rPr>
        <w:t>•</w:t>
      </w:r>
      <w:r>
        <w:rPr>
          <w:noProof/>
          <w:u w:color="000000"/>
          <w:bdr w:val="nil"/>
        </w:rPr>
        <w:tab/>
        <w:t>Pomocniczość (w przypadku kompetencji niewyłącznych)</w:t>
      </w:r>
    </w:p>
    <w:p>
      <w:pPr>
        <w:spacing w:before="0" w:after="240"/>
        <w:rPr>
          <w:rFonts w:eastAsia="Arial Unicode MS"/>
          <w:noProof/>
        </w:rPr>
      </w:pPr>
      <w:r>
        <w:rPr>
          <w:noProof/>
        </w:rPr>
        <w:t>Niniejszy wniosek wchodzi w zakres wyłącznych kompetencji Unii Europejskiej.</w:t>
      </w:r>
    </w:p>
    <w:p>
      <w:pPr>
        <w:pStyle w:val="ManualHeading2"/>
        <w:rPr>
          <w:rFonts w:eastAsia="Arial Unicode MS"/>
          <w:noProof/>
          <w:u w:color="000000"/>
          <w:bdr w:val="nil"/>
        </w:rPr>
      </w:pPr>
      <w:r>
        <w:rPr>
          <w:noProof/>
          <w:u w:color="000000"/>
          <w:bdr w:val="nil"/>
        </w:rPr>
        <w:t>•</w:t>
      </w:r>
      <w:r>
        <w:rPr>
          <w:noProof/>
          <w:u w:color="000000"/>
          <w:bdr w:val="nil"/>
        </w:rPr>
        <w:tab/>
        <w:t>Proporcjonalność</w:t>
      </w:r>
    </w:p>
    <w:p>
      <w:pPr>
        <w:spacing w:before="0" w:after="240"/>
        <w:rPr>
          <w:rFonts w:eastAsia="Arial Unicode MS"/>
          <w:noProof/>
        </w:rPr>
      </w:pPr>
      <w:r>
        <w:rPr>
          <w:noProof/>
        </w:rPr>
        <w:t>Wniosek jest proporcjonalny do celu, jakim jest ustanowienie prawnych, środowiskowych, gospodarczych i społecznych ram zarządzania działalnością połowową prowadzoną przez statki unijne w wodach państw trzecich, ustalonego w art. 31 rozporządzenia ustanawiającego wspólną politykę rybołówstwa. Wniosek jest zgodny z tymi przepisami, a także z przepisami dotyczącymi pomocy finansowej dla państw trzecich, o której mowa w art. 32 wzmiankowanego rozporządzenia.</w:t>
      </w:r>
    </w:p>
    <w:p>
      <w:pPr>
        <w:pStyle w:val="ManualHeading1"/>
        <w:rPr>
          <w:noProof/>
        </w:rPr>
      </w:pPr>
      <w:r>
        <w:rPr>
          <w:noProof/>
        </w:rPr>
        <w:t>3.</w:t>
      </w:r>
      <w:r>
        <w:rPr>
          <w:noProof/>
        </w:rPr>
        <w:tab/>
        <w:t xml:space="preserve">WYNIKI OCEN </w:t>
      </w:r>
      <w:r>
        <w:rPr>
          <w:i/>
          <w:noProof/>
        </w:rPr>
        <w:t>EX-POST</w:t>
      </w:r>
      <w:r>
        <w:rPr>
          <w:noProof/>
        </w:rPr>
        <w:t>, KONSULTACJI Z ZAINTERESOWANYMI STRONAMI I OCEN SKUTKÓW</w:t>
      </w:r>
    </w:p>
    <w:p>
      <w:pPr>
        <w:pStyle w:val="ManualHeading2"/>
        <w:rPr>
          <w:rFonts w:eastAsia="Arial Unicode MS"/>
          <w:noProof/>
          <w:u w:color="000000"/>
          <w:bdr w:val="nil"/>
        </w:rPr>
      </w:pPr>
      <w:r>
        <w:rPr>
          <w:noProof/>
          <w:u w:color="000000"/>
          <w:bdr w:val="nil"/>
        </w:rPr>
        <w:t>•</w:t>
      </w:r>
      <w:r>
        <w:rPr>
          <w:noProof/>
          <w:u w:color="000000"/>
          <w:bdr w:val="nil"/>
        </w:rPr>
        <w:tab/>
        <w:t xml:space="preserve">Oceny </w:t>
      </w:r>
      <w:r>
        <w:rPr>
          <w:i/>
          <w:noProof/>
          <w:u w:color="000000"/>
          <w:bdr w:val="nil"/>
        </w:rPr>
        <w:t>ex-post</w:t>
      </w:r>
      <w:r>
        <w:rPr>
          <w:noProof/>
          <w:u w:color="000000"/>
          <w:bdr w:val="nil"/>
        </w:rPr>
        <w:t>/kontrole sprawności obowiązującego prawodawstwa</w:t>
      </w:r>
    </w:p>
    <w:p>
      <w:pPr>
        <w:pBdr>
          <w:top w:val="nil"/>
          <w:left w:val="nil"/>
          <w:bottom w:val="nil"/>
          <w:right w:val="nil"/>
          <w:between w:val="nil"/>
          <w:bar w:val="nil"/>
        </w:pBdr>
        <w:spacing w:before="0" w:after="240"/>
        <w:rPr>
          <w:rFonts w:eastAsia="Arial Unicode MS"/>
          <w:noProof/>
        </w:rPr>
      </w:pPr>
      <w:r>
        <w:rPr>
          <w:noProof/>
        </w:rPr>
        <w:t xml:space="preserve">W 2019 r. Komisja przeprowadziła ocenę </w:t>
      </w:r>
      <w:r>
        <w:rPr>
          <w:i/>
          <w:noProof/>
        </w:rPr>
        <w:t>ex post</w:t>
      </w:r>
      <w:r>
        <w:rPr>
          <w:noProof/>
        </w:rPr>
        <w:t xml:space="preserve"> obowiązującego protokołu do umowy o partnerstwie w sprawie połowów z Seszelami, jak również ocenę </w:t>
      </w:r>
      <w:r>
        <w:rPr>
          <w:i/>
          <w:noProof/>
        </w:rPr>
        <w:t>ex ante</w:t>
      </w:r>
      <w:r>
        <w:rPr>
          <w:noProof/>
        </w:rPr>
        <w:t xml:space="preserve"> ewentualnego nowego protokołu.</w:t>
      </w:r>
    </w:p>
    <w:p>
      <w:pPr>
        <w:pBdr>
          <w:top w:val="nil"/>
          <w:left w:val="nil"/>
          <w:bottom w:val="nil"/>
          <w:right w:val="nil"/>
          <w:between w:val="nil"/>
          <w:bar w:val="nil"/>
        </w:pBdr>
        <w:spacing w:before="0" w:after="240"/>
        <w:rPr>
          <w:rFonts w:eastAsia="Arial Unicode MS"/>
          <w:noProof/>
        </w:rPr>
      </w:pPr>
      <w:r>
        <w:rPr>
          <w:noProof/>
        </w:rPr>
        <w:t>W ocenie stwierdzono, że sektory rybołówstwa w UE są bardzo zainteresowane połowami na Seszelach oraz że odnowienie protokołu leży w interesie obu stron. Ponadto odnowienie protokołu przyczyniłoby się do poprawy monitorowania, kontroli i nadzoru oraz do lepszego zarządzania rybołówstwem w regionie.</w:t>
      </w:r>
    </w:p>
    <w:p>
      <w:pPr>
        <w:pBdr>
          <w:top w:val="nil"/>
          <w:left w:val="nil"/>
          <w:bottom w:val="nil"/>
          <w:right w:val="nil"/>
          <w:between w:val="nil"/>
          <w:bar w:val="nil"/>
        </w:pBdr>
        <w:spacing w:before="0" w:after="240"/>
        <w:rPr>
          <w:rFonts w:eastAsia="Arial Unicode MS"/>
          <w:noProof/>
        </w:rPr>
      </w:pPr>
      <w:r>
        <w:rPr>
          <w:noProof/>
        </w:rPr>
        <w:t xml:space="preserve">Dla Unii ważne jest utrzymanie instrumentu umożliwiającego pogłębioną współpracę sektorową z głównym podmiotem zarządzania oceanami na poziomie podregionalnym z uwagi na zasięg obszaru połowowego podlegającego jego jurysdykcji. Zacieśnienie </w:t>
      </w:r>
      <w:r>
        <w:rPr>
          <w:noProof/>
        </w:rPr>
        <w:lastRenderedPageBreak/>
        <w:t>stosunków z Seszelami jest również ważne z punktu widzenia zawierania sojuszy w ramach IOTC. Ponadto dla floty UE oznacza to utrzymanie dostępu do ważnego łowiska w celu wdrożenia strategii pozyskiwania zgodnie z wieloletnimi międzynarodowymi ramami prawnymi. Znaczenie Victorii jako jednego z głównych portów wyładunku zwiększa przydatność planowanego nowego protokołu – zarówno dla unijnej branży rybackiej, jak i dla państwa partnerskiego. Dla władz Seszeli celem jest utrzymanie stosunków z Unią służących lepszemu zarządzaniu oceanami oraz czerpanie korzyści ze specjalnego wsparcia sektorowego, zapewniającego wieloletnie możliwości finansowania.</w:t>
      </w:r>
    </w:p>
    <w:p>
      <w:pPr>
        <w:pStyle w:val="ManualHeading2"/>
        <w:rPr>
          <w:rFonts w:eastAsia="Arial Unicode MS"/>
          <w:noProof/>
          <w:u w:color="000000"/>
          <w:bdr w:val="nil"/>
        </w:rPr>
      </w:pPr>
      <w:r>
        <w:rPr>
          <w:noProof/>
          <w:u w:color="000000"/>
          <w:bdr w:val="nil"/>
        </w:rPr>
        <w:t>•</w:t>
      </w:r>
      <w:r>
        <w:rPr>
          <w:noProof/>
          <w:u w:color="000000"/>
          <w:bdr w:val="nil"/>
        </w:rPr>
        <w:tab/>
        <w:t>Konsultacje z zainteresowanymi stronami</w:t>
      </w:r>
    </w:p>
    <w:p>
      <w:pPr>
        <w:pBdr>
          <w:top w:val="nil"/>
          <w:left w:val="nil"/>
          <w:bottom w:val="nil"/>
          <w:right w:val="nil"/>
          <w:between w:val="nil"/>
          <w:bar w:val="nil"/>
        </w:pBdr>
        <w:spacing w:before="0" w:after="240"/>
        <w:rPr>
          <w:rFonts w:eastAsia="Arial Unicode MS"/>
          <w:noProof/>
        </w:rPr>
      </w:pPr>
      <w:r>
        <w:rPr>
          <w:noProof/>
        </w:rPr>
        <w:t>W ramach oceny przeprowadzono konsultacje z państwami członkowskimi, przedstawicielami sektora, międzynarodowymi organizacjami społeczeństwa obywatelskiego, a także z administracją rybacką i społeczeństwem obywatelskim Seszeli. Przeprowadzono również konsultacje w ramach Komitetu Doradczego ds. Floty Dalekomorskiej, mianowicie przy okazji jego posiedzenia w dniu 27 marca 2019 r.</w:t>
      </w:r>
    </w:p>
    <w:p>
      <w:pPr>
        <w:pStyle w:val="ManualHeading2"/>
        <w:rPr>
          <w:rFonts w:eastAsia="Arial Unicode MS"/>
          <w:noProof/>
          <w:u w:color="000000"/>
          <w:bdr w:val="nil"/>
        </w:rPr>
      </w:pPr>
      <w:r>
        <w:rPr>
          <w:noProof/>
          <w:u w:color="000000"/>
          <w:bdr w:val="nil"/>
        </w:rPr>
        <w:t>•</w:t>
      </w:r>
      <w:r>
        <w:rPr>
          <w:noProof/>
          <w:u w:color="000000"/>
          <w:bdr w:val="nil"/>
        </w:rPr>
        <w:tab/>
        <w:t>Gromadzenie i wykorzystanie wiedzy eksperckiej</w:t>
      </w:r>
    </w:p>
    <w:p>
      <w:pPr>
        <w:spacing w:before="0" w:after="240"/>
        <w:rPr>
          <w:noProof/>
        </w:rPr>
      </w:pPr>
      <w:r>
        <w:rPr>
          <w:noProof/>
        </w:rPr>
        <w:t xml:space="preserve">Komisja zwróciła się o przeprowadzenie ocen </w:t>
      </w:r>
      <w:r>
        <w:rPr>
          <w:i/>
          <w:iCs/>
          <w:noProof/>
        </w:rPr>
        <w:t>ex post</w:t>
      </w:r>
      <w:r>
        <w:rPr>
          <w:noProof/>
        </w:rPr>
        <w:t xml:space="preserve"> i </w:t>
      </w:r>
      <w:r>
        <w:rPr>
          <w:i/>
          <w:iCs/>
          <w:noProof/>
        </w:rPr>
        <w:t>ex ante</w:t>
      </w:r>
      <w:r>
        <w:rPr>
          <w:noProof/>
        </w:rPr>
        <w:t xml:space="preserve"> do niezależnego konsultanta, zgodnie z przepisami art. 31 ust. 10 rozporządzenia ustanawiającego wspólną politykę rybołówstwa.</w:t>
      </w:r>
    </w:p>
    <w:p>
      <w:pPr>
        <w:pStyle w:val="ManualHeading2"/>
        <w:rPr>
          <w:rFonts w:eastAsia="Arial Unicode MS"/>
          <w:noProof/>
          <w:u w:color="000000"/>
          <w:bdr w:val="nil"/>
        </w:rPr>
      </w:pPr>
      <w:r>
        <w:rPr>
          <w:noProof/>
          <w:u w:color="000000"/>
          <w:bdr w:val="nil"/>
        </w:rPr>
        <w:t>•</w:t>
      </w:r>
      <w:r>
        <w:rPr>
          <w:noProof/>
          <w:u w:color="000000"/>
          <w:bdr w:val="nil"/>
        </w:rPr>
        <w:tab/>
        <w:t>Ocena skutków</w:t>
      </w:r>
    </w:p>
    <w:p>
      <w:pPr>
        <w:spacing w:before="0" w:after="240"/>
        <w:rPr>
          <w:noProof/>
        </w:rPr>
      </w:pPr>
      <w:r>
        <w:rPr>
          <w:noProof/>
        </w:rPr>
        <w:t>Nie dotyczy</w:t>
      </w:r>
    </w:p>
    <w:p>
      <w:pPr>
        <w:pStyle w:val="ManualHeading2"/>
        <w:rPr>
          <w:rFonts w:eastAsia="Arial Unicode MS"/>
          <w:noProof/>
          <w:u w:color="000000"/>
          <w:bdr w:val="nil"/>
        </w:rPr>
      </w:pPr>
      <w:r>
        <w:rPr>
          <w:noProof/>
          <w:u w:color="000000"/>
          <w:bdr w:val="nil"/>
        </w:rPr>
        <w:t>•</w:t>
      </w:r>
      <w:r>
        <w:rPr>
          <w:noProof/>
          <w:u w:color="000000"/>
          <w:bdr w:val="nil"/>
        </w:rPr>
        <w:tab/>
        <w:t>Sprawność regulacyjna i uproszczenie</w:t>
      </w:r>
    </w:p>
    <w:p>
      <w:pPr>
        <w:spacing w:before="0" w:after="240"/>
        <w:rPr>
          <w:noProof/>
        </w:rPr>
      </w:pPr>
      <w:r>
        <w:rPr>
          <w:noProof/>
        </w:rPr>
        <w:t>Nie dotyczy</w:t>
      </w:r>
    </w:p>
    <w:p>
      <w:pPr>
        <w:pStyle w:val="ManualHeading2"/>
        <w:rPr>
          <w:rFonts w:eastAsia="Arial Unicode MS"/>
          <w:noProof/>
          <w:u w:color="000000"/>
          <w:bdr w:val="nil"/>
        </w:rPr>
      </w:pPr>
      <w:r>
        <w:rPr>
          <w:noProof/>
          <w:u w:color="000000"/>
          <w:bdr w:val="nil"/>
        </w:rPr>
        <w:t>•</w:t>
      </w:r>
      <w:r>
        <w:rPr>
          <w:noProof/>
          <w:u w:color="000000"/>
          <w:bdr w:val="nil"/>
        </w:rPr>
        <w:tab/>
        <w:t>Prawa podstawowe</w:t>
      </w:r>
    </w:p>
    <w:p>
      <w:pPr>
        <w:pBdr>
          <w:top w:val="nil"/>
          <w:left w:val="nil"/>
          <w:bottom w:val="nil"/>
          <w:right w:val="nil"/>
          <w:between w:val="nil"/>
          <w:bar w:val="nil"/>
        </w:pBdr>
        <w:spacing w:before="0" w:after="240"/>
        <w:rPr>
          <w:noProof/>
        </w:rPr>
      </w:pPr>
      <w:r>
        <w:rPr>
          <w:noProof/>
        </w:rPr>
        <w:t>Wynegocjowana umowa zawiera klauzulę dotyczącą skutków naruszania praw człowieka i zasad demokracji.</w:t>
      </w:r>
    </w:p>
    <w:p>
      <w:pPr>
        <w:pStyle w:val="ManualHeading1"/>
        <w:rPr>
          <w:noProof/>
        </w:rPr>
      </w:pPr>
      <w:r>
        <w:rPr>
          <w:noProof/>
        </w:rPr>
        <w:t>4.</w:t>
      </w:r>
      <w:r>
        <w:rPr>
          <w:noProof/>
        </w:rPr>
        <w:tab/>
        <w:t>WPŁYW NA BUDŻET</w:t>
      </w:r>
    </w:p>
    <w:p>
      <w:pPr>
        <w:rPr>
          <w:rFonts w:eastAsia="Calibri"/>
          <w:noProof/>
        </w:rPr>
      </w:pPr>
      <w:r>
        <w:rPr>
          <w:noProof/>
        </w:rPr>
        <w:t>Roczną rekompensatę finansową UE w wysokości 5 300 000 EUR wyliczono na podstawie:</w:t>
      </w:r>
    </w:p>
    <w:p>
      <w:pPr>
        <w:rPr>
          <w:rFonts w:eastAsia="Calibri"/>
          <w:noProof/>
        </w:rPr>
      </w:pPr>
      <w:r>
        <w:rPr>
          <w:noProof/>
        </w:rPr>
        <w:t>a) kwoty rocznej za dostęp do zasobów rybnych na obszarze połowowym Seszeli w wysokości 2 500 000 EUR, stanowiącej równoważność pojemności referencyjnej dla gatunków daleko migrujących wynoszącej 50 000 ton rocznie,</w:t>
      </w:r>
    </w:p>
    <w:p>
      <w:pPr>
        <w:rPr>
          <w:rFonts w:eastAsia="Calibri"/>
          <w:noProof/>
        </w:rPr>
      </w:pPr>
      <w:r>
        <w:rPr>
          <w:noProof/>
        </w:rPr>
        <w:t>b) wsparcia na rozwój sektorowej polityki rybołówstwa Seszeli w wysokości 2 800 000 EUR rocznie. Wsparcie to jest zgodne z celami kompleksowego planu Seszeli w dziedzinie rybołówstwa.</w:t>
      </w:r>
    </w:p>
    <w:p>
      <w:pPr>
        <w:rPr>
          <w:noProof/>
        </w:rPr>
      </w:pPr>
      <w:r>
        <w:rPr>
          <w:noProof/>
        </w:rPr>
        <w:t>Roczną kwotę na środki na zobowiązania i na płatności ustala się w ramach rocznej procedury budżetowej, w tym na pozycję odpowiadającą rezerwom na protokoły, które nie weszły jeszcze w życie na początku roku</w:t>
      </w:r>
      <w:r>
        <w:rPr>
          <w:rStyle w:val="FootnoteReference"/>
          <w:noProof/>
        </w:rPr>
        <w:footnoteReference w:id="6"/>
      </w:r>
      <w:r>
        <w:rPr>
          <w:noProof/>
        </w:rPr>
        <w:t>.</w:t>
      </w:r>
    </w:p>
    <w:p>
      <w:pPr>
        <w:pStyle w:val="ManualHeading1"/>
        <w:rPr>
          <w:noProof/>
        </w:rPr>
      </w:pPr>
      <w:r>
        <w:rPr>
          <w:noProof/>
        </w:rPr>
        <w:lastRenderedPageBreak/>
        <w:t>5.</w:t>
      </w:r>
      <w:r>
        <w:rPr>
          <w:noProof/>
        </w:rPr>
        <w:tab/>
        <w:t>ELEMENTY FAKULTATYWNE</w:t>
      </w:r>
    </w:p>
    <w:p>
      <w:pPr>
        <w:pStyle w:val="ManualHeading2"/>
        <w:rPr>
          <w:rFonts w:eastAsia="Arial Unicode MS"/>
          <w:noProof/>
          <w:u w:color="000000"/>
          <w:bdr w:val="nil"/>
        </w:rPr>
      </w:pPr>
      <w:r>
        <w:rPr>
          <w:noProof/>
          <w:u w:color="000000"/>
          <w:bdr w:val="nil"/>
        </w:rPr>
        <w:t>•</w:t>
      </w:r>
      <w:r>
        <w:rPr>
          <w:noProof/>
          <w:u w:color="000000"/>
          <w:bdr w:val="nil"/>
        </w:rPr>
        <w:tab/>
        <w:t>Plany wdrożenia i monitorowanie, ocena i sprawozdania</w:t>
      </w:r>
    </w:p>
    <w:p>
      <w:pPr>
        <w:pBdr>
          <w:top w:val="nil"/>
          <w:left w:val="nil"/>
          <w:bottom w:val="nil"/>
          <w:right w:val="nil"/>
          <w:between w:val="nil"/>
          <w:bar w:val="nil"/>
        </w:pBdr>
        <w:spacing w:before="0" w:after="240"/>
        <w:rPr>
          <w:noProof/>
        </w:rPr>
      </w:pPr>
      <w:r>
        <w:rPr>
          <w:noProof/>
        </w:rPr>
        <w:t>Uzgodnienia dotyczące monitorowania przewidziane są w umowie o partnerstwie w sprawie zrównoważonych połowów oraz w protokole wykonawczym do niej.</w:t>
      </w:r>
    </w:p>
    <w:p>
      <w:pPr>
        <w:rPr>
          <w:noProof/>
        </w:rPr>
      </w:pPr>
      <w:r>
        <w:rPr>
          <w:noProof/>
        </w:rPr>
        <w:t>Niniejsza procedura została zainicjowana równocześnie z procedurą dotyczącą decyzji Rady w sprawie podpisania, w imieniu Unii, i tymczasowego stosowania Umowy o partnerstwie w sprawie zrównoważonych połowów między Unią Europejską a Republiką Seszeli oraz protokołu wykonawczego do tej umowy.</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2020/0002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zawarcia, w imieniu Unii, Umowy o partnerstwie w sprawie zrównoważonych połowów między Unią Europejską a Republiką Seszeli oraz protokołu wykonawczego do tej umowy (na lata 2020–2026)</w:t>
      </w:r>
    </w:p>
    <w:p>
      <w:pPr>
        <w:pStyle w:val="Institutionquiagit"/>
        <w:rPr>
          <w:noProof/>
        </w:rPr>
      </w:pPr>
      <w:r>
        <w:rPr>
          <w:noProof/>
        </w:rPr>
        <w:t>RADA UNII EUROPEJSKIEJ,</w:t>
      </w:r>
    </w:p>
    <w:p>
      <w:pPr>
        <w:rPr>
          <w:noProof/>
        </w:rPr>
      </w:pPr>
      <w:r>
        <w:rPr>
          <w:noProof/>
        </w:rPr>
        <w:t>uwzględniając Traktat o funkcjonowaniu Unii Europejskiej, w szczególności jego art. 43 ust. 2 w związku z jego art. 218 ust. 6 lit. a) ppkt (v) oraz jego art. 218 ust. 7,</w:t>
      </w:r>
    </w:p>
    <w:p>
      <w:pPr>
        <w:rPr>
          <w:noProof/>
        </w:rPr>
      </w:pPr>
      <w:r>
        <w:rPr>
          <w:noProof/>
        </w:rPr>
        <w:t>uwzględniając wniosek Komisji Europejskiej,</w:t>
      </w:r>
    </w:p>
    <w:p>
      <w:pPr>
        <w:rPr>
          <w:noProof/>
        </w:rPr>
      </w:pPr>
      <w:r>
        <w:rPr>
          <w:noProof/>
        </w:rPr>
        <w:t>uwzględniając zgodę Parlamentu Europejskiego</w:t>
      </w:r>
      <w:r>
        <w:rPr>
          <w:rStyle w:val="FootnoteReference"/>
          <w:noProof/>
        </w:rPr>
        <w:footnoteReference w:id="7"/>
      </w:r>
      <w:r>
        <w:rPr>
          <w:noProof/>
        </w:rPr>
        <w:t>,</w:t>
      </w:r>
    </w:p>
    <w:p>
      <w:pPr>
        <w:rPr>
          <w:noProof/>
        </w:rPr>
      </w:pPr>
      <w:r>
        <w:rPr>
          <w:noProof/>
        </w:rPr>
        <w:t>a także mając na uwadze, co następuje:</w:t>
      </w:r>
    </w:p>
    <w:p>
      <w:pPr>
        <w:pStyle w:val="ManualConsidrant"/>
        <w:rPr>
          <w:noProof/>
        </w:rPr>
      </w:pPr>
      <w:r>
        <w:t>(1)</w:t>
      </w:r>
      <w:r>
        <w:tab/>
      </w:r>
      <w:r>
        <w:rPr>
          <w:noProof/>
        </w:rPr>
        <w:t>Zgodnie z decyzją Rady [XXX] z dnia [...] r.</w:t>
      </w:r>
      <w:r>
        <w:rPr>
          <w:rStyle w:val="FootnoteReference"/>
          <w:noProof/>
        </w:rPr>
        <w:footnoteReference w:id="8"/>
      </w:r>
      <w:r>
        <w:rPr>
          <w:noProof/>
        </w:rPr>
        <w:t xml:space="preserve"> w dniu [...] r. podpisano Umowę o partnerstwie w sprawie zrównoważonych połowów między Unią Europejską a Republiką Seszeli (zwaną dalej „umową o partnerstwie”) oraz protokół wykonawczy (zwany dalej „protokołem”), z zastrzeżeniem ich zawarcia w późniejszym terminie.</w:t>
      </w:r>
    </w:p>
    <w:p>
      <w:pPr>
        <w:pStyle w:val="ManualConsidrant"/>
        <w:rPr>
          <w:noProof/>
        </w:rPr>
      </w:pPr>
      <w:r>
        <w:t>(2)</w:t>
      </w:r>
      <w:r>
        <w:tab/>
      </w:r>
      <w:r>
        <w:rPr>
          <w:noProof/>
        </w:rPr>
        <w:t>Umowa o partnerstwie uchyla obecną umowę o partnerstwie w sprawie połowów między Unią Europejską a Seszelami, która weszła w życie w dniu 2 listopada 2007 r. na okres sześciu lat i została automatycznie odnowiona, i która w związku z tym nadal obowiązuje.</w:t>
      </w:r>
    </w:p>
    <w:p>
      <w:pPr>
        <w:pStyle w:val="ManualConsidrant"/>
        <w:rPr>
          <w:noProof/>
        </w:rPr>
      </w:pPr>
      <w:r>
        <w:t>(3)</w:t>
      </w:r>
      <w:r>
        <w:tab/>
      </w:r>
      <w:r>
        <w:rPr>
          <w:noProof/>
        </w:rPr>
        <w:t>Celem umowy o partnerstwie i protokołu jest umożliwienie ściślejszej współpracy Unii i Republiki Seszeli w celu dalszego wspierania rozwoju zrównoważonej polityki rybołówstwa oraz odpowiedzialnej eksploatacji zasobów rybnych na obszarze połowowym Seszeli oraz na Oceanie Indyjskim.</w:t>
      </w:r>
    </w:p>
    <w:p>
      <w:pPr>
        <w:pStyle w:val="ManualConsidrant"/>
        <w:rPr>
          <w:noProof/>
        </w:rPr>
      </w:pPr>
      <w:r>
        <w:t>(4)</w:t>
      </w:r>
      <w:r>
        <w:tab/>
      </w:r>
      <w:r>
        <w:rPr>
          <w:noProof/>
        </w:rPr>
        <w:t>Umowę o partnerstwie i protokół należy zatwierdzić w imieniu Unii Europejskiej.</w:t>
      </w:r>
    </w:p>
    <w:p>
      <w:pPr>
        <w:pStyle w:val="ManualConsidrant"/>
        <w:rPr>
          <w:noProof/>
        </w:rPr>
      </w:pPr>
      <w:r>
        <w:t>(5)</w:t>
      </w:r>
      <w:r>
        <w:tab/>
      </w:r>
      <w:r>
        <w:rPr>
          <w:noProof/>
        </w:rPr>
        <w:t>W art. 12 umowy ustanowiono wspólny komitet odpowiedzialny za monitorowanie wdrażania umowy i protokołu wykonawczego do niej. Ponadto wspólny komitet może zatwierdzać określone zmiany do protokołu. W celu ułatwienia zatwierdzenia tych zmian należy upoważnić Komisję do zatwierdzania, w imieniu Unii, zmian przy zastosowaniu procedury uproszczonej, z zastrzeżeniem spełnienia określonych warunków merytorycznych i formalnych.</w:t>
      </w:r>
    </w:p>
    <w:p>
      <w:pPr>
        <w:pStyle w:val="ManualConsidrant"/>
        <w:rPr>
          <w:noProof/>
        </w:rPr>
      </w:pPr>
      <w:r>
        <w:t>(6)</w:t>
      </w:r>
      <w:r>
        <w:tab/>
      </w:r>
      <w:r>
        <w:rPr>
          <w:noProof/>
        </w:rPr>
        <w:t>Stanowisko Unii w sprawie proponowanych zmian do protokołu powinno zostać ustalone przez Radę. Należy zatwierdzić zaproponowane zmiany, chyba że sprzeciwi się temu mniejszość blokująca państw członkowskich, zgodnie z art. 16 ust. 4 Traktatu o Unii Europejskiej.</w:t>
      </w:r>
    </w:p>
    <w:p>
      <w:pPr>
        <w:pStyle w:val="ManualConsidrant"/>
        <w:rPr>
          <w:noProof/>
        </w:rPr>
      </w:pPr>
      <w:r>
        <w:t>(7)</w:t>
      </w:r>
      <w:r>
        <w:tab/>
      </w:r>
      <w:r>
        <w:rPr>
          <w:noProof/>
        </w:rPr>
        <w:t xml:space="preserve">Środki te powinny wejść w życie jak najszybciej, biorąc pod uwagę znaczenie gospodarcze działalności połowowej Unii na obszarze połowowym Seszeli oraz </w:t>
      </w:r>
      <w:r>
        <w:rPr>
          <w:noProof/>
        </w:rPr>
        <w:lastRenderedPageBreak/>
        <w:t>konieczność ograniczenia w jak największym stopniu ryzyka przerwania takich działań,</w:t>
      </w:r>
    </w:p>
    <w:p>
      <w:pPr>
        <w:pStyle w:val="Formuledadoption"/>
        <w:rPr>
          <w:noProof/>
        </w:rPr>
      </w:pPr>
      <w:r>
        <w:rPr>
          <w:noProof/>
        </w:rPr>
        <w:t>PRZYJMUJE NINIEJSZĄ DECYZJĘ:</w:t>
      </w:r>
    </w:p>
    <w:p>
      <w:pPr>
        <w:pStyle w:val="Titrearticle"/>
        <w:rPr>
          <w:noProof/>
        </w:rPr>
      </w:pPr>
      <w:r>
        <w:rPr>
          <w:noProof/>
        </w:rPr>
        <w:t>Artykuł 1</w:t>
      </w:r>
    </w:p>
    <w:p>
      <w:pPr>
        <w:rPr>
          <w:noProof/>
        </w:rPr>
      </w:pPr>
      <w:r>
        <w:rPr>
          <w:noProof/>
        </w:rPr>
        <w:t>Niniejszym zatwierdza się w imieniu Unii Umowę o partnerstwie w sprawie zrównoważonych połowów między Unią Europejską a Republiką Seszeli (zwaną dalej „umową o partnerstwie”) oraz Protokół wykonawczy do Umowy o partnerstwie w sprawie zrównoważonych połowów między Unią Europejską a Republiką Seszeli (na lata 2020–2026) („protokół”).</w:t>
      </w:r>
    </w:p>
    <w:p>
      <w:pPr>
        <w:rPr>
          <w:noProof/>
        </w:rPr>
      </w:pPr>
      <w:r>
        <w:rPr>
          <w:noProof/>
        </w:rPr>
        <w:t>Tekst umowy i protokołu stanowią załączniki I i II do niniejszej decyzji.</w:t>
      </w:r>
    </w:p>
    <w:p>
      <w:pPr>
        <w:pStyle w:val="Titrearticle"/>
        <w:rPr>
          <w:noProof/>
        </w:rPr>
      </w:pPr>
      <w:r>
        <w:rPr>
          <w:noProof/>
        </w:rPr>
        <w:t>Artykuł 2</w:t>
      </w:r>
    </w:p>
    <w:p>
      <w:pPr>
        <w:rPr>
          <w:noProof/>
        </w:rPr>
      </w:pPr>
      <w:r>
        <w:rPr>
          <w:noProof/>
        </w:rPr>
        <w:t>Zgodnie z przepisami i warunkami określonymi w załączniku III do niniejszej decyzji Komisja Europejska jest niniejszym upoważniona do zatwierdzenia, w imieniu Unii, zmian do protokołu przyjętych przez wspólny komitet powołany zgodnie z art. 12 umowy o partnerstwie w sprawie zrównoważonych połowów między Unią Europejską a Republiką Seszeli.</w:t>
      </w:r>
    </w:p>
    <w:p>
      <w:pPr>
        <w:pStyle w:val="Titrearticle"/>
        <w:rPr>
          <w:noProof/>
        </w:rPr>
      </w:pPr>
      <w:r>
        <w:rPr>
          <w:noProof/>
        </w:rPr>
        <w:t>Artykuł 3</w:t>
      </w:r>
    </w:p>
    <w:p>
      <w:pPr>
        <w:rPr>
          <w:noProof/>
        </w:rPr>
      </w:pPr>
      <w:r>
        <w:rPr>
          <w:noProof/>
        </w:rPr>
        <w:t>Przewodniczący Rady wyznacza osobę lub osoby uprawnione do dokonania, w imieniu Unii, powiadomienia przewidzianego odpowiednio w art. 19 umowy o partnerstwie oraz w art. 17 protokołu w celu wyrażenia zgody Unii na to, aby umowa o partnerstwie i protokół stały się dla niej wiążące.</w:t>
      </w:r>
    </w:p>
    <w:p>
      <w:pPr>
        <w:pStyle w:val="Titrearticle"/>
        <w:rPr>
          <w:noProof/>
        </w:rPr>
      </w:pPr>
      <w:r>
        <w:rPr>
          <w:noProof/>
        </w:rPr>
        <w:t>Artykuł 4</w:t>
      </w:r>
    </w:p>
    <w:p>
      <w:pPr>
        <w:keepLines/>
        <w:rPr>
          <w:i/>
          <w:noProof/>
        </w:rPr>
      </w:pPr>
      <w:r>
        <w:rPr>
          <w:noProof/>
        </w:rPr>
        <w:t>Niniejsza decyzja wchodzi w życie następnego dnia po jej opublikowaniu w </w:t>
      </w:r>
      <w:r>
        <w:rPr>
          <w:i/>
          <w:noProof/>
        </w:rPr>
        <w:t>Dzienniku Urzędowym Unii Europejskiej</w:t>
      </w:r>
      <w:r>
        <w:rPr>
          <w:noProof/>
        </w:rPr>
        <w:t>.</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p>
      <w:pPr>
        <w:spacing w:before="0" w:after="200" w:line="276" w:lineRule="auto"/>
        <w:jc w:val="left"/>
        <w:rPr>
          <w:noProof/>
        </w:rPr>
      </w:pPr>
      <w:r>
        <w:rPr>
          <w:noProof/>
        </w:rPr>
        <w:br w:type="page"/>
      </w:r>
    </w:p>
    <w:p>
      <w:pPr>
        <w:pStyle w:val="Fichefinanciretitre"/>
        <w:rPr>
          <w:noProof/>
        </w:rPr>
      </w:pPr>
      <w:r>
        <w:rPr>
          <w:noProof/>
        </w:rPr>
        <w:lastRenderedPageBreak/>
        <w:t>OCENA SKUTKÓW FINANSOWYCH REGULACJI</w:t>
      </w:r>
    </w:p>
    <w:p>
      <w:pPr>
        <w:pStyle w:val="ManualHeading1"/>
        <w:rPr>
          <w:noProof/>
        </w:rPr>
      </w:pPr>
      <w:r>
        <w:rPr>
          <w:noProof/>
        </w:rPr>
        <w:t>1.</w:t>
      </w:r>
      <w:r>
        <w:rPr>
          <w:noProof/>
        </w:rPr>
        <w:tab/>
        <w:t>STRUKTURA WNIOSKU/INICJATYWY</w:t>
      </w:r>
    </w:p>
    <w:p>
      <w:pPr>
        <w:pStyle w:val="ManualHeading2"/>
        <w:rPr>
          <w:noProof/>
        </w:rPr>
      </w:pPr>
      <w:r>
        <w:rPr>
          <w:noProof/>
        </w:rPr>
        <w:t>1.1.</w:t>
      </w:r>
      <w:r>
        <w:rPr>
          <w:noProof/>
        </w:rPr>
        <w:tab/>
        <w:t>Tytuł wniosku/inicjatywy</w:t>
      </w:r>
    </w:p>
    <w:p>
      <w:pPr>
        <w:pStyle w:val="Text1"/>
        <w:pBdr>
          <w:top w:val="single" w:sz="4" w:space="1" w:color="auto"/>
          <w:left w:val="single" w:sz="4" w:space="4" w:color="auto"/>
          <w:bottom w:val="single" w:sz="4" w:space="1" w:color="auto"/>
          <w:right w:val="single" w:sz="4" w:space="4" w:color="auto"/>
        </w:pBdr>
        <w:rPr>
          <w:noProof/>
        </w:rPr>
      </w:pPr>
      <w:r>
        <w:rPr>
          <w:noProof/>
        </w:rPr>
        <w:t>Wniosek dotyczący decyzji Rady w sprawie podpisania, w imieniu Unii, i tymczasowego stosowania Umowy o partnerstwie w sprawie zrównoważonych połowów między Unią Europejską a Republiką Seszeli oraz protokołu wykonawczego do tej umowy (na lata 2020–2026)</w:t>
      </w:r>
    </w:p>
    <w:p>
      <w:pPr>
        <w:pStyle w:val="ManualHeading2"/>
        <w:rPr>
          <w:noProof/>
        </w:rPr>
      </w:pPr>
      <w:r>
        <w:rPr>
          <w:noProof/>
        </w:rPr>
        <w:t>1.2.</w:t>
      </w:r>
      <w:r>
        <w:rPr>
          <w:noProof/>
        </w:rPr>
        <w:tab/>
        <w:t>Dziedziny polityki,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11 – Gospodarka morska i rybołówstwo</w:t>
      </w:r>
    </w:p>
    <w:p>
      <w:pPr>
        <w:pStyle w:val="Text1"/>
        <w:pBdr>
          <w:top w:val="single" w:sz="4" w:space="1" w:color="auto"/>
          <w:left w:val="single" w:sz="4" w:space="4" w:color="auto"/>
          <w:bottom w:val="single" w:sz="4" w:space="1" w:color="auto"/>
          <w:right w:val="single" w:sz="4" w:space="4" w:color="auto"/>
        </w:pBdr>
        <w:rPr>
          <w:noProof/>
        </w:rPr>
      </w:pPr>
      <w:r>
        <w:rPr>
          <w:noProof/>
        </w:rPr>
        <w:t>11.03 – Obowiązkowe składki na regionalne organizacje ds. zarządzania rybołówstwem (RFMO) oraz na rzecz innych organizacji międzynarodowych i w ramach innych umów o partnerstwie sprawie zrównoważonych połowów</w:t>
      </w:r>
    </w:p>
    <w:p>
      <w:pPr>
        <w:pStyle w:val="Text1"/>
        <w:pBdr>
          <w:top w:val="single" w:sz="4" w:space="1" w:color="auto"/>
          <w:left w:val="single" w:sz="4" w:space="4" w:color="auto"/>
          <w:bottom w:val="single" w:sz="4" w:space="1" w:color="auto"/>
          <w:right w:val="single" w:sz="4" w:space="4" w:color="auto"/>
        </w:pBdr>
        <w:rPr>
          <w:noProof/>
        </w:rPr>
      </w:pPr>
      <w:r>
        <w:rPr>
          <w:noProof/>
        </w:rPr>
        <w:t>11.03.01 – Ustanowienie ram zarządzania działalnością połowową prowadzoną przez unijne statki rybackie w wodach państw trzecich</w:t>
      </w:r>
    </w:p>
    <w:p>
      <w:pPr>
        <w:pStyle w:val="ManualHeading2"/>
        <w:rPr>
          <w:noProof/>
          <w:szCs w:val="24"/>
        </w:rPr>
      </w:pPr>
      <w:r>
        <w:rPr>
          <w:noProof/>
        </w:rPr>
        <w:t>1.3.</w:t>
      </w:r>
      <w:r>
        <w:rPr>
          <w:noProof/>
        </w:rPr>
        <w:tab/>
        <w:t>Wniosek/inicjatywa dotyczy:</w:t>
      </w:r>
    </w:p>
    <w:p>
      <w:pPr>
        <w:pStyle w:val="Text1"/>
        <w:rPr>
          <w:b/>
          <w:noProof/>
          <w:sz w:val="22"/>
        </w:rPr>
      </w:pPr>
      <w:r>
        <w:rPr>
          <w:b/>
          <w:noProof/>
          <w:sz w:val="22"/>
        </w:rPr>
        <w:t>X</w:t>
      </w:r>
      <w:r>
        <w:rPr>
          <w:b/>
          <w:i/>
          <w:noProof/>
          <w:sz w:val="22"/>
        </w:rPr>
        <w:t xml:space="preserve"> </w:t>
      </w:r>
      <w:r>
        <w:rPr>
          <w:b/>
          <w:noProof/>
        </w:rPr>
        <w:t>nowego działania</w:t>
      </w:r>
    </w:p>
    <w:p>
      <w:pPr>
        <w:pStyle w:val="Text1"/>
        <w:rPr>
          <w:noProof/>
          <w:sz w:val="22"/>
        </w:rPr>
      </w:pPr>
      <w:r>
        <w:rPr>
          <w:noProof/>
          <w:sz w:val="22"/>
        </w:rPr>
        <w:sym w:font="Wingdings" w:char="F0A8"/>
      </w:r>
      <w:r>
        <w:rPr>
          <w:i/>
          <w:noProof/>
          <w:sz w:val="22"/>
        </w:rPr>
        <w:t xml:space="preserve"> </w:t>
      </w:r>
      <w:r>
        <w:rPr>
          <w:b/>
          <w:noProof/>
        </w:rPr>
        <w:t>nowego działania, będącego następstwem projektu pilotażowego/działania przygotowawczego</w:t>
      </w:r>
      <w:r>
        <w:rPr>
          <w:rStyle w:val="FootnoteReference"/>
          <w:b/>
          <w:noProof/>
        </w:rPr>
        <w:footnoteReference w:id="9"/>
      </w:r>
    </w:p>
    <w:p>
      <w:pPr>
        <w:pStyle w:val="Text1"/>
        <w:rPr>
          <w:noProof/>
          <w:sz w:val="22"/>
        </w:rPr>
      </w:pPr>
      <w:r>
        <w:rPr>
          <w:noProof/>
          <w:sz w:val="22"/>
        </w:rPr>
        <w:sym w:font="Wingdings" w:char="F0A8"/>
      </w:r>
      <w:r>
        <w:rPr>
          <w:i/>
          <w:noProof/>
          <w:sz w:val="22"/>
        </w:rPr>
        <w:t xml:space="preserve"> </w:t>
      </w:r>
      <w:r>
        <w:rPr>
          <w:b/>
          <w:noProof/>
        </w:rPr>
        <w:t>przedłużenia bieżącego działania</w:t>
      </w:r>
    </w:p>
    <w:p>
      <w:pPr>
        <w:pStyle w:val="Text1"/>
        <w:rPr>
          <w:noProof/>
        </w:rPr>
      </w:pPr>
      <w:r>
        <w:rPr>
          <w:noProof/>
          <w:sz w:val="22"/>
        </w:rPr>
        <w:sym w:font="Wingdings" w:char="F0A8"/>
      </w:r>
      <w:r>
        <w:rPr>
          <w:i/>
          <w:noProof/>
          <w:sz w:val="22"/>
        </w:rPr>
        <w:t xml:space="preserve"> </w:t>
      </w:r>
      <w:r>
        <w:rPr>
          <w:b/>
          <w:noProof/>
        </w:rPr>
        <w:t>połączenia lub przekształcenia co najmniej jednego działania pod kątem innego/nowego działania</w:t>
      </w:r>
    </w:p>
    <w:p>
      <w:pPr>
        <w:pStyle w:val="ManualHeading2"/>
        <w:rPr>
          <w:noProof/>
          <w:szCs w:val="24"/>
        </w:rPr>
      </w:pPr>
      <w:r>
        <w:rPr>
          <w:noProof/>
        </w:rPr>
        <w:t>1.4.</w:t>
      </w:r>
      <w:r>
        <w:rPr>
          <w:noProof/>
        </w:rPr>
        <w:tab/>
        <w:t>Cel(e)</w:t>
      </w:r>
    </w:p>
    <w:p>
      <w:pPr>
        <w:pStyle w:val="ManualHeading3"/>
        <w:rPr>
          <w:noProof/>
        </w:rPr>
      </w:pPr>
      <w:r>
        <w:rPr>
          <w:noProof/>
        </w:rPr>
        <w:t>1.4.1.</w:t>
      </w:r>
      <w:r>
        <w:rPr>
          <w:noProof/>
        </w:rPr>
        <w:tab/>
        <w:t>Cel(e) ogólny(e)</w:t>
      </w:r>
    </w:p>
    <w:p>
      <w:pPr>
        <w:pStyle w:val="Text1"/>
        <w:pBdr>
          <w:top w:val="single" w:sz="4" w:space="1" w:color="auto"/>
          <w:left w:val="single" w:sz="4" w:space="4" w:color="auto"/>
          <w:bottom w:val="single" w:sz="4" w:space="1" w:color="auto"/>
          <w:right w:val="single" w:sz="4" w:space="4" w:color="auto"/>
        </w:pBdr>
        <w:rPr>
          <w:noProof/>
        </w:rPr>
      </w:pPr>
      <w:r>
        <w:rPr>
          <w:noProof/>
        </w:rPr>
        <w:t>Negocjowanie i zawieranie umów o partnerstwie w sprawie zrównoważonych połowów z państwami trzecimi służy realizacji ogólnego celu, polegającego na zapewnieniu unijnym statkom rybackim dostępu do obszarów połowowych państw trzecich oraz rozwijaniu stosunków partnerskich z tymi państwami, z zamiarem wzmocnienia zrównoważonego wykorzystania zasobów rybnych poza wodami Unii Europejskiej.</w:t>
      </w:r>
    </w:p>
    <w:p>
      <w:pPr>
        <w:pStyle w:val="Text1"/>
        <w:pBdr>
          <w:top w:val="single" w:sz="4" w:space="1" w:color="auto"/>
          <w:left w:val="single" w:sz="4" w:space="4" w:color="auto"/>
          <w:bottom w:val="single" w:sz="4" w:space="1" w:color="auto"/>
          <w:right w:val="single" w:sz="4" w:space="4" w:color="auto"/>
        </w:pBdr>
        <w:rPr>
          <w:noProof/>
        </w:rPr>
      </w:pPr>
      <w:r>
        <w:rPr>
          <w:noProof/>
        </w:rPr>
        <w:t>Umowy o partnerstwie w sprawie zrównoważonych połowów zapewniają również spójność zasad wspólnej polityki rybołówstwa ze zobowiązaniami wpisanymi w inne polityki europejskie (zrównoważone wykorzystanie zasobów państw trzecich, zwalczanie nielegalnych, nieraportowanych i nieuregulowanych połowów, włączanie krajów partnerskich w gospodarkę globalną, wkład w zrównoważony rozwój we wszystkich jego wymiarach jak również lepsze zarządzanie rybołówstwem w wymiarze politycznym i finansowym).</w:t>
      </w:r>
    </w:p>
    <w:p>
      <w:pPr>
        <w:pStyle w:val="ManualHeading3"/>
        <w:rPr>
          <w:bCs/>
          <w:noProof/>
          <w:szCs w:val="24"/>
        </w:rPr>
      </w:pPr>
      <w:r>
        <w:rPr>
          <w:noProof/>
        </w:rPr>
        <w:t>1.4.2.</w:t>
      </w:r>
      <w:r>
        <w:rPr>
          <w:noProof/>
        </w:rPr>
        <w:tab/>
        <w:t>Cel(e) szczegółowy(e)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 1:</w:t>
      </w:r>
    </w:p>
    <w:p>
      <w:pPr>
        <w:pStyle w:val="Text1"/>
        <w:pBdr>
          <w:top w:val="single" w:sz="4" w:space="1" w:color="auto"/>
          <w:left w:val="single" w:sz="4" w:space="4" w:color="auto"/>
          <w:bottom w:val="single" w:sz="4" w:space="1" w:color="auto"/>
          <w:right w:val="single" w:sz="4" w:space="4" w:color="auto"/>
        </w:pBdr>
        <w:rPr>
          <w:noProof/>
        </w:rPr>
      </w:pPr>
      <w:r>
        <w:rPr>
          <w:noProof/>
        </w:rPr>
        <w:t>Przyczynienie się do zrównoważonych połowów w wodach niebędących wodami Unii, utrzymanie obecności europejskiej na oddalonych łowiskach oraz ochrona interesów europejskiego sektora gospodarki rybnej i konsumentów poprzez negocjowanie i zawieranie umów o partnerstwie w sprawie zrównoważonych połowów z państwami nadbrzeżnymi w sposób spójny z polityką europejską w innych dziedzinach.</w:t>
      </w:r>
    </w:p>
    <w:p>
      <w:pPr>
        <w:pStyle w:val="ManualHeading3"/>
        <w:rPr>
          <w:noProof/>
        </w:rPr>
      </w:pPr>
      <w:r>
        <w:rPr>
          <w:noProof/>
        </w:rPr>
        <w:t>1.4.3.</w:t>
      </w:r>
      <w:r>
        <w:rPr>
          <w:noProof/>
        </w:rPr>
        <w:tab/>
        <w:t>Oczekiwane wyniki i wpływ</w:t>
      </w:r>
    </w:p>
    <w:p>
      <w:pPr>
        <w:pStyle w:val="Text1"/>
        <w:rPr>
          <w:i/>
          <w:noProof/>
          <w:sz w:val="20"/>
        </w:rPr>
      </w:pPr>
      <w:r>
        <w:rPr>
          <w:i/>
          <w:noProof/>
          <w:sz w:val="20"/>
        </w:rPr>
        <w:t>Należy wskazać, jakie efekty przyniesie wniosek/inicjatywa beneficjentom/grupie docelowej.</w:t>
      </w:r>
    </w:p>
    <w:p>
      <w:pPr>
        <w:pStyle w:val="Text1"/>
        <w:pBdr>
          <w:top w:val="single" w:sz="4" w:space="1" w:color="auto"/>
          <w:left w:val="single" w:sz="4" w:space="4" w:color="auto"/>
          <w:bottom w:val="single" w:sz="4" w:space="1" w:color="auto"/>
          <w:right w:val="single" w:sz="4" w:space="4" w:color="auto"/>
        </w:pBdr>
        <w:rPr>
          <w:noProof/>
        </w:rPr>
      </w:pPr>
      <w:r>
        <w:rPr>
          <w:noProof/>
        </w:rPr>
        <w:t>Zawarcie umowy i protokołu wykonawczego do niej umożliwia kontynuację i wzmocnienie strategicznego partnerstwa w sprawie połowów między Unią Europejską a Seszelami. Dzięki zawarciu protokołu statki unijne uzyskają uprawnienia do połowów na obszarze połowowym Seszeli.</w:t>
      </w:r>
    </w:p>
    <w:p>
      <w:pPr>
        <w:pStyle w:val="Text1"/>
        <w:pBdr>
          <w:top w:val="single" w:sz="4" w:space="1" w:color="auto"/>
          <w:left w:val="single" w:sz="4" w:space="4" w:color="auto"/>
          <w:bottom w:val="single" w:sz="4" w:space="1" w:color="auto"/>
          <w:right w:val="single" w:sz="4" w:space="4" w:color="auto"/>
        </w:pBdr>
        <w:rPr>
          <w:noProof/>
        </w:rPr>
      </w:pPr>
      <w:r>
        <w:rPr>
          <w:noProof/>
        </w:rPr>
        <w:t>Umowa i protokół przyczyniają się również do lepszego zarządzania zasobami rybnymi i do ich ochrony dzięki wsparciu finansowemu (wsparcie sektorowe) na rzecz realizacji programów przyjętych na poziomie krajowym przez państwo partnerskie, w szczególności kompleksowego planu w dziedzinie rybołówstwa, monitorowania oraz zwalczania nielegalnych połowów oraz wsparcia na rzecz sektora tradycyjnego łodziowego rybołówstwa przybrzeżnego.</w:t>
      </w:r>
    </w:p>
    <w:p>
      <w:pPr>
        <w:pStyle w:val="Text1"/>
        <w:pBdr>
          <w:top w:val="single" w:sz="4" w:space="1" w:color="auto"/>
          <w:left w:val="single" w:sz="4" w:space="4" w:color="auto"/>
          <w:bottom w:val="single" w:sz="4" w:space="1" w:color="auto"/>
          <w:right w:val="single" w:sz="4" w:space="4" w:color="auto"/>
        </w:pBdr>
        <w:rPr>
          <w:noProof/>
        </w:rPr>
      </w:pPr>
      <w:r>
        <w:rPr>
          <w:noProof/>
        </w:rPr>
        <w:t>Wreszcie umowa i protokół przyczynią się do zrównoważonej eksploatacji zasobów morskich Seszeli oraz do rozwoju gospodarki rybnej Seszeli poprzez wspieranie wzrostu gospodarczego i godnych warunków pracy związanych z działalnością gospodarczą w zakresie rybołówstwa.</w:t>
      </w:r>
    </w:p>
    <w:p>
      <w:pPr>
        <w:pStyle w:val="ManualHeading3"/>
        <w:rPr>
          <w:noProof/>
          <w:szCs w:val="24"/>
        </w:rPr>
      </w:pPr>
      <w:r>
        <w:rPr>
          <w:noProof/>
        </w:rPr>
        <w:t>1.4.4.</w:t>
      </w:r>
      <w:r>
        <w:rPr>
          <w:noProof/>
        </w:rPr>
        <w:tab/>
        <w:t>Wskaźniki dotyczące realizacji celów</w:t>
      </w:r>
    </w:p>
    <w:p>
      <w:pPr>
        <w:pStyle w:val="Text1"/>
        <w:rPr>
          <w:i/>
          <w:noProof/>
          <w:sz w:val="20"/>
        </w:rPr>
      </w:pPr>
      <w:r>
        <w:rPr>
          <w:i/>
          <w:noProof/>
          <w:sz w:val="20"/>
        </w:rPr>
        <w:t>Należy wskazać wskaźniki stosowane do monitorowania postępów i osiągnięć.</w:t>
      </w:r>
    </w:p>
    <w:p>
      <w:pPr>
        <w:pStyle w:val="Text1"/>
        <w:pBdr>
          <w:top w:val="single" w:sz="4" w:space="1" w:color="auto"/>
          <w:left w:val="single" w:sz="4" w:space="4" w:color="auto"/>
          <w:bottom w:val="single" w:sz="4" w:space="1" w:color="auto"/>
          <w:right w:val="single" w:sz="4" w:space="4" w:color="auto"/>
        </w:pBdr>
        <w:rPr>
          <w:noProof/>
        </w:rPr>
      </w:pPr>
      <w:r>
        <w:rPr>
          <w:noProof/>
        </w:rPr>
        <w:t>Stopień wykorzystania uprawnień do połowów (roczne wykorzystanie upoważnień do połowów jako odsetek możliwości, jakie stwarza protokół);</w:t>
      </w:r>
    </w:p>
    <w:p>
      <w:pPr>
        <w:pStyle w:val="Text1"/>
        <w:pBdr>
          <w:top w:val="single" w:sz="4" w:space="1" w:color="auto"/>
          <w:left w:val="single" w:sz="4" w:space="4" w:color="auto"/>
          <w:bottom w:val="single" w:sz="4" w:space="1" w:color="auto"/>
          <w:right w:val="single" w:sz="4" w:space="4" w:color="auto"/>
        </w:pBdr>
        <w:rPr>
          <w:noProof/>
        </w:rPr>
      </w:pPr>
      <w:r>
        <w:rPr>
          <w:noProof/>
        </w:rPr>
        <w:t>gromadzenie i analiza danych dotyczących połowów i wartości handlowej umowy;</w:t>
      </w:r>
    </w:p>
    <w:p>
      <w:pPr>
        <w:pStyle w:val="Text1"/>
        <w:pBdr>
          <w:top w:val="single" w:sz="4" w:space="1" w:color="auto"/>
          <w:left w:val="single" w:sz="4" w:space="4" w:color="auto"/>
          <w:bottom w:val="single" w:sz="4" w:space="1" w:color="auto"/>
          <w:right w:val="single" w:sz="4" w:space="4" w:color="auto"/>
        </w:pBdr>
        <w:rPr>
          <w:noProof/>
        </w:rPr>
      </w:pPr>
      <w:r>
        <w:rPr>
          <w:noProof/>
        </w:rPr>
        <w:t>wkład w zatrudnienie, stworzenie godnych warunków pracy w sektorze gospodarki rybnej i wartość dodaną w UE, wkład w stabilizację rynku unijnego (na poziomie zagregowanym z innymi umowami o partnerstwie w sprawie zrównoważonych połowów);</w:t>
      </w:r>
    </w:p>
    <w:p>
      <w:pPr>
        <w:pStyle w:val="Text1"/>
        <w:pBdr>
          <w:top w:val="single" w:sz="4" w:space="1" w:color="auto"/>
          <w:left w:val="single" w:sz="4" w:space="4" w:color="auto"/>
          <w:bottom w:val="single" w:sz="4" w:space="1" w:color="auto"/>
          <w:right w:val="single" w:sz="4" w:space="4" w:color="auto"/>
        </w:pBdr>
        <w:rPr>
          <w:noProof/>
        </w:rPr>
      </w:pPr>
      <w:r>
        <w:rPr>
          <w:noProof/>
        </w:rPr>
        <w:t>przyczynianie się do poprawy jakości badań naukowych, monitorowania i kontroli działalności połowowej przez państwo partnerskie i rozwoju jego sektora gospodarki rybnej, w tym tradycyjnego łodziowego rybołówstwa przybrzeżnego.</w:t>
      </w:r>
    </w:p>
    <w:p>
      <w:pPr>
        <w:pStyle w:val="ManualHeading2"/>
        <w:rPr>
          <w:noProof/>
        </w:rPr>
      </w:pPr>
      <w:r>
        <w:rPr>
          <w:noProof/>
        </w:rPr>
        <w:t>1.5.</w:t>
      </w:r>
      <w:r>
        <w:rPr>
          <w:noProof/>
        </w:rPr>
        <w:tab/>
        <w:t>Uzasadnienie wniosku/inicjatywy</w:t>
      </w:r>
    </w:p>
    <w:p>
      <w:pPr>
        <w:pStyle w:val="ManualHeading3"/>
        <w:rPr>
          <w:noProof/>
        </w:rPr>
      </w:pPr>
      <w:r>
        <w:rPr>
          <w:noProof/>
        </w:rPr>
        <w:t>1.5.1.</w:t>
      </w:r>
      <w:r>
        <w:rPr>
          <w:noProof/>
        </w:rPr>
        <w:tab/>
        <w:t>Potrzeby, które należy zaspokoić w perspektywie krótko- lub długoterminowej, w tym szczegółowy terminarz przebiegu realizacji inicjatywy</w:t>
      </w:r>
    </w:p>
    <w:p>
      <w:pPr>
        <w:pStyle w:val="Text1"/>
        <w:pBdr>
          <w:top w:val="single" w:sz="4" w:space="1" w:color="auto"/>
          <w:left w:val="single" w:sz="4" w:space="4" w:color="auto"/>
          <w:bottom w:val="single" w:sz="4" w:space="1" w:color="auto"/>
          <w:right w:val="single" w:sz="4" w:space="4" w:color="auto"/>
        </w:pBdr>
        <w:rPr>
          <w:noProof/>
        </w:rPr>
      </w:pPr>
      <w:r>
        <w:rPr>
          <w:noProof/>
        </w:rPr>
        <w:t>Przewiduje się tymczasowe stosowanie nowej umowy i protokołu wykonawczego od dnia ich podpisania, tak aby ograniczyć przerywanie działalności połowowej prowadzonej w ramach obowiązującego protokołu.</w:t>
      </w:r>
    </w:p>
    <w:p>
      <w:pPr>
        <w:pStyle w:val="Text1"/>
        <w:pBdr>
          <w:top w:val="single" w:sz="4" w:space="1" w:color="auto"/>
          <w:left w:val="single" w:sz="4" w:space="4" w:color="auto"/>
          <w:bottom w:val="single" w:sz="4" w:space="1" w:color="auto"/>
          <w:right w:val="single" w:sz="4" w:space="4" w:color="auto"/>
        </w:pBdr>
        <w:rPr>
          <w:noProof/>
        </w:rPr>
      </w:pPr>
      <w:r>
        <w:rPr>
          <w:noProof/>
        </w:rPr>
        <w:t>Nowa umowa i protokół stworzą ramy działalności połowowej floty unijnej na obszarze połowowym Seszeli oraz umożliwią właścicielom statków unijnych składanie wniosków o wydanie upoważnień do połowów pozwalających im na połowy na tym obszarze. Ponadto nowa umowa i protokół wzmocnią współpracę między UE a Seszelami w celu propagowania zrównoważonej polityki rybołówstwa we wszystkich jej wymiarach. Przewidziano w nim między innymi monitorowanie statków za pomocą VMS oraz elektroniczne przekazywanie danych o połowach. Wsparcie sektorowe dostępne na mocy protokołu pomoże Seszelom we wdrażaniu krajowej strategii w zakresie rybołówstwa, w tym w zwalczaniu połowów NNN, przy jednoczesnym propagowaniu godnych warunków pracy w obszarze działalności połowowej.</w:t>
      </w:r>
    </w:p>
    <w:p>
      <w:pPr>
        <w:pStyle w:val="ManualHeading3"/>
        <w:rPr>
          <w:bCs/>
          <w:noProof/>
          <w:szCs w:val="24"/>
        </w:rPr>
      </w:pPr>
      <w:r>
        <w:rPr>
          <w:noProof/>
        </w:rPr>
        <w:t>1.5.2.</w:t>
      </w:r>
      <w:r>
        <w:rPr>
          <w:noProof/>
        </w:rPr>
        <w:tab/>
        <w:t>Wartość dodana z tytułu zaangażowania Unii Europejskiej (może wynikać z różnych czynników, na przykład korzyści koordynacyjnych, pewności prawa, większej efektywności lub komplementarności). Na potrzeby tego punktu „wartość dodaną z tytułu zaangażowania Unii” należy rozumieć jako wartość wynikającą z unijnej interwencji, wykraczającą poza wartość, która zostałaby wytworzona przez same państwa członkowskie.</w:t>
      </w:r>
    </w:p>
    <w:p>
      <w:pPr>
        <w:pStyle w:val="Text1"/>
        <w:pBdr>
          <w:top w:val="single" w:sz="4" w:space="1" w:color="auto"/>
          <w:left w:val="single" w:sz="4" w:space="4" w:color="auto"/>
          <w:bottom w:val="single" w:sz="4" w:space="1" w:color="auto"/>
          <w:right w:val="single" w:sz="4" w:space="4" w:color="auto"/>
        </w:pBdr>
        <w:rPr>
          <w:noProof/>
        </w:rPr>
      </w:pPr>
      <w:r>
        <w:rPr>
          <w:noProof/>
        </w:rPr>
        <w:t>Jeżeli Unia nie zawrze nowej umowy i protokołu, statki unijne nie będą mogły prowadzić działalności połowowej, gdyż obecnie obowiązująca umowa zawiera klauzulę wykluczającą prowadzenie działalności połowowej poza ramami określonymi w protokole do umowy. Wartość dodana dla unijnej floty dalekomorskiej jest zatem oczywista. Protokół stwarza również ramy ściślejszej współpracy między Unią a Seszelami.</w:t>
      </w:r>
    </w:p>
    <w:p>
      <w:pPr>
        <w:pStyle w:val="ManualHeading3"/>
        <w:rPr>
          <w:noProof/>
        </w:rPr>
      </w:pPr>
      <w:r>
        <w:rPr>
          <w:noProof/>
        </w:rPr>
        <w:t>1.5.3.</w:t>
      </w:r>
      <w:r>
        <w:rPr>
          <w:noProof/>
        </w:rPr>
        <w:tab/>
        <w:t>Główne wnioski wyciągnięte z podobnych działań</w:t>
      </w:r>
    </w:p>
    <w:p>
      <w:pPr>
        <w:pStyle w:val="Text1"/>
        <w:pBdr>
          <w:top w:val="single" w:sz="4" w:space="1" w:color="auto"/>
          <w:left w:val="single" w:sz="4" w:space="4" w:color="auto"/>
          <w:bottom w:val="single" w:sz="4" w:space="1" w:color="auto"/>
          <w:right w:val="single" w:sz="4" w:space="4" w:color="auto"/>
        </w:pBdr>
        <w:rPr>
          <w:noProof/>
        </w:rPr>
      </w:pPr>
      <w:r>
        <w:rPr>
          <w:noProof/>
        </w:rPr>
        <w:t>Analiza historycznych poziomów połowów na obszarze połowowym Seszeli, dostępne oceny i opinie naukowe doprowadziły do ustalenia przez strony pojemności referencyjnej w odniesieniu do tuńczyka i ryb tuńczykowych na poziomie 50 000 ton rocznie w ramach uprawnień do połowów dla 40 sejnerów do połowu tuńczyków przy użyciu okrężnicy i 8 taklowców powierzchniowych. Wsparcie sektorowe zostało ustalone na wysokim poziomie w celu uwzględnienia priorytetów krajowej strategii w zakresie rybołówstwa, a w szczególności kompleksowego planu w dziedzinie rybołówstwa.</w:t>
      </w:r>
    </w:p>
    <w:p>
      <w:pPr>
        <w:pStyle w:val="ManualHeading3"/>
        <w:rPr>
          <w:noProof/>
        </w:rPr>
      </w:pPr>
      <w:r>
        <w:rPr>
          <w:noProof/>
        </w:rPr>
        <w:t>1.5.4.</w:t>
      </w:r>
      <w:r>
        <w:rPr>
          <w:noProof/>
        </w:rPr>
        <w:tab/>
        <w:t>Spójność z wieloletnimi ramami finansowymi oraz możliwa synergia z innymi właściwymi instrumentami</w:t>
      </w:r>
    </w:p>
    <w:p>
      <w:pPr>
        <w:pStyle w:val="Text1"/>
        <w:pBdr>
          <w:top w:val="single" w:sz="4" w:space="1" w:color="auto"/>
          <w:left w:val="single" w:sz="4" w:space="4" w:color="auto"/>
          <w:bottom w:val="single" w:sz="4" w:space="1" w:color="auto"/>
          <w:right w:val="single" w:sz="4" w:space="4" w:color="auto"/>
        </w:pBdr>
        <w:rPr>
          <w:noProof/>
        </w:rPr>
      </w:pPr>
      <w:r>
        <w:rPr>
          <w:noProof/>
        </w:rPr>
        <w:t>Środki finansowe przyznane z tytułu rekompensaty finansowej za dostęp w ramach umowy o partnerstwie w sprawie zrównoważonych połowów stanowią przychód o charakterze zamiennym w budżecie Seszeli. Środki finansowe przeznaczone na wsparcie sektorowe są przyznawane (na ogół poprzez wpisanie do rocznej ustawy budżetowej) ministerstwu odpowiedzialnemu za rybołówstwo, gdyż jest to warunek zawarcia i wykonania umów o partnerstwie w sprawie zrównoważonych połowów. Te zasoby finansowe są kompatybilne z innymi źródłami finansowania, pochodzącymi od innych międzynarodowych podmiotów finansujących realizację projektów lub programów w sektorze gospodarki rybnej na poziomie krajowym.</w:t>
      </w:r>
    </w:p>
    <w:p>
      <w:pPr>
        <w:pStyle w:val="ManualHeading3"/>
        <w:rPr>
          <w:noProof/>
        </w:rPr>
      </w:pPr>
      <w:r>
        <w:rPr>
          <w:noProof/>
        </w:rPr>
        <w:t>1.5.5.</w:t>
      </w:r>
      <w:r>
        <w:rPr>
          <w:noProof/>
        </w:rPr>
        <w:tab/>
        <w:t>Ocena różnych dostępnych możliwości finansowania, w tym zakresu przegrupowania środków</w:t>
      </w:r>
    </w:p>
    <w:p>
      <w:pPr>
        <w:pStyle w:val="Text1"/>
        <w:pBdr>
          <w:top w:val="single" w:sz="4" w:space="1" w:color="auto"/>
          <w:left w:val="single" w:sz="4" w:space="4" w:color="auto"/>
          <w:bottom w:val="single" w:sz="4" w:space="1" w:color="auto"/>
          <w:right w:val="single" w:sz="4" w:space="4" w:color="auto"/>
        </w:pBdr>
        <w:rPr>
          <w:noProof/>
        </w:rPr>
      </w:pPr>
      <w:r>
        <w:rPr>
          <w:noProof/>
        </w:rPr>
        <w:t>Nie dotyczy</w:t>
      </w:r>
    </w:p>
    <w:p>
      <w:pPr>
        <w:pStyle w:val="Text1"/>
        <w:rPr>
          <w:noProof/>
        </w:rPr>
      </w:pPr>
    </w:p>
    <w:p>
      <w:pPr>
        <w:pStyle w:val="ManualHeading2"/>
        <w:rPr>
          <w:bCs/>
          <w:noProof/>
          <w:szCs w:val="24"/>
        </w:rPr>
      </w:pPr>
      <w:r>
        <w:rPr>
          <w:noProof/>
        </w:rPr>
        <w:t>1.6.</w:t>
      </w:r>
      <w:r>
        <w:rPr>
          <w:noProof/>
        </w:rPr>
        <w:tab/>
        <w:t>Okres trwania i wpływ finansowy wniosku/inicjatywy</w:t>
      </w:r>
    </w:p>
    <w:p>
      <w:pPr>
        <w:pStyle w:val="Text1"/>
        <w:rPr>
          <w:noProof/>
        </w:rPr>
      </w:pPr>
      <w:r>
        <w:rPr>
          <w:b/>
          <w:noProof/>
        </w:rPr>
        <w:t>X</w:t>
      </w:r>
      <w:r>
        <w:rPr>
          <w:b/>
          <w:i/>
          <w:noProof/>
        </w:rPr>
        <w:t xml:space="preserve"> </w:t>
      </w:r>
      <w:r>
        <w:rPr>
          <w:b/>
          <w:noProof/>
        </w:rPr>
        <w:t>Ograniczony czas trwania</w:t>
      </w:r>
    </w:p>
    <w:p>
      <w:pPr>
        <w:pStyle w:val="ListDash2"/>
        <w:rPr>
          <w:noProof/>
        </w:rPr>
      </w:pPr>
      <w:r>
        <w:rPr>
          <w:b/>
          <w:noProof/>
        </w:rPr>
        <w:t>X</w:t>
      </w:r>
      <w:r>
        <w:rPr>
          <w:noProof/>
        </w:rPr>
        <w:tab/>
        <w:t>Obowiązuje od 2020 r. do 2026 r.</w:t>
      </w:r>
    </w:p>
    <w:p>
      <w:pPr>
        <w:pStyle w:val="ListDash2"/>
        <w:rPr>
          <w:noProof/>
        </w:rPr>
      </w:pPr>
      <w:r>
        <w:rPr>
          <w:b/>
          <w:noProof/>
        </w:rPr>
        <w:t>X</w:t>
      </w:r>
      <w:r>
        <w:rPr>
          <w:noProof/>
        </w:rPr>
        <w:tab/>
        <w:t>Okres trwania wpływu finansowego: od 2020 r. do 2025 r. w odniesieniu do środków na zobowiązania oraz od 2020 r. do 2025 r. w odniesieniu do środków na płatności.</w:t>
      </w:r>
    </w:p>
    <w:p>
      <w:pPr>
        <w:pStyle w:val="Text1"/>
        <w:rPr>
          <w:noProof/>
        </w:rPr>
      </w:pPr>
      <w:r>
        <w:rPr>
          <w:noProof/>
        </w:rPr>
        <w:sym w:font="Wingdings" w:char="F0A8"/>
      </w:r>
      <w:r>
        <w:rPr>
          <w:b/>
          <w:i/>
          <w:noProof/>
        </w:rPr>
        <w:t xml:space="preserve"> </w:t>
      </w:r>
      <w:r>
        <w:rPr>
          <w:b/>
          <w:noProof/>
        </w:rPr>
        <w:t>nieograniczony czas trwania</w:t>
      </w:r>
    </w:p>
    <w:p>
      <w:pPr>
        <w:pStyle w:val="ListDash1"/>
        <w:rPr>
          <w:noProof/>
        </w:rPr>
      </w:pPr>
      <w:r>
        <w:rPr>
          <w:noProof/>
        </w:rPr>
        <w:t>Wprowadzenie w życie z okresem rozruchu od RRRR r. do RRRR r.,</w:t>
      </w:r>
    </w:p>
    <w:p>
      <w:pPr>
        <w:pStyle w:val="ListDash1"/>
        <w:rPr>
          <w:noProof/>
        </w:rPr>
      </w:pPr>
      <w:r>
        <w:rPr>
          <w:noProof/>
        </w:rPr>
        <w:t>po którym następuje faza operacyjna.</w:t>
      </w:r>
    </w:p>
    <w:p>
      <w:pPr>
        <w:pStyle w:val="ManualHeading2"/>
        <w:rPr>
          <w:bCs/>
          <w:noProof/>
          <w:szCs w:val="24"/>
        </w:rPr>
      </w:pPr>
      <w:r>
        <w:rPr>
          <w:noProof/>
        </w:rPr>
        <w:t>1.7.</w:t>
      </w:r>
      <w:r>
        <w:rPr>
          <w:noProof/>
        </w:rPr>
        <w:tab/>
        <w:t>Planowane tryby zarządzania</w:t>
      </w:r>
      <w:r>
        <w:rPr>
          <w:rStyle w:val="FootnoteReference"/>
          <w:noProof/>
        </w:rPr>
        <w:footnoteReference w:id="10"/>
      </w:r>
    </w:p>
    <w:p>
      <w:pPr>
        <w:pStyle w:val="Text1"/>
        <w:rPr>
          <w:noProof/>
        </w:rPr>
      </w:pPr>
      <w:r>
        <w:rPr>
          <w:b/>
          <w:noProof/>
        </w:rPr>
        <w:t>X</w:t>
      </w:r>
      <w:r>
        <w:rPr>
          <w:i/>
          <w:noProof/>
        </w:rPr>
        <w:t xml:space="preserve"> </w:t>
      </w:r>
      <w:r>
        <w:rPr>
          <w:b/>
          <w:noProof/>
        </w:rPr>
        <w:t>Bezpośrednie zarządzanie</w:t>
      </w:r>
      <w:r>
        <w:rPr>
          <w:noProof/>
        </w:rPr>
        <w:t xml:space="preserve"> przez Komisję</w:t>
      </w:r>
    </w:p>
    <w:p>
      <w:pPr>
        <w:pStyle w:val="ListDash2"/>
        <w:rPr>
          <w:rFonts w:cs="EUAlbertina"/>
          <w:noProof/>
        </w:rPr>
      </w:pPr>
      <w:r>
        <w:rPr>
          <w:b/>
          <w:noProof/>
        </w:rPr>
        <w:t>X</w:t>
      </w:r>
      <w:r>
        <w:rPr>
          <w:noProof/>
        </w:rPr>
        <w:t xml:space="preserve"> w ramach jej służb, w tym za pośrednictwem jej pracowników w delegaturach Unii;</w:t>
      </w:r>
    </w:p>
    <w:p>
      <w:pPr>
        <w:pStyle w:val="ListDash2"/>
        <w:rPr>
          <w:noProof/>
        </w:rPr>
      </w:pPr>
      <w:r>
        <w:rPr>
          <w:noProof/>
        </w:rPr>
        <w:sym w:font="Wingdings" w:char="F0A8"/>
      </w:r>
      <w:r>
        <w:rPr>
          <w:noProof/>
        </w:rPr>
        <w:tab/>
        <w:t>przez agencje wykonawcze;</w:t>
      </w:r>
    </w:p>
    <w:p>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w:t>
      </w:r>
    </w:p>
    <w:p>
      <w:pPr>
        <w:pStyle w:val="Text1"/>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 xml:space="preserve"> EBI oraz Europejskiemu Funduszowi Inwestycyjnemu;</w:t>
      </w:r>
    </w:p>
    <w:p>
      <w:pPr>
        <w:pStyle w:val="ListDash2"/>
        <w:rPr>
          <w:noProof/>
        </w:rPr>
      </w:pPr>
      <w:r>
        <w:rPr>
          <w:noProof/>
        </w:rPr>
        <w:sym w:font="Wingdings" w:char="F0A8"/>
      </w:r>
      <w:r>
        <w:rPr>
          <w:noProof/>
        </w:rPr>
        <w:t xml:space="preserve"> organom, o których mowa w art. 70 i 71 rozporządzenia finansowego;</w:t>
      </w:r>
    </w:p>
    <w:p>
      <w:pPr>
        <w:pStyle w:val="ListDash2"/>
        <w:rPr>
          <w:noProof/>
        </w:rPr>
      </w:pPr>
      <w:r>
        <w:rPr>
          <w:noProof/>
        </w:rPr>
        <w:sym w:font="Wingdings" w:char="F0A8"/>
      </w:r>
      <w:r>
        <w:rPr>
          <w:noProof/>
        </w:rPr>
        <w:t xml:space="preserve"> organom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Uwagi</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ŚRODKI ZARZĄDZANIA</w:t>
      </w:r>
    </w:p>
    <w:p>
      <w:pPr>
        <w:pStyle w:val="ManualHeading2"/>
        <w:rPr>
          <w:noProof/>
        </w:rPr>
      </w:pPr>
      <w:r>
        <w:rPr>
          <w:noProof/>
        </w:rPr>
        <w:t>2.1.</w:t>
      </w:r>
      <w:r>
        <w:rPr>
          <w:noProof/>
        </w:rPr>
        <w:tab/>
        <w:t>Zasady nadzoru i sprawozdawczości</w:t>
      </w:r>
    </w:p>
    <w:p>
      <w:pPr>
        <w:pStyle w:val="Text1"/>
        <w:rPr>
          <w:i/>
          <w:noProof/>
          <w:sz w:val="20"/>
        </w:rPr>
      </w:pPr>
      <w:r>
        <w:rPr>
          <w:i/>
          <w:noProof/>
          <w:sz w:val="20"/>
        </w:rPr>
        <w:t>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Komisja (DG MARE we współpracy ze swoim właściwym attaché ds. rybołówstwa dla regionu – Port Louis, Mauritius, oraz we współpracy z odpowiednimi służbami Komisji) zapewnia regularne monitorowanie wykonania protokołu, w szczególności jeśli chodzi o wykorzystanie przez podmioty uprawnień do połowów i o dane dotyczące połowów oraz o odniesienie do uwarunkowań wsparcia sektorowego.</w:t>
      </w:r>
    </w:p>
    <w:p>
      <w:pPr>
        <w:pBdr>
          <w:top w:val="single" w:sz="4" w:space="1" w:color="auto"/>
          <w:left w:val="single" w:sz="4" w:space="4" w:color="auto"/>
          <w:bottom w:val="single" w:sz="4" w:space="1" w:color="auto"/>
          <w:right w:val="single" w:sz="4" w:space="4" w:color="auto"/>
        </w:pBdr>
        <w:ind w:left="850"/>
        <w:rPr>
          <w:noProof/>
        </w:rPr>
      </w:pPr>
      <w:r>
        <w:rPr>
          <w:noProof/>
        </w:rPr>
        <w:t>W umowie o partnerstwie w sprawie zrównoważonych połowów przewiduje się co najmniej raz do roku posiedzenie wspólnego komitetu, podczas którego Komisja i Seszele dokonują przeglądu wykonania umowy i protokołu oraz, jeśli to konieczne, dostosowań w programowaniu i, w stosownych przypadkach, w rekompensacie finansowej.</w:t>
      </w:r>
    </w:p>
    <w:p>
      <w:pPr>
        <w:pStyle w:val="ManualHeading2"/>
        <w:rPr>
          <w:bCs/>
          <w:noProof/>
          <w:szCs w:val="24"/>
        </w:rPr>
      </w:pPr>
      <w:r>
        <w:rPr>
          <w:noProof/>
        </w:rPr>
        <w:t>2.2.</w:t>
      </w:r>
      <w:r>
        <w:rPr>
          <w:noProof/>
        </w:rPr>
        <w:tab/>
        <w:t>System zarządzania i kontroli</w:t>
      </w:r>
    </w:p>
    <w:p>
      <w:pPr>
        <w:pStyle w:val="ManualHeading3"/>
        <w:rPr>
          <w:noProof/>
        </w:rPr>
      </w:pPr>
      <w:r>
        <w:rPr>
          <w:noProof/>
        </w:rPr>
        <w:t>2.2.1.</w:t>
      </w:r>
      <w:r>
        <w:rPr>
          <w:noProof/>
        </w:rPr>
        <w:tab/>
        <w:t>Uzasadnienie dla systemu zarządzania, mechanizmów finansowania wykonania, warunków płatności i proponowanej strategii kontroli</w:t>
      </w:r>
    </w:p>
    <w:p>
      <w:pPr>
        <w:pStyle w:val="Text1"/>
        <w:pBdr>
          <w:top w:val="single" w:sz="4" w:space="1" w:color="auto"/>
          <w:left w:val="single" w:sz="4" w:space="4" w:color="auto"/>
          <w:bottom w:val="single" w:sz="4" w:space="1" w:color="auto"/>
          <w:right w:val="single" w:sz="4" w:space="4" w:color="auto"/>
        </w:pBdr>
        <w:rPr>
          <w:noProof/>
        </w:rPr>
      </w:pPr>
      <w:r>
        <w:rPr>
          <w:noProof/>
        </w:rPr>
        <w:t>Płatności realizowane są oddzielnie, jeśli chodzi o wkład związany z dostępem i wkład związany ze wsparciem sektora.</w:t>
      </w:r>
    </w:p>
    <w:p>
      <w:pPr>
        <w:pStyle w:val="Text1"/>
        <w:pBdr>
          <w:top w:val="single" w:sz="4" w:space="1" w:color="auto"/>
          <w:left w:val="single" w:sz="4" w:space="4" w:color="auto"/>
          <w:bottom w:val="single" w:sz="4" w:space="1" w:color="auto"/>
          <w:right w:val="single" w:sz="4" w:space="4" w:color="auto"/>
        </w:pBdr>
        <w:rPr>
          <w:noProof/>
        </w:rPr>
      </w:pPr>
      <w:r>
        <w:rPr>
          <w:noProof/>
        </w:rPr>
        <w:t>Płatności dotyczących dostępu dokonuje się corocznie w rocznicę protokołu, z wyjątkiem pierwszego roku, kiedy to płatność ma miejsce 3 miesiące po rozpoczęciu tymczasowego stosowania. Dostęp statków jest kontrolowany przez wydawanie upoważnień do połowów.</w:t>
      </w:r>
    </w:p>
    <w:p>
      <w:pPr>
        <w:pStyle w:val="Text1"/>
        <w:pBdr>
          <w:top w:val="single" w:sz="4" w:space="1" w:color="auto"/>
          <w:left w:val="single" w:sz="4" w:space="4" w:color="auto"/>
          <w:bottom w:val="single" w:sz="4" w:space="1" w:color="auto"/>
          <w:right w:val="single" w:sz="4" w:space="4" w:color="auto"/>
        </w:pBdr>
        <w:rPr>
          <w:noProof/>
        </w:rPr>
      </w:pPr>
      <w:r>
        <w:rPr>
          <w:noProof/>
        </w:rPr>
        <w:t>Wsparcie zostanie wypłacone po raz pierwszy w ciągu trzech miesięcy od rozpoczęcia tymczasowego stosowania, pod warunkiem osiągnięcia porozumienia w sprawie rocznego i wieloletniego programu realizacji; w kolejnych latach będzie ono uzależnione od osiągniętych wyników. Osiągnięte wyniki i wskaźnik wykonania będą monitorowane zgodnie z wytycznymi w sprawie wdrażania wsparcia sektorowego dla polityki rybołówstwa Seszeli, które zostaną uzgodnione przez strony, na podstawie sprawozdań lub dokumentów dostarczonych przez kraj partnerski oraz kontroli technicznych przeprowadzonych przez attaché ds. rybołówstwa.</w:t>
      </w:r>
    </w:p>
    <w:p>
      <w:pPr>
        <w:pStyle w:val="ManualHeading3"/>
        <w:rPr>
          <w:bCs/>
          <w:noProof/>
          <w:szCs w:val="24"/>
        </w:rPr>
      </w:pPr>
      <w:r>
        <w:rPr>
          <w:noProof/>
        </w:rPr>
        <w:t>2.2.2.</w:t>
      </w:r>
      <w:r>
        <w:rPr>
          <w:noProof/>
        </w:rPr>
        <w:tab/>
        <w:t>Informacje dotyczące zidentyfikowanego ryzyka i systemów kontroli wewnętrznej ustanowionych w celu jego ograniczenia</w:t>
      </w:r>
    </w:p>
    <w:p>
      <w:pPr>
        <w:pStyle w:val="Text1"/>
        <w:pBdr>
          <w:top w:val="single" w:sz="4" w:space="1" w:color="auto"/>
          <w:left w:val="single" w:sz="4" w:space="4" w:color="auto"/>
          <w:bottom w:val="single" w:sz="4" w:space="1" w:color="auto"/>
          <w:right w:val="single" w:sz="4" w:space="4" w:color="auto"/>
        </w:pBdr>
        <w:rPr>
          <w:noProof/>
        </w:rPr>
      </w:pPr>
      <w:r>
        <w:rPr>
          <w:noProof/>
        </w:rPr>
        <w:t>Jako ryzyko wskazano niepełne wykorzystanie uprawnień do połowów przez zarządzających statkami oraz niepełne wykorzystanie bądź opóźnienie wykorzystania funduszy przeznaczonych na finansowanie sektorowej polityki rybołówstwa przez Seszele. Przewidywany jest intensywny dialog w sprawie planowania i wprowadzania polityki sektorowej, przewidzianej w umowie i protokole. Częścią tych metod kontroli jest też wspólna analiza wyników, o której mowa w art. 4 protokołu. Ponadto umowa i protokół zawierają specjalne klauzule dotyczące zawieszenia ich stosowania pod pewnymi warunkami i w określonych okolicznościach.</w:t>
      </w:r>
    </w:p>
    <w:p>
      <w:pPr>
        <w:pStyle w:val="ManualHeading3"/>
        <w:rPr>
          <w:noProof/>
        </w:rPr>
      </w:pPr>
      <w:r>
        <w:rPr>
          <w:noProof/>
        </w:rPr>
        <w:t>2.2.3.</w:t>
      </w:r>
      <w:r>
        <w:rPr>
          <w:noProof/>
        </w:rPr>
        <w:tab/>
        <w:t>Oszacowanie i uzasadnienie efektywności kosztowej kontroli (relacja kosztów kontroli do wartości zarządzanych funduszy powiązanych) oraz ocena prawdopodobnego ryzyka błędu (przy płatności i przy zamykaniu)</w:t>
      </w:r>
    </w:p>
    <w:p>
      <w:pPr>
        <w:pStyle w:val="Text1"/>
        <w:pBdr>
          <w:top w:val="single" w:sz="4" w:space="1" w:color="auto"/>
          <w:left w:val="single" w:sz="4" w:space="4" w:color="auto"/>
          <w:bottom w:val="single" w:sz="4" w:space="1" w:color="auto"/>
          <w:right w:val="single" w:sz="4" w:space="4" w:color="auto"/>
        </w:pBdr>
        <w:rPr>
          <w:noProof/>
        </w:rPr>
      </w:pPr>
      <w:r>
        <w:rPr>
          <w:noProof/>
        </w:rPr>
        <w:t>Płatności kosztów dostępu w ramach umów o partnerstwie w sprawie zrównoważonych połowów podlegają kontroli w celu zapewnienia ich zgodności z postanowieniami umów międzynarodowych. Kontrole dotyczące wsparcia sektorowego mają na celu monitorowanie wdrażania tego wsparcia. Monitorowanie wykonuje personel Komisji zatrudniony w delegaturach UE oraz na posiedzeniach wspólnego komitetu. Matryca programowania wieloletniego służy do oceny postępów. Jeśli te ostatnie są niewystarczające, płatność kolejnej transzy zostaje zawieszona lub ewentualnie zmniejszona. Całkowity koszt kontroli wszystkich umów o partnerstwie w sprawie zrównoważonych połowów szacuje się na ok. 1,8 % (na podstawie składek z 2018 r.). Procedury kontroli umów o partnerstwie w sprawie zrównoważonych połowów wynikają w dużej mierze z niezbędnych wymogów regulacyjnych. W przypadku braku stwierdzonych niedociągnięć, które mogłyby mieć znaczący wpływ na legalność i prawidłowość transakcji finansowych, kontrole uznaje się za skuteczne. Średni wskaźnik błędu szacuje się na 0,0 %.</w:t>
      </w:r>
    </w:p>
    <w:p>
      <w:pPr>
        <w:pStyle w:val="ManualHeading2"/>
        <w:rPr>
          <w:bCs/>
          <w:noProof/>
          <w:szCs w:val="24"/>
        </w:rPr>
      </w:pPr>
      <w:r>
        <w:rPr>
          <w:noProof/>
        </w:rPr>
        <w:t>2.3.</w:t>
      </w:r>
      <w:r>
        <w:rPr>
          <w:noProof/>
        </w:rPr>
        <w:tab/>
        <w:t>Środki zapobiegania nadużyciom finansowym i nieprawidłowościom</w:t>
      </w:r>
    </w:p>
    <w:p>
      <w:pPr>
        <w:pStyle w:val="Text1"/>
        <w:rPr>
          <w:i/>
          <w:noProof/>
          <w:sz w:val="20"/>
        </w:rPr>
      </w:pPr>
      <w:r>
        <w:rPr>
          <w:i/>
          <w:noProof/>
          <w:sz w:val="20"/>
        </w:rPr>
        <w:t>Określić istniejące lub przewidywane środki zapobiegania i ochrony, np. ze strategii zwalczania nadużyć finansowych.</w:t>
      </w:r>
    </w:p>
    <w:p>
      <w:pPr>
        <w:pStyle w:val="Text1"/>
        <w:pBdr>
          <w:top w:val="single" w:sz="4" w:space="1" w:color="auto"/>
          <w:left w:val="single" w:sz="4" w:space="4" w:color="auto"/>
          <w:bottom w:val="single" w:sz="4" w:space="1" w:color="auto"/>
          <w:right w:val="single" w:sz="4" w:space="4" w:color="auto"/>
        </w:pBdr>
        <w:rPr>
          <w:noProof/>
        </w:rPr>
      </w:pPr>
      <w:r>
        <w:rPr>
          <w:noProof/>
        </w:rPr>
        <w:t>Komisja zobowiązuje się do ustanowienia dialogu politycznego i systematycznej koordynacji działań z Seszelami w celu udoskonalenia zarządzania w ramach umowy i protokołu oraz wzmocnienia wkładu UE w zrównoważone zarządzanie zasobami. Każda płatność dokonana ze strony Komisji w ramach umowy w sprawie zrównoważonych połowów podlega zwykłym zasadom i procedurom budżetowym i finansowym Komisji. W szczególności jednoznacznie określa się, na które rachunki bankowe państwa trzeciego przelewane są kwoty rekompensaty finansowej. Art. 3 ust. 7 protokołu stanowi, że rekompensata finansowa dotycząca dostępu i rozwoju sektora musi być wpłacana na rachunek Skarbu Państwa.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SZACUNKOWY WPŁYW FINANSOWY WNIOSKU/INICJATYWY</w:t>
      </w:r>
    </w:p>
    <w:p>
      <w:pPr>
        <w:pStyle w:val="ManualHeading2"/>
        <w:rPr>
          <w:noProof/>
        </w:rPr>
      </w:pPr>
      <w:r>
        <w:rPr>
          <w:noProof/>
        </w:rPr>
        <w:t>3.1.</w:t>
      </w:r>
      <w:r>
        <w:rPr>
          <w:noProof/>
        </w:rPr>
        <w:tab/>
        <w:t>Działy wieloletnich ram finansowych i linie budżetowe po stronie wydatków, na które wniosek/inicjatywa ma wpływ</w:t>
      </w:r>
    </w:p>
    <w:p>
      <w:pPr>
        <w:pStyle w:val="ListBullet1"/>
        <w:rPr>
          <w:noProof/>
        </w:rPr>
      </w:pPr>
      <w:r>
        <w:rPr>
          <w:noProof/>
        </w:rPr>
        <w:t>Istniejące linie budżetowe</w:t>
      </w:r>
    </w:p>
    <w:p>
      <w:pPr>
        <w:pStyle w:val="Text1"/>
        <w:rPr>
          <w:i/>
          <w:noProof/>
        </w:rPr>
      </w:pPr>
      <w:r>
        <w:rPr>
          <w:i/>
          <w:noProof/>
          <w:u w:val="single"/>
        </w:rPr>
        <w:t>Według</w:t>
      </w:r>
      <w:r>
        <w:rPr>
          <w:i/>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118"/>
        <w:gridCol w:w="1134"/>
        <w:gridCol w:w="1134"/>
        <w:gridCol w:w="1559"/>
        <w:gridCol w:w="1084"/>
        <w:gridCol w:w="1320"/>
      </w:tblGrid>
      <w:tr>
        <w:tc>
          <w:tcPr>
            <w:tcW w:w="1211" w:type="dxa"/>
            <w:vMerge w:val="restart"/>
            <w:vAlign w:val="center"/>
          </w:tcPr>
          <w:p>
            <w:pPr>
              <w:spacing w:before="60" w:after="60"/>
              <w:jc w:val="center"/>
              <w:rPr>
                <w:noProof/>
              </w:rPr>
            </w:pPr>
            <w:r>
              <w:rPr>
                <w:noProof/>
                <w:sz w:val="18"/>
              </w:rPr>
              <w:t>Dział wieloletnich ram finansowych</w:t>
            </w:r>
          </w:p>
        </w:tc>
        <w:tc>
          <w:tcPr>
            <w:tcW w:w="3118" w:type="dxa"/>
            <w:vAlign w:val="center"/>
          </w:tcPr>
          <w:p>
            <w:pPr>
              <w:spacing w:before="60" w:after="60"/>
              <w:jc w:val="center"/>
              <w:rPr>
                <w:noProof/>
              </w:rPr>
            </w:pPr>
            <w:r>
              <w:rPr>
                <w:noProof/>
                <w:sz w:val="20"/>
              </w:rPr>
              <w:t>Linia budżetowa</w:t>
            </w:r>
          </w:p>
        </w:tc>
        <w:tc>
          <w:tcPr>
            <w:tcW w:w="1134" w:type="dxa"/>
            <w:vAlign w:val="center"/>
          </w:tcPr>
          <w:p>
            <w:pPr>
              <w:spacing w:before="60" w:after="60"/>
              <w:jc w:val="center"/>
              <w:rPr>
                <w:noProof/>
              </w:rPr>
            </w:pPr>
            <w:r>
              <w:rPr>
                <w:noProof/>
                <w:sz w:val="18"/>
              </w:rPr>
              <w:t>Rodzaj wydatków</w:t>
            </w:r>
          </w:p>
        </w:tc>
        <w:tc>
          <w:tcPr>
            <w:tcW w:w="5097" w:type="dxa"/>
            <w:gridSpan w:val="4"/>
            <w:vAlign w:val="center"/>
          </w:tcPr>
          <w:p>
            <w:pPr>
              <w:spacing w:before="60" w:after="60"/>
              <w:jc w:val="center"/>
              <w:rPr>
                <w:noProof/>
              </w:rPr>
            </w:pPr>
            <w:r>
              <w:rPr>
                <w:noProof/>
                <w:sz w:val="20"/>
              </w:rPr>
              <w:t>Wkład</w:t>
            </w:r>
          </w:p>
        </w:tc>
      </w:tr>
      <w:tr>
        <w:tc>
          <w:tcPr>
            <w:tcW w:w="1211" w:type="dxa"/>
            <w:vMerge/>
            <w:vAlign w:val="center"/>
          </w:tcPr>
          <w:p>
            <w:pPr>
              <w:jc w:val="center"/>
              <w:rPr>
                <w:noProof/>
              </w:rPr>
            </w:pPr>
          </w:p>
        </w:tc>
        <w:tc>
          <w:tcPr>
            <w:tcW w:w="3118" w:type="dxa"/>
            <w:vAlign w:val="center"/>
          </w:tcPr>
          <w:p>
            <w:pPr>
              <w:rPr>
                <w:noProof/>
              </w:rPr>
            </w:pPr>
            <w:r>
              <w:rPr>
                <w:noProof/>
                <w:sz w:val="20"/>
              </w:rPr>
              <w:t>Numer</w:t>
            </w:r>
            <w:r>
              <w:rPr>
                <w:noProof/>
                <w:sz w:val="22"/>
              </w:rPr>
              <w:br/>
            </w:r>
          </w:p>
        </w:tc>
        <w:tc>
          <w:tcPr>
            <w:tcW w:w="1134" w:type="dxa"/>
            <w:vAlign w:val="center"/>
          </w:tcPr>
          <w:p>
            <w:pPr>
              <w:jc w:val="center"/>
              <w:rPr>
                <w:noProof/>
              </w:rPr>
            </w:pPr>
            <w:r>
              <w:rPr>
                <w:noProof/>
                <w:sz w:val="18"/>
              </w:rPr>
              <w:t>Zróżn. / niezróżn.</w:t>
            </w:r>
            <w:r>
              <w:rPr>
                <w:rStyle w:val="FootnoteReference"/>
                <w:noProof/>
                <w:sz w:val="18"/>
              </w:rPr>
              <w:footnoteReference w:id="11"/>
            </w:r>
          </w:p>
        </w:tc>
        <w:tc>
          <w:tcPr>
            <w:tcW w:w="1134" w:type="dxa"/>
            <w:vAlign w:val="center"/>
          </w:tcPr>
          <w:p>
            <w:pPr>
              <w:jc w:val="center"/>
              <w:rPr>
                <w:noProof/>
              </w:rPr>
            </w:pPr>
            <w:r>
              <w:rPr>
                <w:noProof/>
                <w:sz w:val="18"/>
              </w:rPr>
              <w:t>państw EFTA</w:t>
            </w:r>
            <w:r>
              <w:rPr>
                <w:rStyle w:val="FootnoteReference"/>
                <w:noProof/>
                <w:sz w:val="18"/>
              </w:rPr>
              <w:footnoteReference w:id="12"/>
            </w:r>
          </w:p>
        </w:tc>
        <w:tc>
          <w:tcPr>
            <w:tcW w:w="1559" w:type="dxa"/>
            <w:vAlign w:val="center"/>
          </w:tcPr>
          <w:p>
            <w:pPr>
              <w:jc w:val="center"/>
              <w:rPr>
                <w:noProof/>
              </w:rPr>
            </w:pPr>
            <w:r>
              <w:rPr>
                <w:noProof/>
                <w:sz w:val="18"/>
              </w:rPr>
              <w:t>krajów kandydujących</w:t>
            </w:r>
            <w:r>
              <w:rPr>
                <w:rStyle w:val="FootnoteReference"/>
                <w:noProof/>
                <w:sz w:val="18"/>
              </w:rPr>
              <w:footnoteReference w:id="13"/>
            </w:r>
          </w:p>
        </w:tc>
        <w:tc>
          <w:tcPr>
            <w:tcW w:w="1084" w:type="dxa"/>
            <w:vAlign w:val="center"/>
          </w:tcPr>
          <w:p>
            <w:pPr>
              <w:jc w:val="center"/>
              <w:rPr>
                <w:noProof/>
                <w:sz w:val="18"/>
              </w:rPr>
            </w:pPr>
            <w:r>
              <w:rPr>
                <w:noProof/>
                <w:sz w:val="18"/>
              </w:rPr>
              <w:t>państw trzecich</w:t>
            </w:r>
          </w:p>
        </w:tc>
        <w:tc>
          <w:tcPr>
            <w:tcW w:w="1320" w:type="dxa"/>
            <w:vAlign w:val="center"/>
          </w:tcPr>
          <w:p>
            <w:pPr>
              <w:jc w:val="center"/>
              <w:rPr>
                <w:noProof/>
              </w:rPr>
            </w:pPr>
            <w:r>
              <w:rPr>
                <w:noProof/>
                <w:sz w:val="16"/>
              </w:rPr>
              <w:t xml:space="preserve">w rozumieniu art. 21 ust. 2 lit. b) rozporządzenia finansowego </w:t>
            </w:r>
          </w:p>
        </w:tc>
      </w:tr>
      <w:tr>
        <w:tc>
          <w:tcPr>
            <w:tcW w:w="1211" w:type="dxa"/>
            <w:vAlign w:val="center"/>
          </w:tcPr>
          <w:p>
            <w:pPr>
              <w:jc w:val="center"/>
              <w:rPr>
                <w:noProof/>
                <w:color w:val="0000FF"/>
              </w:rPr>
            </w:pPr>
          </w:p>
        </w:tc>
        <w:tc>
          <w:tcPr>
            <w:tcW w:w="3118" w:type="dxa"/>
            <w:vAlign w:val="center"/>
          </w:tcPr>
          <w:p>
            <w:pPr>
              <w:spacing w:before="60"/>
              <w:rPr>
                <w:noProof/>
              </w:rPr>
            </w:pPr>
            <w:r>
              <w:rPr>
                <w:noProof/>
              </w:rPr>
              <w:t>11.03.01</w:t>
            </w:r>
          </w:p>
          <w:p>
            <w:pPr>
              <w:spacing w:before="60"/>
              <w:rPr>
                <w:noProof/>
              </w:rPr>
            </w:pPr>
            <w:r>
              <w:rPr>
                <w:noProof/>
              </w:rPr>
              <w:t>Ustanowienie ram zarządzania działalnością połowową prowadzoną przez statki rybackie Unii Europejskiej w wodach państw trzecich (umowy o partnerstwie w sprawie zrównoważonych połowów)</w:t>
            </w:r>
          </w:p>
          <w:p>
            <w:pPr>
              <w:spacing w:after="60"/>
              <w:rPr>
                <w:noProof/>
              </w:rPr>
            </w:pPr>
          </w:p>
        </w:tc>
        <w:tc>
          <w:tcPr>
            <w:tcW w:w="1134" w:type="dxa"/>
            <w:vAlign w:val="center"/>
          </w:tcPr>
          <w:p>
            <w:pPr>
              <w:jc w:val="center"/>
              <w:rPr>
                <w:noProof/>
                <w:color w:val="0000FF"/>
              </w:rPr>
            </w:pPr>
            <w:r>
              <w:rPr>
                <w:noProof/>
                <w:sz w:val="22"/>
              </w:rPr>
              <w:t>Zróżn.</w:t>
            </w:r>
          </w:p>
        </w:tc>
        <w:tc>
          <w:tcPr>
            <w:tcW w:w="1134" w:type="dxa"/>
            <w:vAlign w:val="center"/>
          </w:tcPr>
          <w:p>
            <w:pPr>
              <w:jc w:val="center"/>
              <w:rPr>
                <w:noProof/>
                <w:sz w:val="20"/>
                <w:szCs w:val="20"/>
              </w:rPr>
            </w:pPr>
            <w:r>
              <w:rPr>
                <w:noProof/>
                <w:sz w:val="20"/>
              </w:rPr>
              <w:t>NIE</w:t>
            </w:r>
          </w:p>
        </w:tc>
        <w:tc>
          <w:tcPr>
            <w:tcW w:w="1559" w:type="dxa"/>
            <w:vAlign w:val="center"/>
          </w:tcPr>
          <w:p>
            <w:pPr>
              <w:jc w:val="center"/>
              <w:rPr>
                <w:noProof/>
                <w:sz w:val="20"/>
                <w:szCs w:val="20"/>
              </w:rPr>
            </w:pPr>
            <w:r>
              <w:rPr>
                <w:noProof/>
                <w:sz w:val="20"/>
              </w:rPr>
              <w:t>NIE</w:t>
            </w:r>
          </w:p>
        </w:tc>
        <w:tc>
          <w:tcPr>
            <w:tcW w:w="1084" w:type="dxa"/>
            <w:vAlign w:val="center"/>
          </w:tcPr>
          <w:p>
            <w:pPr>
              <w:jc w:val="center"/>
              <w:rPr>
                <w:noProof/>
                <w:sz w:val="20"/>
                <w:szCs w:val="20"/>
              </w:rPr>
            </w:pPr>
            <w:r>
              <w:rPr>
                <w:noProof/>
                <w:sz w:val="20"/>
              </w:rPr>
              <w:t>NIE</w:t>
            </w:r>
          </w:p>
        </w:tc>
        <w:tc>
          <w:tcPr>
            <w:tcW w:w="1320" w:type="dxa"/>
            <w:vAlign w:val="center"/>
          </w:tcPr>
          <w:p>
            <w:pPr>
              <w:jc w:val="center"/>
              <w:rPr>
                <w:noProof/>
                <w:sz w:val="20"/>
                <w:szCs w:val="20"/>
              </w:rPr>
            </w:pPr>
            <w:r>
              <w:rPr>
                <w:noProof/>
                <w:sz w:val="20"/>
              </w:rPr>
              <w:t>NIE</w:t>
            </w:r>
          </w:p>
        </w:tc>
      </w:tr>
    </w:tbl>
    <w:p>
      <w:pPr>
        <w:pStyle w:val="ListBullet1"/>
        <w:rPr>
          <w:noProof/>
        </w:rPr>
      </w:pPr>
      <w:r>
        <w:rPr>
          <w:noProof/>
        </w:rPr>
        <w:t xml:space="preserve">Nowe linie budżetowe, o których utworzenie się wnioskuje </w:t>
      </w:r>
    </w:p>
    <w:p>
      <w:pPr>
        <w:pStyle w:val="Text1"/>
        <w:rPr>
          <w:i/>
          <w:noProof/>
          <w:sz w:val="20"/>
        </w:rPr>
      </w:pPr>
      <w:r>
        <w:rPr>
          <w:i/>
          <w:noProof/>
          <w:u w:val="single"/>
        </w:rPr>
        <w:t>Według</w:t>
      </w:r>
      <w:r>
        <w:rPr>
          <w:i/>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118"/>
        <w:gridCol w:w="1134"/>
        <w:gridCol w:w="1134"/>
        <w:gridCol w:w="1559"/>
        <w:gridCol w:w="1084"/>
        <w:gridCol w:w="1320"/>
      </w:tblGrid>
      <w:tr>
        <w:tc>
          <w:tcPr>
            <w:tcW w:w="1211" w:type="dxa"/>
            <w:vMerge w:val="restart"/>
            <w:vAlign w:val="center"/>
          </w:tcPr>
          <w:p>
            <w:pPr>
              <w:spacing w:before="60" w:after="60"/>
              <w:jc w:val="center"/>
              <w:rPr>
                <w:noProof/>
                <w:sz w:val="18"/>
                <w:szCs w:val="18"/>
              </w:rPr>
            </w:pPr>
            <w:r>
              <w:rPr>
                <w:noProof/>
                <w:sz w:val="18"/>
              </w:rPr>
              <w:t>Dział wieloletnich ram finansowych</w:t>
            </w:r>
          </w:p>
        </w:tc>
        <w:tc>
          <w:tcPr>
            <w:tcW w:w="3118" w:type="dxa"/>
            <w:vAlign w:val="center"/>
          </w:tcPr>
          <w:p>
            <w:pPr>
              <w:spacing w:before="60" w:after="60"/>
              <w:jc w:val="center"/>
              <w:rPr>
                <w:noProof/>
              </w:rPr>
            </w:pPr>
            <w:r>
              <w:rPr>
                <w:noProof/>
                <w:sz w:val="20"/>
              </w:rPr>
              <w:t>Linia budżetowa</w:t>
            </w:r>
          </w:p>
        </w:tc>
        <w:tc>
          <w:tcPr>
            <w:tcW w:w="1134" w:type="dxa"/>
            <w:vAlign w:val="center"/>
          </w:tcPr>
          <w:p>
            <w:pPr>
              <w:spacing w:before="60" w:after="60"/>
              <w:jc w:val="center"/>
              <w:rPr>
                <w:noProof/>
              </w:rPr>
            </w:pPr>
            <w:r>
              <w:rPr>
                <w:noProof/>
                <w:sz w:val="18"/>
              </w:rPr>
              <w:t>Rodzaj wydatków</w:t>
            </w:r>
          </w:p>
        </w:tc>
        <w:tc>
          <w:tcPr>
            <w:tcW w:w="5097" w:type="dxa"/>
            <w:gridSpan w:val="4"/>
            <w:vAlign w:val="center"/>
          </w:tcPr>
          <w:p>
            <w:pPr>
              <w:spacing w:before="60" w:after="60"/>
              <w:jc w:val="center"/>
              <w:rPr>
                <w:noProof/>
              </w:rPr>
            </w:pPr>
            <w:r>
              <w:rPr>
                <w:noProof/>
                <w:sz w:val="20"/>
              </w:rPr>
              <w:t xml:space="preserve">Wkład </w:t>
            </w:r>
          </w:p>
        </w:tc>
      </w:tr>
      <w:tr>
        <w:tc>
          <w:tcPr>
            <w:tcW w:w="1211" w:type="dxa"/>
            <w:vMerge/>
            <w:vAlign w:val="center"/>
          </w:tcPr>
          <w:p>
            <w:pPr>
              <w:jc w:val="center"/>
              <w:rPr>
                <w:noProof/>
              </w:rPr>
            </w:pPr>
          </w:p>
        </w:tc>
        <w:tc>
          <w:tcPr>
            <w:tcW w:w="3118" w:type="dxa"/>
            <w:vAlign w:val="center"/>
          </w:tcPr>
          <w:p>
            <w:pPr>
              <w:rPr>
                <w:noProof/>
              </w:rPr>
            </w:pPr>
            <w:r>
              <w:rPr>
                <w:noProof/>
                <w:sz w:val="20"/>
              </w:rPr>
              <w:t>Numer</w:t>
            </w:r>
            <w:r>
              <w:rPr>
                <w:noProof/>
                <w:sz w:val="22"/>
              </w:rPr>
              <w:br/>
            </w:r>
          </w:p>
        </w:tc>
        <w:tc>
          <w:tcPr>
            <w:tcW w:w="1134" w:type="dxa"/>
            <w:vAlign w:val="center"/>
          </w:tcPr>
          <w:p>
            <w:pPr>
              <w:jc w:val="center"/>
              <w:rPr>
                <w:noProof/>
              </w:rPr>
            </w:pPr>
            <w:r>
              <w:rPr>
                <w:noProof/>
                <w:sz w:val="18"/>
              </w:rPr>
              <w:t>Zróżn. / niezróżn.</w:t>
            </w:r>
          </w:p>
        </w:tc>
        <w:tc>
          <w:tcPr>
            <w:tcW w:w="1134" w:type="dxa"/>
            <w:vAlign w:val="center"/>
          </w:tcPr>
          <w:p>
            <w:pPr>
              <w:jc w:val="center"/>
              <w:rPr>
                <w:noProof/>
                <w:sz w:val="18"/>
              </w:rPr>
            </w:pPr>
            <w:r>
              <w:rPr>
                <w:noProof/>
                <w:sz w:val="18"/>
              </w:rPr>
              <w:t>państw EFTA</w:t>
            </w:r>
          </w:p>
        </w:tc>
        <w:tc>
          <w:tcPr>
            <w:tcW w:w="1559" w:type="dxa"/>
            <w:vAlign w:val="center"/>
          </w:tcPr>
          <w:p>
            <w:pPr>
              <w:jc w:val="center"/>
              <w:rPr>
                <w:noProof/>
                <w:sz w:val="18"/>
              </w:rPr>
            </w:pPr>
            <w:r>
              <w:rPr>
                <w:noProof/>
                <w:sz w:val="18"/>
              </w:rPr>
              <w:t>krajów kandydujących</w:t>
            </w:r>
          </w:p>
        </w:tc>
        <w:tc>
          <w:tcPr>
            <w:tcW w:w="1084" w:type="dxa"/>
            <w:vAlign w:val="center"/>
          </w:tcPr>
          <w:p>
            <w:pPr>
              <w:jc w:val="center"/>
              <w:rPr>
                <w:noProof/>
                <w:sz w:val="18"/>
              </w:rPr>
            </w:pPr>
            <w:r>
              <w:rPr>
                <w:noProof/>
                <w:sz w:val="18"/>
              </w:rPr>
              <w:t>państw trzecich</w:t>
            </w:r>
          </w:p>
        </w:tc>
        <w:tc>
          <w:tcPr>
            <w:tcW w:w="1320" w:type="dxa"/>
            <w:vAlign w:val="center"/>
          </w:tcPr>
          <w:p>
            <w:pPr>
              <w:jc w:val="center"/>
              <w:rPr>
                <w:noProof/>
              </w:rPr>
            </w:pPr>
            <w:r>
              <w:rPr>
                <w:noProof/>
                <w:sz w:val="16"/>
              </w:rPr>
              <w:t xml:space="preserve">w rozumieniu art. 21 ust. 2 lit. b) rozporządzenia finansowego </w:t>
            </w:r>
          </w:p>
        </w:tc>
      </w:tr>
      <w:tr>
        <w:tc>
          <w:tcPr>
            <w:tcW w:w="1211" w:type="dxa"/>
            <w:vAlign w:val="center"/>
          </w:tcPr>
          <w:p>
            <w:pPr>
              <w:jc w:val="center"/>
              <w:rPr>
                <w:noProof/>
                <w:color w:val="0000FF"/>
              </w:rPr>
            </w:pPr>
          </w:p>
        </w:tc>
        <w:tc>
          <w:tcPr>
            <w:tcW w:w="3118" w:type="dxa"/>
            <w:vAlign w:val="center"/>
          </w:tcPr>
          <w:p>
            <w:pPr>
              <w:spacing w:before="60"/>
              <w:rPr>
                <w:noProof/>
              </w:rPr>
            </w:pPr>
            <w:r>
              <w:rPr>
                <w:noProof/>
                <w:sz w:val="22"/>
              </w:rPr>
              <w:t>[XX.YY.YY.YY]</w:t>
            </w:r>
          </w:p>
          <w:p>
            <w:pPr>
              <w:spacing w:after="60"/>
              <w:rPr>
                <w:noProof/>
                <w:color w:val="0000FF"/>
              </w:rPr>
            </w:pPr>
          </w:p>
        </w:tc>
        <w:tc>
          <w:tcPr>
            <w:tcW w:w="1134" w:type="dxa"/>
            <w:vAlign w:val="center"/>
          </w:tcPr>
          <w:p>
            <w:pPr>
              <w:jc w:val="center"/>
              <w:rPr>
                <w:noProof/>
                <w:color w:val="0000FF"/>
              </w:rPr>
            </w:pPr>
          </w:p>
        </w:tc>
        <w:tc>
          <w:tcPr>
            <w:tcW w:w="1134" w:type="dxa"/>
            <w:vAlign w:val="center"/>
          </w:tcPr>
          <w:p>
            <w:pPr>
              <w:jc w:val="center"/>
              <w:rPr>
                <w:noProof/>
                <w:sz w:val="20"/>
                <w:szCs w:val="20"/>
              </w:rPr>
            </w:pPr>
            <w:r>
              <w:rPr>
                <w:noProof/>
                <w:sz w:val="20"/>
              </w:rPr>
              <w:t>TAK/ NIE</w:t>
            </w:r>
          </w:p>
        </w:tc>
        <w:tc>
          <w:tcPr>
            <w:tcW w:w="1559" w:type="dxa"/>
            <w:vAlign w:val="center"/>
          </w:tcPr>
          <w:p>
            <w:pPr>
              <w:jc w:val="center"/>
              <w:rPr>
                <w:noProof/>
                <w:color w:val="0000FF"/>
                <w:sz w:val="20"/>
                <w:szCs w:val="20"/>
              </w:rPr>
            </w:pPr>
            <w:r>
              <w:rPr>
                <w:noProof/>
                <w:sz w:val="20"/>
              </w:rPr>
              <w:t>TAK/ NIE</w:t>
            </w:r>
          </w:p>
        </w:tc>
        <w:tc>
          <w:tcPr>
            <w:tcW w:w="1084" w:type="dxa"/>
            <w:vAlign w:val="center"/>
          </w:tcPr>
          <w:p>
            <w:pPr>
              <w:jc w:val="center"/>
              <w:rPr>
                <w:noProof/>
                <w:color w:val="0000FF"/>
                <w:sz w:val="20"/>
                <w:szCs w:val="20"/>
              </w:rPr>
            </w:pPr>
            <w:r>
              <w:rPr>
                <w:noProof/>
                <w:sz w:val="20"/>
              </w:rPr>
              <w:t>TAK/ NIE</w:t>
            </w:r>
          </w:p>
        </w:tc>
        <w:tc>
          <w:tcPr>
            <w:tcW w:w="1320" w:type="dxa"/>
            <w:vAlign w:val="center"/>
          </w:tcPr>
          <w:p>
            <w:pPr>
              <w:jc w:val="center"/>
              <w:rPr>
                <w:noProof/>
                <w:sz w:val="20"/>
                <w:szCs w:val="20"/>
              </w:rPr>
            </w:pPr>
            <w:r>
              <w:rPr>
                <w:noProof/>
                <w:sz w:val="20"/>
              </w:rPr>
              <w:t>TAK/ NIE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Szacunkowy wpływ finansowy wniosku na środki</w:t>
      </w:r>
    </w:p>
    <w:p>
      <w:pPr>
        <w:pStyle w:val="ManualHeading3"/>
        <w:rPr>
          <w:noProof/>
        </w:rPr>
      </w:pPr>
      <w:r>
        <w:rPr>
          <w:noProof/>
        </w:rPr>
        <w:t>3.2.1.</w:t>
      </w:r>
      <w:r>
        <w:rPr>
          <w:noProof/>
        </w:rPr>
        <w:tab/>
        <w:t>Synteza szacunkowego wpływu na środki operacyjne</w:t>
      </w:r>
    </w:p>
    <w:p>
      <w:pPr>
        <w:pStyle w:val="ListDash1"/>
        <w:rPr>
          <w:noProof/>
        </w:rPr>
      </w:pPr>
      <w:r>
        <w:rPr>
          <w:noProof/>
        </w:rPr>
        <w:sym w:font="Wingdings" w:char="F0A8"/>
      </w:r>
      <w:r>
        <w:rPr>
          <w:noProof/>
        </w:rPr>
        <w:tab/>
        <w:t>Wniosek/inicjatywa nie wiąże się z koniecznością wykorzystania środków operacyjnych.</w:t>
      </w:r>
    </w:p>
    <w:p>
      <w:pPr>
        <w:pStyle w:val="ListDash1"/>
        <w:rPr>
          <w:noProof/>
        </w:rPr>
      </w:pPr>
      <w:r>
        <w:rPr>
          <w:noProof/>
        </w:rPr>
        <w:t>X</w:t>
      </w:r>
      <w:r>
        <w:rPr>
          <w:noProof/>
        </w:rPr>
        <w:tab/>
        <w:t>Wniosek/inicjatywa wiąże się z koniecznością wykorzystania środków operacyjnych, jak określono poniżej:</w:t>
      </w:r>
    </w:p>
    <w:p>
      <w:pPr>
        <w:jc w:val="right"/>
        <w:rPr>
          <w:noProof/>
          <w:sz w:val="18"/>
          <w:szCs w:val="18"/>
        </w:rPr>
      </w:pPr>
      <w:r>
        <w:rPr>
          <w:noProof/>
          <w:sz w:val="18"/>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Dział wieloletnich ram finansowych</w:t>
            </w:r>
            <w:r>
              <w:rPr>
                <w:noProof/>
                <w:sz w:val="22"/>
              </w:rPr>
              <w:br/>
            </w:r>
            <w:r>
              <w:rPr>
                <w:b/>
                <w:noProof/>
                <w:sz w:val="22"/>
              </w:rPr>
              <w:t xml:space="preserve"> </w:t>
            </w:r>
          </w:p>
        </w:tc>
        <w:tc>
          <w:tcPr>
            <w:tcW w:w="1080" w:type="dxa"/>
            <w:vAlign w:val="center"/>
          </w:tcPr>
          <w:p>
            <w:pPr>
              <w:spacing w:before="60" w:after="60"/>
              <w:jc w:val="center"/>
              <w:rPr>
                <w:noProof/>
              </w:rPr>
            </w:pPr>
            <w:r>
              <w:rPr>
                <w:noProof/>
                <w:sz w:val="22"/>
              </w:rPr>
              <w:t>nr 2</w:t>
            </w:r>
          </w:p>
        </w:tc>
        <w:tc>
          <w:tcPr>
            <w:tcW w:w="7817" w:type="dxa"/>
            <w:vAlign w:val="center"/>
          </w:tcPr>
          <w:p>
            <w:pPr>
              <w:spacing w:before="60" w:after="60"/>
              <w:rPr>
                <w:noProof/>
              </w:rPr>
            </w:pPr>
            <w:r>
              <w:rPr>
                <w:noProof/>
              </w:rPr>
              <w:t>Trwały wzrost gospodarczy: zasoby naturalne</w:t>
            </w:r>
          </w:p>
        </w:tc>
      </w:tr>
    </w:tbl>
    <w:p>
      <w:pPr>
        <w:rPr>
          <w:noProof/>
          <w:sz w:val="16"/>
        </w:rPr>
      </w:pPr>
    </w:p>
    <w:tbl>
      <w:tblPr>
        <w:tblW w:w="12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063"/>
        <w:gridCol w:w="120"/>
        <w:gridCol w:w="534"/>
        <w:gridCol w:w="868"/>
        <w:gridCol w:w="868"/>
        <w:gridCol w:w="868"/>
        <w:gridCol w:w="868"/>
        <w:gridCol w:w="914"/>
        <w:gridCol w:w="977"/>
        <w:gridCol w:w="1276"/>
      </w:tblGrid>
      <w:tr>
        <w:tc>
          <w:tcPr>
            <w:tcW w:w="3337" w:type="dxa"/>
            <w:vAlign w:val="center"/>
          </w:tcPr>
          <w:p>
            <w:pPr>
              <w:jc w:val="center"/>
              <w:rPr>
                <w:noProof/>
              </w:rPr>
            </w:pPr>
            <w:r>
              <w:rPr>
                <w:noProof/>
                <w:sz w:val="22"/>
              </w:rPr>
              <w:t>DG: MARE</w:t>
            </w:r>
          </w:p>
        </w:tc>
        <w:tc>
          <w:tcPr>
            <w:tcW w:w="2183"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914" w:type="dxa"/>
            <w:vAlign w:val="center"/>
          </w:tcPr>
          <w:p>
            <w:pPr>
              <w:jc w:val="center"/>
              <w:rPr>
                <w:noProof/>
                <w:sz w:val="20"/>
              </w:rPr>
            </w:pPr>
            <w:r>
              <w:rPr>
                <w:b/>
                <w:noProof/>
                <w:sz w:val="20"/>
              </w:rPr>
              <w:t>2024</w:t>
            </w:r>
          </w:p>
        </w:tc>
        <w:tc>
          <w:tcPr>
            <w:tcW w:w="977" w:type="dxa"/>
          </w:tcPr>
          <w:p>
            <w:pPr>
              <w:jc w:val="center"/>
              <w:rPr>
                <w:b/>
                <w:noProof/>
                <w:sz w:val="20"/>
              </w:rPr>
            </w:pPr>
            <w:r>
              <w:rPr>
                <w:b/>
                <w:noProof/>
                <w:sz w:val="20"/>
              </w:rPr>
              <w:t>2025</w:t>
            </w:r>
          </w:p>
        </w:tc>
        <w:tc>
          <w:tcPr>
            <w:tcW w:w="1276" w:type="dxa"/>
            <w:vAlign w:val="center"/>
          </w:tcPr>
          <w:p>
            <w:pPr>
              <w:jc w:val="center"/>
              <w:rPr>
                <w:b/>
                <w:noProof/>
                <w:sz w:val="20"/>
              </w:rPr>
            </w:pPr>
            <w:r>
              <w:rPr>
                <w:b/>
                <w:noProof/>
                <w:sz w:val="20"/>
              </w:rPr>
              <w:t>OGÓŁEM</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 xml:space="preserve">Środki operacyjne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977" w:type="dxa"/>
          </w:tcPr>
          <w:p>
            <w:pPr>
              <w:rPr>
                <w:b/>
                <w:noProof/>
                <w:sz w:val="20"/>
              </w:rPr>
            </w:pPr>
          </w:p>
        </w:tc>
        <w:tc>
          <w:tcPr>
            <w:tcW w:w="1276" w:type="dxa"/>
            <w:vAlign w:val="center"/>
          </w:tcPr>
          <w:p>
            <w:pPr>
              <w:rPr>
                <w:b/>
                <w:noProof/>
                <w:sz w:val="20"/>
              </w:rPr>
            </w:pPr>
          </w:p>
        </w:tc>
      </w:tr>
      <w:tr>
        <w:trPr>
          <w:trHeight w:val="277"/>
        </w:trPr>
        <w:tc>
          <w:tcPr>
            <w:tcW w:w="3337" w:type="dxa"/>
            <w:vMerge w:val="restart"/>
            <w:vAlign w:val="center"/>
          </w:tcPr>
          <w:p>
            <w:pPr>
              <w:spacing w:before="60"/>
              <w:rPr>
                <w:noProof/>
              </w:rPr>
            </w:pPr>
            <w:r>
              <w:rPr>
                <w:noProof/>
                <w:sz w:val="20"/>
              </w:rPr>
              <w:t>Linia budżetowa</w:t>
            </w:r>
            <w:r>
              <w:rPr>
                <w:rStyle w:val="FootnoteReference"/>
                <w:noProof/>
                <w:sz w:val="20"/>
              </w:rPr>
              <w:footnoteReference w:id="14"/>
            </w:r>
            <w:r>
              <w:rPr>
                <w:noProof/>
              </w:rPr>
              <w:t xml:space="preserve"> 11.03.01</w:t>
            </w:r>
          </w:p>
        </w:tc>
        <w:tc>
          <w:tcPr>
            <w:tcW w:w="2063"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1276" w:type="dxa"/>
            <w:vAlign w:val="center"/>
          </w:tcPr>
          <w:p>
            <w:pPr>
              <w:spacing w:before="20" w:after="20"/>
              <w:jc w:val="right"/>
              <w:rPr>
                <w:b/>
                <w:noProof/>
                <w:sz w:val="20"/>
              </w:rPr>
            </w:pPr>
            <w:r>
              <w:rPr>
                <w:b/>
                <w:noProof/>
                <w:sz w:val="20"/>
              </w:rPr>
              <w:t>31,8</w:t>
            </w:r>
          </w:p>
        </w:tc>
      </w:tr>
      <w:tr>
        <w:tc>
          <w:tcPr>
            <w:tcW w:w="3337" w:type="dxa"/>
            <w:vMerge/>
          </w:tcPr>
          <w:p>
            <w:pPr>
              <w:jc w:val="center"/>
              <w:rPr>
                <w:noProof/>
                <w:sz w:val="20"/>
              </w:rPr>
            </w:pPr>
          </w:p>
        </w:tc>
        <w:tc>
          <w:tcPr>
            <w:tcW w:w="2063"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1276" w:type="dxa"/>
            <w:vAlign w:val="center"/>
          </w:tcPr>
          <w:p>
            <w:pPr>
              <w:spacing w:before="20" w:after="20"/>
              <w:jc w:val="right"/>
              <w:rPr>
                <w:b/>
                <w:noProof/>
                <w:sz w:val="20"/>
              </w:rPr>
            </w:pPr>
            <w:r>
              <w:rPr>
                <w:b/>
                <w:noProof/>
                <w:sz w:val="20"/>
              </w:rPr>
              <w:t>31,8</w:t>
            </w:r>
          </w:p>
        </w:tc>
      </w:tr>
      <w:tr>
        <w:tc>
          <w:tcPr>
            <w:tcW w:w="3337" w:type="dxa"/>
            <w:vMerge w:val="restart"/>
            <w:vAlign w:val="center"/>
          </w:tcPr>
          <w:p>
            <w:pPr>
              <w:rPr>
                <w:noProof/>
              </w:rPr>
            </w:pPr>
            <w:r>
              <w:rPr>
                <w:noProof/>
                <w:sz w:val="20"/>
              </w:rPr>
              <w:t xml:space="preserve">Linia budżetowa </w:t>
            </w:r>
          </w:p>
        </w:tc>
        <w:tc>
          <w:tcPr>
            <w:tcW w:w="2063"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1276" w:type="dxa"/>
            <w:vAlign w:val="center"/>
          </w:tcPr>
          <w:p>
            <w:pPr>
              <w:spacing w:before="20" w:after="20"/>
              <w:jc w:val="right"/>
              <w:rPr>
                <w:b/>
                <w:noProof/>
                <w:sz w:val="20"/>
              </w:rPr>
            </w:pPr>
          </w:p>
        </w:tc>
      </w:tr>
      <w:tr>
        <w:tc>
          <w:tcPr>
            <w:tcW w:w="3337" w:type="dxa"/>
            <w:vMerge/>
          </w:tcPr>
          <w:p>
            <w:pPr>
              <w:jc w:val="center"/>
              <w:rPr>
                <w:noProof/>
                <w:sz w:val="20"/>
              </w:rPr>
            </w:pPr>
          </w:p>
        </w:tc>
        <w:tc>
          <w:tcPr>
            <w:tcW w:w="2063"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127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Środki administracyjne finansowane ze środków przydzielonych na określone programy operacyjne</w:t>
            </w:r>
            <w:r>
              <w:rPr>
                <w:rStyle w:val="FootnoteReference"/>
                <w:noProof/>
                <w:sz w:val="21"/>
              </w:rPr>
              <w:footnoteReference w:id="15"/>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977" w:type="dxa"/>
          </w:tcPr>
          <w:p>
            <w:pPr>
              <w:rPr>
                <w:b/>
                <w:noProof/>
                <w:sz w:val="20"/>
              </w:rPr>
            </w:pPr>
          </w:p>
        </w:tc>
        <w:tc>
          <w:tcPr>
            <w:tcW w:w="1276" w:type="dxa"/>
            <w:vAlign w:val="center"/>
          </w:tcPr>
          <w:p>
            <w:pPr>
              <w:rPr>
                <w:b/>
                <w:noProof/>
                <w:sz w:val="20"/>
              </w:rPr>
            </w:pPr>
          </w:p>
        </w:tc>
      </w:tr>
      <w:tr>
        <w:trPr>
          <w:trHeight w:val="319"/>
        </w:trPr>
        <w:tc>
          <w:tcPr>
            <w:tcW w:w="3337" w:type="dxa"/>
            <w:vAlign w:val="center"/>
          </w:tcPr>
          <w:p>
            <w:pPr>
              <w:spacing w:before="60" w:after="60"/>
              <w:rPr>
                <w:noProof/>
              </w:rPr>
            </w:pPr>
            <w:r>
              <w:rPr>
                <w:noProof/>
                <w:sz w:val="20"/>
              </w:rPr>
              <w:t>Linia budżetowa</w:t>
            </w:r>
          </w:p>
        </w:tc>
        <w:tc>
          <w:tcPr>
            <w:tcW w:w="2063"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977" w:type="dxa"/>
          </w:tcPr>
          <w:p>
            <w:pPr>
              <w:spacing w:before="40" w:after="40"/>
              <w:jc w:val="right"/>
              <w:rPr>
                <w:b/>
                <w:noProof/>
                <w:sz w:val="20"/>
              </w:rPr>
            </w:pPr>
          </w:p>
        </w:tc>
        <w:tc>
          <w:tcPr>
            <w:tcW w:w="1276" w:type="dxa"/>
            <w:vAlign w:val="center"/>
          </w:tcPr>
          <w:p>
            <w:pPr>
              <w:spacing w:before="40" w:after="40"/>
              <w:jc w:val="right"/>
              <w:rPr>
                <w:b/>
                <w:noProof/>
                <w:sz w:val="20"/>
              </w:rPr>
            </w:pPr>
          </w:p>
        </w:tc>
      </w:tr>
      <w:tr>
        <w:tc>
          <w:tcPr>
            <w:tcW w:w="3337" w:type="dxa"/>
            <w:vMerge w:val="restart"/>
            <w:vAlign w:val="center"/>
          </w:tcPr>
          <w:p>
            <w:pPr>
              <w:jc w:val="center"/>
              <w:rPr>
                <w:b/>
                <w:noProof/>
              </w:rPr>
            </w:pPr>
            <w:r>
              <w:rPr>
                <w:b/>
                <w:noProof/>
                <w:sz w:val="22"/>
              </w:rPr>
              <w:t>OGÓŁEM środki</w:t>
            </w:r>
            <w:r>
              <w:rPr>
                <w:noProof/>
                <w:sz w:val="22"/>
              </w:rPr>
              <w:br/>
            </w:r>
            <w:r>
              <w:rPr>
                <w:b/>
                <w:noProof/>
                <w:sz w:val="22"/>
              </w:rPr>
              <w:t>dla DG</w:t>
            </w:r>
            <w:r>
              <w:rPr>
                <w:noProof/>
                <w:sz w:val="22"/>
              </w:rPr>
              <w:t xml:space="preserve"> MARE</w:t>
            </w:r>
          </w:p>
        </w:tc>
        <w:tc>
          <w:tcPr>
            <w:tcW w:w="2063" w:type="dxa"/>
            <w:vAlign w:val="center"/>
          </w:tcPr>
          <w:p>
            <w:pPr>
              <w:rPr>
                <w:noProof/>
                <w:sz w:val="18"/>
              </w:rPr>
            </w:pPr>
            <w:r>
              <w:rPr>
                <w:noProof/>
                <w:sz w:val="18"/>
              </w:rPr>
              <w:t>Środki na zobowiązania</w:t>
            </w:r>
          </w:p>
        </w:tc>
        <w:tc>
          <w:tcPr>
            <w:tcW w:w="654" w:type="dxa"/>
            <w:gridSpan w:val="2"/>
            <w:vAlign w:val="center"/>
          </w:tcPr>
          <w:p>
            <w:pPr>
              <w:jc w:val="center"/>
              <w:rPr>
                <w:noProof/>
                <w:sz w:val="14"/>
              </w:rPr>
            </w:pPr>
            <w:r>
              <w:rPr>
                <w:noProof/>
                <w:sz w:val="14"/>
              </w:rPr>
              <w:t>=1a+1b +3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1276" w:type="dxa"/>
            <w:vAlign w:val="center"/>
          </w:tcPr>
          <w:p>
            <w:pPr>
              <w:spacing w:before="20" w:after="20"/>
              <w:jc w:val="right"/>
              <w:rPr>
                <w:b/>
                <w:noProof/>
                <w:sz w:val="20"/>
              </w:rPr>
            </w:pPr>
            <w:r>
              <w:rPr>
                <w:b/>
                <w:noProof/>
                <w:sz w:val="20"/>
              </w:rPr>
              <w:t>31,8</w:t>
            </w:r>
          </w:p>
        </w:tc>
      </w:tr>
      <w:tr>
        <w:tc>
          <w:tcPr>
            <w:tcW w:w="3337" w:type="dxa"/>
            <w:vMerge/>
          </w:tcPr>
          <w:p>
            <w:pPr>
              <w:rPr>
                <w:noProof/>
                <w:sz w:val="20"/>
              </w:rPr>
            </w:pPr>
          </w:p>
        </w:tc>
        <w:tc>
          <w:tcPr>
            <w:tcW w:w="2063" w:type="dxa"/>
            <w:vAlign w:val="center"/>
          </w:tcPr>
          <w:p>
            <w:pPr>
              <w:rPr>
                <w:noProof/>
                <w:sz w:val="18"/>
              </w:rPr>
            </w:pPr>
            <w:r>
              <w:rPr>
                <w:noProof/>
                <w:sz w:val="18"/>
              </w:rPr>
              <w:t>Środki na płatności</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1276" w:type="dxa"/>
            <w:vAlign w:val="center"/>
          </w:tcPr>
          <w:p>
            <w:pPr>
              <w:spacing w:before="20" w:after="20"/>
              <w:jc w:val="right"/>
              <w:rPr>
                <w:b/>
                <w:noProof/>
                <w:sz w:val="20"/>
              </w:rPr>
            </w:pPr>
            <w:r>
              <w:rPr>
                <w:b/>
                <w:noProof/>
                <w:sz w:val="20"/>
              </w:rPr>
              <w:t>31,8</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063"/>
        <w:gridCol w:w="654"/>
        <w:gridCol w:w="868"/>
        <w:gridCol w:w="868"/>
        <w:gridCol w:w="868"/>
        <w:gridCol w:w="868"/>
        <w:gridCol w:w="868"/>
        <w:gridCol w:w="868"/>
        <w:gridCol w:w="1431"/>
      </w:tblGrid>
      <w:tr>
        <w:trPr>
          <w:trHeight w:val="277"/>
        </w:trPr>
        <w:tc>
          <w:tcPr>
            <w:tcW w:w="3337" w:type="dxa"/>
            <w:vMerge w:val="restart"/>
            <w:vAlign w:val="center"/>
          </w:tcPr>
          <w:p>
            <w:pPr>
              <w:spacing w:before="20" w:after="20"/>
              <w:rPr>
                <w:noProof/>
              </w:rPr>
            </w:pPr>
            <w:r>
              <w:rPr>
                <w:noProof/>
              </w:rPr>
              <w:br w:type="page"/>
            </w:r>
            <w:r>
              <w:rPr>
                <w:noProof/>
                <w:sz w:val="21"/>
              </w:rPr>
              <w:sym w:font="Wingdings" w:char="F09F"/>
            </w:r>
            <w:r>
              <w:rPr>
                <w:noProof/>
                <w:sz w:val="21"/>
              </w:rPr>
              <w:t xml:space="preserve"> OGÓŁEM środki operacyjne </w:t>
            </w:r>
          </w:p>
        </w:tc>
        <w:tc>
          <w:tcPr>
            <w:tcW w:w="2063" w:type="dxa"/>
            <w:vAlign w:val="center"/>
          </w:tcPr>
          <w:p>
            <w:pPr>
              <w:spacing w:beforeLines="20" w:before="48" w:afterLines="20" w:after="48"/>
              <w:rPr>
                <w:noProof/>
                <w:sz w:val="18"/>
              </w:rPr>
            </w:pPr>
            <w:r>
              <w:rPr>
                <w:noProof/>
                <w:sz w:val="18"/>
              </w:rPr>
              <w:t>Środki na zobowiązania</w:t>
            </w:r>
          </w:p>
        </w:tc>
        <w:tc>
          <w:tcPr>
            <w:tcW w:w="654" w:type="dxa"/>
            <w:vAlign w:val="center"/>
          </w:tcPr>
          <w:p>
            <w:pPr>
              <w:spacing w:beforeLines="20" w:before="48" w:afterLines="20" w:after="48"/>
              <w:jc w:val="center"/>
              <w:rPr>
                <w:noProof/>
                <w:sz w:val="14"/>
              </w:rPr>
            </w:pPr>
            <w:r>
              <w:rPr>
                <w:noProof/>
                <w:sz w:val="14"/>
              </w:rPr>
              <w:t>(4)</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1431" w:type="dxa"/>
            <w:vAlign w:val="center"/>
          </w:tcPr>
          <w:p>
            <w:pPr>
              <w:spacing w:before="20" w:after="20"/>
              <w:jc w:val="right"/>
              <w:rPr>
                <w:b/>
                <w:noProof/>
                <w:sz w:val="20"/>
              </w:rPr>
            </w:pPr>
            <w:r>
              <w:rPr>
                <w:b/>
                <w:noProof/>
                <w:sz w:val="20"/>
              </w:rPr>
              <w:t>31,8</w:t>
            </w:r>
          </w:p>
        </w:tc>
      </w:tr>
      <w:tr>
        <w:tc>
          <w:tcPr>
            <w:tcW w:w="3337" w:type="dxa"/>
            <w:vMerge/>
          </w:tcPr>
          <w:p>
            <w:pPr>
              <w:jc w:val="center"/>
              <w:rPr>
                <w:noProof/>
                <w:sz w:val="20"/>
              </w:rPr>
            </w:pPr>
          </w:p>
        </w:tc>
        <w:tc>
          <w:tcPr>
            <w:tcW w:w="2063"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1431" w:type="dxa"/>
            <w:vAlign w:val="center"/>
          </w:tcPr>
          <w:p>
            <w:pPr>
              <w:spacing w:before="20" w:after="20"/>
              <w:jc w:val="right"/>
              <w:rPr>
                <w:b/>
                <w:noProof/>
                <w:sz w:val="20"/>
              </w:rPr>
            </w:pPr>
            <w:r>
              <w:rPr>
                <w:b/>
                <w:noProof/>
                <w:sz w:val="20"/>
              </w:rPr>
              <w:t>31,8</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OGÓŁEM środki administracyjne finansowane ze środków przydzielonych na określone programy operacyjne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tcPr>
          <w:p>
            <w:pPr>
              <w:spacing w:before="20" w:after="20"/>
              <w:jc w:val="right"/>
              <w:rPr>
                <w:b/>
                <w:noProof/>
                <w:sz w:val="20"/>
              </w:rPr>
            </w:pPr>
          </w:p>
        </w:tc>
        <w:tc>
          <w:tcPr>
            <w:tcW w:w="1431" w:type="dxa"/>
            <w:vAlign w:val="center"/>
          </w:tcPr>
          <w:p>
            <w:pPr>
              <w:spacing w:before="20" w:after="20"/>
              <w:jc w:val="right"/>
              <w:rPr>
                <w:b/>
                <w:noProof/>
                <w:sz w:val="20"/>
              </w:rPr>
            </w:pPr>
          </w:p>
        </w:tc>
      </w:tr>
      <w:tr>
        <w:tc>
          <w:tcPr>
            <w:tcW w:w="3337" w:type="dxa"/>
            <w:vMerge w:val="restart"/>
            <w:shd w:val="thinDiagStripe" w:color="C0C0C0" w:fill="auto"/>
            <w:vAlign w:val="center"/>
          </w:tcPr>
          <w:p>
            <w:pPr>
              <w:jc w:val="center"/>
              <w:rPr>
                <w:b/>
                <w:noProof/>
              </w:rPr>
            </w:pPr>
            <w:r>
              <w:rPr>
                <w:b/>
                <w:noProof/>
                <w:sz w:val="22"/>
              </w:rPr>
              <w:t>OGÓŁEM środki</w:t>
            </w:r>
            <w:r>
              <w:rPr>
                <w:noProof/>
                <w:sz w:val="22"/>
              </w:rPr>
              <w:br/>
            </w:r>
            <w:r>
              <w:rPr>
                <w:b/>
                <w:noProof/>
                <w:sz w:val="22"/>
              </w:rPr>
              <w:t>na DZIAŁ 2</w:t>
            </w:r>
            <w:r>
              <w:rPr>
                <w:noProof/>
                <w:sz w:val="22"/>
              </w:rPr>
              <w:br/>
              <w:t>wieloletnich ram finansowych</w:t>
            </w:r>
          </w:p>
        </w:tc>
        <w:tc>
          <w:tcPr>
            <w:tcW w:w="2063"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1431" w:type="dxa"/>
            <w:vAlign w:val="center"/>
          </w:tcPr>
          <w:p>
            <w:pPr>
              <w:spacing w:before="20" w:after="20"/>
              <w:jc w:val="right"/>
              <w:rPr>
                <w:b/>
                <w:noProof/>
                <w:sz w:val="20"/>
              </w:rPr>
            </w:pPr>
            <w:r>
              <w:rPr>
                <w:b/>
                <w:noProof/>
                <w:sz w:val="20"/>
              </w:rPr>
              <w:t>31,8</w:t>
            </w:r>
          </w:p>
        </w:tc>
      </w:tr>
      <w:tr>
        <w:tc>
          <w:tcPr>
            <w:tcW w:w="3337" w:type="dxa"/>
            <w:vMerge/>
            <w:shd w:val="thinDiagStripe" w:color="C0C0C0" w:fill="auto"/>
          </w:tcPr>
          <w:p>
            <w:pPr>
              <w:rPr>
                <w:noProof/>
                <w:sz w:val="20"/>
              </w:rPr>
            </w:pPr>
          </w:p>
        </w:tc>
        <w:tc>
          <w:tcPr>
            <w:tcW w:w="2063" w:type="dxa"/>
            <w:vAlign w:val="center"/>
          </w:tcPr>
          <w:p>
            <w:pPr>
              <w:rPr>
                <w:noProof/>
                <w:sz w:val="18"/>
              </w:rPr>
            </w:pPr>
            <w:r>
              <w:rPr>
                <w:noProof/>
                <w:sz w:val="18"/>
              </w:rPr>
              <w:t>Środki na płatności</w:t>
            </w:r>
          </w:p>
        </w:tc>
        <w:tc>
          <w:tcPr>
            <w:tcW w:w="654" w:type="dxa"/>
            <w:vAlign w:val="center"/>
          </w:tcPr>
          <w:p>
            <w:pPr>
              <w:jc w:val="center"/>
              <w:rPr>
                <w:noProof/>
                <w:sz w:val="14"/>
              </w:rPr>
            </w:pPr>
            <w:r>
              <w:rPr>
                <w:noProof/>
                <w:sz w:val="14"/>
              </w:rPr>
              <w:t>=5+6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1431" w:type="dxa"/>
            <w:vAlign w:val="center"/>
          </w:tcPr>
          <w:p>
            <w:pPr>
              <w:spacing w:before="20" w:after="20"/>
              <w:jc w:val="right"/>
              <w:rPr>
                <w:b/>
                <w:noProof/>
                <w:sz w:val="20"/>
              </w:rPr>
            </w:pPr>
            <w:r>
              <w:rPr>
                <w:b/>
                <w:noProof/>
                <w:sz w:val="20"/>
              </w:rPr>
              <w:t>31,8</w:t>
            </w:r>
          </w:p>
        </w:tc>
      </w:tr>
    </w:tbl>
    <w:p>
      <w:pPr>
        <w:spacing w:after="40"/>
        <w:rPr>
          <w:b/>
          <w:noProof/>
          <w:sz w:val="22"/>
          <w:u w:val="single"/>
        </w:rPr>
      </w:pPr>
      <w:r>
        <w:rPr>
          <w:b/>
          <w:noProof/>
          <w:sz w:val="22"/>
          <w:u w:val="single"/>
        </w:rPr>
        <w:t>Jeżeli wpływ wniosku/inicjatywy nie ogranicza się do jednego działu operacyjnego, należy powtórzyć powyższą część:</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337"/>
        <w:gridCol w:w="2063"/>
        <w:gridCol w:w="654"/>
        <w:gridCol w:w="868"/>
        <w:gridCol w:w="868"/>
        <w:gridCol w:w="868"/>
        <w:gridCol w:w="868"/>
        <w:gridCol w:w="868"/>
        <w:gridCol w:w="881"/>
        <w:gridCol w:w="1418"/>
      </w:tblGrid>
      <w:tr>
        <w:trPr>
          <w:trHeight w:val="277"/>
        </w:trPr>
        <w:tc>
          <w:tcPr>
            <w:tcW w:w="3337"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OGÓŁEM środki operacyjne (wszystkie działy operacyjne)</w:t>
            </w:r>
          </w:p>
        </w:tc>
        <w:tc>
          <w:tcPr>
            <w:tcW w:w="2063" w:type="dxa"/>
            <w:tcBorders>
              <w:top w:val="single" w:sz="4" w:space="0" w:color="auto"/>
            </w:tcBorders>
            <w:vAlign w:val="center"/>
          </w:tcPr>
          <w:p>
            <w:pPr>
              <w:spacing w:beforeLines="20" w:before="48" w:afterLines="20" w:after="48"/>
              <w:rPr>
                <w:noProof/>
                <w:sz w:val="18"/>
              </w:rPr>
            </w:pPr>
            <w:r>
              <w:rPr>
                <w:noProof/>
                <w:sz w:val="18"/>
              </w:rPr>
              <w:t>Środki na zobowiązania</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81" w:type="dxa"/>
            <w:tcBorders>
              <w:top w:val="single" w:sz="4" w:space="0" w:color="auto"/>
            </w:tcBorders>
          </w:tcPr>
          <w:p>
            <w:pPr>
              <w:spacing w:before="20" w:after="20"/>
              <w:jc w:val="right"/>
              <w:rPr>
                <w:b/>
                <w:noProof/>
                <w:sz w:val="20"/>
              </w:rPr>
            </w:pPr>
            <w:r>
              <w:rPr>
                <w:noProof/>
                <w:sz w:val="20"/>
              </w:rPr>
              <w:t>5,30</w:t>
            </w:r>
          </w:p>
        </w:tc>
        <w:tc>
          <w:tcPr>
            <w:tcW w:w="1418" w:type="dxa"/>
            <w:tcBorders>
              <w:top w:val="single" w:sz="4" w:space="0" w:color="auto"/>
              <w:right w:val="single" w:sz="4" w:space="0" w:color="auto"/>
            </w:tcBorders>
            <w:vAlign w:val="center"/>
          </w:tcPr>
          <w:p>
            <w:pPr>
              <w:spacing w:before="20" w:after="20"/>
              <w:jc w:val="right"/>
              <w:rPr>
                <w:b/>
                <w:noProof/>
                <w:sz w:val="20"/>
              </w:rPr>
            </w:pPr>
            <w:r>
              <w:rPr>
                <w:b/>
                <w:noProof/>
                <w:sz w:val="20"/>
              </w:rPr>
              <w:t>31,8</w:t>
            </w:r>
          </w:p>
        </w:tc>
      </w:tr>
      <w:tr>
        <w:tc>
          <w:tcPr>
            <w:tcW w:w="3337" w:type="dxa"/>
            <w:vMerge/>
            <w:tcBorders>
              <w:top w:val="single" w:sz="4" w:space="0" w:color="FF0000"/>
              <w:left w:val="single" w:sz="4" w:space="0" w:color="auto"/>
              <w:bottom w:val="single" w:sz="4" w:space="0" w:color="FF0000"/>
            </w:tcBorders>
          </w:tcPr>
          <w:p>
            <w:pPr>
              <w:jc w:val="center"/>
              <w:rPr>
                <w:noProof/>
                <w:sz w:val="20"/>
              </w:rPr>
            </w:pPr>
          </w:p>
        </w:tc>
        <w:tc>
          <w:tcPr>
            <w:tcW w:w="2063"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1418" w:type="dxa"/>
            <w:tcBorders>
              <w:right w:val="single" w:sz="4" w:space="0" w:color="auto"/>
            </w:tcBorders>
            <w:vAlign w:val="center"/>
          </w:tcPr>
          <w:p>
            <w:pPr>
              <w:spacing w:before="20" w:after="20"/>
              <w:jc w:val="right"/>
              <w:rPr>
                <w:b/>
                <w:noProof/>
                <w:sz w:val="20"/>
              </w:rPr>
            </w:pPr>
            <w:r>
              <w:rPr>
                <w:b/>
                <w:noProof/>
                <w:sz w:val="20"/>
              </w:rPr>
              <w:t>31,8</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OGÓŁEM środki administracyjne finansowane ze środków przydzielonych na określone programy (wszystkie działy operacyjne)</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1418" w:type="dxa"/>
            <w:vAlign w:val="center"/>
          </w:tcPr>
          <w:p>
            <w:pPr>
              <w:spacing w:before="20" w:after="20"/>
              <w:jc w:val="right"/>
              <w:rPr>
                <w:b/>
                <w:noProof/>
                <w:sz w:val="20"/>
              </w:rPr>
            </w:pPr>
          </w:p>
        </w:tc>
      </w:tr>
      <w:tr>
        <w:tc>
          <w:tcPr>
            <w:tcW w:w="3337"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OGÓŁEM środki</w:t>
            </w:r>
            <w:r>
              <w:rPr>
                <w:noProof/>
                <w:sz w:val="22"/>
              </w:rPr>
              <w:br/>
            </w:r>
            <w:r>
              <w:rPr>
                <w:b/>
                <w:noProof/>
                <w:sz w:val="22"/>
              </w:rPr>
              <w:t>na DZIAŁY 1 do 4</w:t>
            </w:r>
            <w:r>
              <w:rPr>
                <w:noProof/>
                <w:sz w:val="22"/>
              </w:rPr>
              <w:br/>
              <w:t>wieloletnich ram finansowych</w:t>
            </w:r>
            <w:r>
              <w:rPr>
                <w:noProof/>
                <w:sz w:val="22"/>
              </w:rPr>
              <w:br/>
            </w:r>
            <w:r>
              <w:rPr>
                <w:noProof/>
                <w:sz w:val="20"/>
              </w:rPr>
              <w:t>(kwota referencyjna)</w:t>
            </w:r>
          </w:p>
        </w:tc>
        <w:tc>
          <w:tcPr>
            <w:tcW w:w="2063"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vAlign w:val="center"/>
          </w:tcPr>
          <w:p>
            <w:pPr>
              <w:spacing w:before="20" w:after="20"/>
              <w:jc w:val="right"/>
              <w:rPr>
                <w:b/>
                <w:noProof/>
                <w:sz w:val="20"/>
              </w:rPr>
            </w:pPr>
            <w:r>
              <w:rPr>
                <w:noProof/>
                <w:sz w:val="20"/>
              </w:rPr>
              <w:t>5,30</w:t>
            </w:r>
          </w:p>
        </w:tc>
        <w:tc>
          <w:tcPr>
            <w:tcW w:w="1418" w:type="dxa"/>
            <w:tcBorders>
              <w:right w:val="single" w:sz="4" w:space="0" w:color="auto"/>
            </w:tcBorders>
            <w:vAlign w:val="center"/>
          </w:tcPr>
          <w:p>
            <w:pPr>
              <w:spacing w:before="20" w:after="20"/>
              <w:jc w:val="right"/>
              <w:rPr>
                <w:b/>
                <w:noProof/>
                <w:sz w:val="20"/>
              </w:rPr>
            </w:pPr>
            <w:r>
              <w:rPr>
                <w:b/>
                <w:noProof/>
                <w:sz w:val="20"/>
              </w:rPr>
              <w:t>31,8</w:t>
            </w:r>
          </w:p>
        </w:tc>
      </w:tr>
      <w:tr>
        <w:tc>
          <w:tcPr>
            <w:tcW w:w="3337"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2063" w:type="dxa"/>
            <w:tcBorders>
              <w:bottom w:val="single" w:sz="4" w:space="0" w:color="auto"/>
            </w:tcBorders>
            <w:vAlign w:val="center"/>
          </w:tcPr>
          <w:p>
            <w:pPr>
              <w:rPr>
                <w:noProof/>
                <w:sz w:val="18"/>
              </w:rPr>
            </w:pPr>
            <w:r>
              <w:rPr>
                <w:noProof/>
                <w:sz w:val="18"/>
              </w:rPr>
              <w:t>Środki na płatności</w:t>
            </w:r>
          </w:p>
        </w:tc>
        <w:tc>
          <w:tcPr>
            <w:tcW w:w="654" w:type="dxa"/>
            <w:tcBorders>
              <w:bottom w:val="single" w:sz="4" w:space="0" w:color="auto"/>
            </w:tcBorders>
            <w:vAlign w:val="center"/>
          </w:tcPr>
          <w:p>
            <w:pPr>
              <w:jc w:val="center"/>
              <w:rPr>
                <w:noProof/>
                <w:sz w:val="14"/>
              </w:rPr>
            </w:pPr>
            <w:r>
              <w:rPr>
                <w:noProof/>
                <w:sz w:val="14"/>
              </w:rPr>
              <w:t>=5+6</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81" w:type="dxa"/>
            <w:tcBorders>
              <w:bottom w:val="single" w:sz="4" w:space="0" w:color="auto"/>
            </w:tcBorders>
            <w:vAlign w:val="center"/>
          </w:tcPr>
          <w:p>
            <w:pPr>
              <w:spacing w:before="20" w:after="20"/>
              <w:jc w:val="right"/>
              <w:rPr>
                <w:b/>
                <w:noProof/>
                <w:sz w:val="20"/>
              </w:rPr>
            </w:pPr>
            <w:r>
              <w:rPr>
                <w:noProof/>
                <w:sz w:val="20"/>
              </w:rPr>
              <w:t>5,30</w:t>
            </w:r>
          </w:p>
        </w:tc>
        <w:tc>
          <w:tcPr>
            <w:tcW w:w="1418" w:type="dxa"/>
            <w:tcBorders>
              <w:bottom w:val="single" w:sz="4" w:space="0" w:color="auto"/>
              <w:right w:val="single" w:sz="4" w:space="0" w:color="auto"/>
            </w:tcBorders>
            <w:vAlign w:val="center"/>
          </w:tcPr>
          <w:p>
            <w:pPr>
              <w:spacing w:before="20" w:after="20"/>
              <w:jc w:val="right"/>
              <w:rPr>
                <w:b/>
                <w:noProof/>
                <w:sz w:val="20"/>
              </w:rPr>
            </w:pPr>
            <w:r>
              <w:rPr>
                <w:b/>
                <w:noProof/>
                <w:sz w:val="20"/>
              </w:rPr>
              <w:t>31,8</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Dział wieloletnich ram finansowych</w:t>
            </w:r>
            <w:r>
              <w:rPr>
                <w:noProof/>
                <w:sz w:val="22"/>
              </w:rPr>
              <w:br/>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„Wydatki administracyjne”</w:t>
            </w:r>
          </w:p>
        </w:tc>
      </w:tr>
    </w:tbl>
    <w:p>
      <w:pPr>
        <w:jc w:val="left"/>
        <w:rPr>
          <w:noProof/>
          <w:sz w:val="20"/>
        </w:rPr>
      </w:pPr>
      <w:r>
        <w:rPr>
          <w:noProof/>
        </w:rPr>
        <w:t xml:space="preserve">Niniejszą część uzupełnia się przy użyciu „danych budżetowych o charakterze administracyjnym”, które należy najpierw wprowadzić do </w:t>
      </w:r>
      <w:hyperlink r:id="rId13">
        <w:r>
          <w:rPr>
            <w:rStyle w:val="Hyperlink"/>
            <w:noProof/>
          </w:rPr>
          <w:t>załącznika do oceny skutków finansowych regulacji</w:t>
        </w:r>
      </w:hyperlink>
      <w:r>
        <w:rPr>
          <w:noProof/>
        </w:rPr>
        <w:t xml:space="preserve"> (załącznika V do zasad wewnętrznych), przesyłanego do DECIDE w celu konsultacji między służbami.</w:t>
      </w:r>
    </w:p>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OGÓŁEM</w:t>
            </w:r>
          </w:p>
        </w:tc>
      </w:tr>
      <w:tr>
        <w:trPr>
          <w:gridAfter w:val="8"/>
          <w:wAfter w:w="8211" w:type="dxa"/>
        </w:trPr>
        <w:tc>
          <w:tcPr>
            <w:tcW w:w="3960" w:type="dxa"/>
            <w:vAlign w:val="center"/>
          </w:tcPr>
          <w:p>
            <w:pPr>
              <w:spacing w:before="60" w:after="60"/>
              <w:jc w:val="center"/>
              <w:rPr>
                <w:noProof/>
              </w:rPr>
            </w:pPr>
            <w:r>
              <w:rPr>
                <w:noProof/>
                <w:sz w:val="22"/>
              </w:rPr>
              <w:t>DG: MARE</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 xml:space="preserve"> Zasoby ludzkie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 xml:space="preserve"> Pozostałe wydatki administracyjne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OGÓŁEM DG</w:t>
            </w:r>
            <w:r>
              <w:rPr>
                <w:noProof/>
                <w:sz w:val="22"/>
              </w:rPr>
              <w:t xml:space="preserve"> MARE</w:t>
            </w:r>
          </w:p>
        </w:tc>
        <w:tc>
          <w:tcPr>
            <w:tcW w:w="2094" w:type="dxa"/>
            <w:gridSpan w:val="3"/>
            <w:vAlign w:val="center"/>
          </w:tcPr>
          <w:p>
            <w:pPr>
              <w:rPr>
                <w:noProof/>
                <w:sz w:val="14"/>
              </w:rPr>
            </w:pPr>
            <w:r>
              <w:rPr>
                <w:noProof/>
                <w:sz w:val="18"/>
              </w:rPr>
              <w:t xml:space="preserve">Środki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81"/>
      </w:tblGrid>
      <w:tr>
        <w:tc>
          <w:tcPr>
            <w:tcW w:w="3960" w:type="dxa"/>
            <w:shd w:val="thinDiagStripe" w:color="C0C0C0" w:fill="auto"/>
            <w:vAlign w:val="center"/>
          </w:tcPr>
          <w:p>
            <w:pPr>
              <w:jc w:val="center"/>
              <w:rPr>
                <w:b/>
                <w:noProof/>
              </w:rPr>
            </w:pPr>
            <w:r>
              <w:rPr>
                <w:b/>
                <w:noProof/>
                <w:sz w:val="22"/>
              </w:rPr>
              <w:t>OGÓŁEM środki</w:t>
            </w:r>
            <w:r>
              <w:rPr>
                <w:noProof/>
                <w:sz w:val="22"/>
              </w:rPr>
              <w:br/>
            </w:r>
            <w:r>
              <w:rPr>
                <w:b/>
                <w:noProof/>
                <w:sz w:val="22"/>
              </w:rPr>
              <w:t>na DZIAŁ 5</w:t>
            </w:r>
            <w:r>
              <w:rPr>
                <w:noProof/>
                <w:sz w:val="22"/>
              </w:rPr>
              <w:br/>
              <w:t>wieloletnich ram finansowych</w:t>
            </w:r>
          </w:p>
        </w:tc>
        <w:tc>
          <w:tcPr>
            <w:tcW w:w="2094" w:type="dxa"/>
            <w:vAlign w:val="center"/>
          </w:tcPr>
          <w:p>
            <w:pPr>
              <w:spacing w:before="40" w:after="40"/>
              <w:rPr>
                <w:noProof/>
              </w:rPr>
            </w:pPr>
            <w:r>
              <w:rPr>
                <w:noProof/>
                <w:sz w:val="18"/>
              </w:rPr>
              <w:t>(Środki na zobowiązania ogółem = środki na płatności ogółem)</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81" w:type="dxa"/>
            <w:vAlign w:val="center"/>
          </w:tcPr>
          <w:p>
            <w:pPr>
              <w:spacing w:before="20" w:after="20"/>
              <w:jc w:val="right"/>
              <w:rPr>
                <w:b/>
                <w:noProof/>
                <w:sz w:val="20"/>
              </w:rPr>
            </w:pP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OGÓŁEM</w:t>
            </w:r>
          </w:p>
        </w:tc>
      </w:tr>
      <w:tr>
        <w:tc>
          <w:tcPr>
            <w:tcW w:w="3960" w:type="dxa"/>
            <w:vMerge w:val="restart"/>
            <w:shd w:val="clear" w:color="auto" w:fill="C0C0C0"/>
            <w:vAlign w:val="center"/>
          </w:tcPr>
          <w:p>
            <w:pPr>
              <w:jc w:val="center"/>
              <w:rPr>
                <w:b/>
                <w:noProof/>
              </w:rPr>
            </w:pPr>
            <w:r>
              <w:rPr>
                <w:b/>
                <w:noProof/>
                <w:sz w:val="22"/>
              </w:rPr>
              <w:t>OGÓŁEM środki</w:t>
            </w:r>
            <w:r>
              <w:rPr>
                <w:noProof/>
                <w:sz w:val="22"/>
              </w:rPr>
              <w:br/>
            </w:r>
            <w:r>
              <w:rPr>
                <w:b/>
                <w:noProof/>
                <w:sz w:val="22"/>
              </w:rPr>
              <w:t>na DZIAŁY 1 do 5</w:t>
            </w:r>
            <w:r>
              <w:rPr>
                <w:noProof/>
                <w:sz w:val="22"/>
              </w:rPr>
              <w:br/>
              <w:t>wieloletnich ram finansowych</w:t>
            </w:r>
          </w:p>
        </w:tc>
        <w:tc>
          <w:tcPr>
            <w:tcW w:w="2094" w:type="dxa"/>
            <w:gridSpan w:val="2"/>
            <w:vAlign w:val="center"/>
          </w:tcPr>
          <w:p>
            <w:pPr>
              <w:rPr>
                <w:noProof/>
                <w:sz w:val="14"/>
              </w:rPr>
            </w:pPr>
            <w:r>
              <w:rPr>
                <w:noProof/>
                <w:sz w:val="18"/>
              </w:rPr>
              <w:t>Środki na zobowiązania</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vAlign w:val="center"/>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vAlign w:val="center"/>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bl>
    <w:p>
      <w:pPr>
        <w:rPr>
          <w:noProof/>
        </w:rPr>
      </w:pPr>
    </w:p>
    <w:p>
      <w:pPr>
        <w:pStyle w:val="ManualHeading3"/>
        <w:rPr>
          <w:bCs/>
          <w:noProof/>
          <w:szCs w:val="24"/>
        </w:rPr>
      </w:pPr>
      <w:r>
        <w:rPr>
          <w:noProof/>
        </w:rPr>
        <w:t>3.2.2.</w:t>
      </w:r>
      <w:r>
        <w:rPr>
          <w:noProof/>
        </w:rPr>
        <w:tab/>
        <w:t>Przewidywany produkt finansowany ze środków operacyjnych</w:t>
      </w:r>
    </w:p>
    <w:p>
      <w:pPr>
        <w:jc w:val="right"/>
        <w:rPr>
          <w:noProof/>
          <w:sz w:val="20"/>
        </w:rPr>
      </w:pPr>
      <w:r>
        <w:rPr>
          <w:noProof/>
          <w:sz w:val="20"/>
        </w:rPr>
        <w:t>Środki na zobowiązania w mln EUR (do trzech miejsc po przecinku)</w:t>
      </w:r>
    </w:p>
    <w:p>
      <w:pPr>
        <w:rPr>
          <w:noProof/>
        </w:rPr>
      </w:pPr>
    </w:p>
    <w:p>
      <w:pPr>
        <w:rPr>
          <w:noProof/>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225"/>
        <w:gridCol w:w="851"/>
        <w:gridCol w:w="759"/>
        <w:gridCol w:w="6"/>
        <w:gridCol w:w="147"/>
        <w:gridCol w:w="351"/>
        <w:gridCol w:w="6"/>
        <w:gridCol w:w="714"/>
        <w:gridCol w:w="6"/>
        <w:gridCol w:w="534"/>
        <w:gridCol w:w="6"/>
        <w:gridCol w:w="714"/>
        <w:gridCol w:w="6"/>
        <w:gridCol w:w="714"/>
        <w:gridCol w:w="6"/>
        <w:gridCol w:w="714"/>
        <w:gridCol w:w="6"/>
        <w:gridCol w:w="894"/>
        <w:gridCol w:w="6"/>
        <w:gridCol w:w="717"/>
        <w:gridCol w:w="6"/>
        <w:gridCol w:w="534"/>
        <w:gridCol w:w="6"/>
        <w:gridCol w:w="702"/>
        <w:gridCol w:w="12"/>
        <w:gridCol w:w="930"/>
        <w:gridCol w:w="12"/>
        <w:gridCol w:w="1131"/>
        <w:gridCol w:w="1041"/>
        <w:gridCol w:w="6"/>
        <w:gridCol w:w="12"/>
      </w:tblGrid>
      <w:tr>
        <w:trPr>
          <w:gridBefore w:val="1"/>
          <w:wBefore w:w="6" w:type="dxa"/>
          <w:jc w:val="center"/>
        </w:trPr>
        <w:tc>
          <w:tcPr>
            <w:tcW w:w="1225" w:type="dxa"/>
            <w:vMerge w:val="restart"/>
            <w:vAlign w:val="center"/>
          </w:tcPr>
          <w:p>
            <w:pPr>
              <w:ind w:right="-29"/>
              <w:jc w:val="center"/>
              <w:rPr>
                <w:b/>
                <w:noProof/>
                <w:sz w:val="18"/>
                <w:szCs w:val="18"/>
              </w:rPr>
            </w:pPr>
            <w:r>
              <w:rPr>
                <w:b/>
                <w:noProof/>
                <w:sz w:val="18"/>
              </w:rPr>
              <w:t>Określić cele i produkty</w:t>
            </w:r>
          </w:p>
          <w:p>
            <w:pPr>
              <w:ind w:right="-29"/>
              <w:jc w:val="center"/>
              <w:rPr>
                <w:b/>
                <w:noProof/>
                <w:sz w:val="18"/>
                <w:szCs w:val="18"/>
              </w:rPr>
            </w:pPr>
          </w:p>
          <w:p>
            <w:pPr>
              <w:ind w:right="-29"/>
              <w:jc w:val="center"/>
              <w:rPr>
                <w:noProof/>
                <w:sz w:val="18"/>
                <w:szCs w:val="18"/>
              </w:rPr>
            </w:pPr>
            <w:r>
              <w:rPr>
                <w:noProof/>
                <w:sz w:val="18"/>
              </w:rPr>
              <w:sym w:font="Wingdings" w:char="F0F2"/>
            </w:r>
          </w:p>
        </w:tc>
        <w:tc>
          <w:tcPr>
            <w:tcW w:w="851" w:type="dxa"/>
            <w:vAlign w:val="center"/>
          </w:tcPr>
          <w:p>
            <w:pPr>
              <w:ind w:right="-29"/>
              <w:jc w:val="center"/>
              <w:rPr>
                <w:noProof/>
                <w:sz w:val="18"/>
                <w:szCs w:val="18"/>
              </w:rPr>
            </w:pPr>
          </w:p>
        </w:tc>
        <w:tc>
          <w:tcPr>
            <w:tcW w:w="765" w:type="dxa"/>
            <w:gridSpan w:val="2"/>
            <w:vAlign w:val="center"/>
          </w:tcPr>
          <w:p>
            <w:pPr>
              <w:ind w:right="-29"/>
              <w:jc w:val="center"/>
              <w:rPr>
                <w:noProof/>
                <w:sz w:val="18"/>
                <w:szCs w:val="18"/>
              </w:rPr>
            </w:pPr>
          </w:p>
        </w:tc>
        <w:tc>
          <w:tcPr>
            <w:tcW w:w="1224" w:type="dxa"/>
            <w:gridSpan w:val="5"/>
            <w:tcBorders>
              <w:left w:val="nil"/>
            </w:tcBorders>
            <w:vAlign w:val="center"/>
          </w:tcPr>
          <w:p>
            <w:pPr>
              <w:ind w:right="-29"/>
              <w:jc w:val="center"/>
              <w:rPr>
                <w:noProof/>
                <w:sz w:val="18"/>
                <w:szCs w:val="18"/>
              </w:rPr>
            </w:pPr>
            <w:r>
              <w:rPr>
                <w:b/>
                <w:noProof/>
                <w:sz w:val="18"/>
              </w:rPr>
              <w:t>2020</w:t>
            </w:r>
          </w:p>
        </w:tc>
        <w:tc>
          <w:tcPr>
            <w:tcW w:w="1260" w:type="dxa"/>
            <w:gridSpan w:val="4"/>
            <w:vAlign w:val="center"/>
          </w:tcPr>
          <w:p>
            <w:pPr>
              <w:ind w:right="-29"/>
              <w:jc w:val="center"/>
              <w:rPr>
                <w:noProof/>
                <w:sz w:val="18"/>
                <w:szCs w:val="18"/>
              </w:rPr>
            </w:pPr>
            <w:r>
              <w:rPr>
                <w:b/>
                <w:noProof/>
                <w:sz w:val="18"/>
              </w:rPr>
              <w:t>2021</w:t>
            </w:r>
          </w:p>
        </w:tc>
        <w:tc>
          <w:tcPr>
            <w:tcW w:w="1440" w:type="dxa"/>
            <w:gridSpan w:val="4"/>
            <w:vAlign w:val="center"/>
          </w:tcPr>
          <w:p>
            <w:pPr>
              <w:ind w:right="-29"/>
              <w:jc w:val="center"/>
              <w:rPr>
                <w:noProof/>
                <w:sz w:val="18"/>
                <w:szCs w:val="18"/>
              </w:rPr>
            </w:pPr>
            <w:r>
              <w:rPr>
                <w:b/>
                <w:noProof/>
                <w:sz w:val="18"/>
              </w:rPr>
              <w:t>2022</w:t>
            </w:r>
          </w:p>
        </w:tc>
        <w:tc>
          <w:tcPr>
            <w:tcW w:w="1623" w:type="dxa"/>
            <w:gridSpan w:val="4"/>
            <w:vAlign w:val="center"/>
          </w:tcPr>
          <w:p>
            <w:pPr>
              <w:ind w:right="-29"/>
              <w:jc w:val="center"/>
              <w:rPr>
                <w:noProof/>
                <w:sz w:val="18"/>
                <w:szCs w:val="18"/>
              </w:rPr>
            </w:pPr>
            <w:r>
              <w:rPr>
                <w:b/>
                <w:noProof/>
                <w:sz w:val="18"/>
              </w:rPr>
              <w:t>2023</w:t>
            </w:r>
          </w:p>
        </w:tc>
        <w:tc>
          <w:tcPr>
            <w:tcW w:w="1254" w:type="dxa"/>
            <w:gridSpan w:val="4"/>
            <w:vAlign w:val="center"/>
          </w:tcPr>
          <w:p>
            <w:pPr>
              <w:jc w:val="center"/>
              <w:rPr>
                <w:noProof/>
                <w:sz w:val="18"/>
                <w:szCs w:val="18"/>
              </w:rPr>
            </w:pPr>
            <w:r>
              <w:rPr>
                <w:b/>
                <w:noProof/>
                <w:sz w:val="18"/>
              </w:rPr>
              <w:t>2024</w:t>
            </w:r>
          </w:p>
        </w:tc>
        <w:tc>
          <w:tcPr>
            <w:tcW w:w="942" w:type="dxa"/>
            <w:gridSpan w:val="2"/>
            <w:tcBorders>
              <w:right w:val="nil"/>
            </w:tcBorders>
          </w:tcPr>
          <w:p>
            <w:pPr>
              <w:ind w:right="-29"/>
              <w:jc w:val="center"/>
              <w:rPr>
                <w:b/>
                <w:noProof/>
                <w:sz w:val="18"/>
              </w:rPr>
            </w:pPr>
            <w:r>
              <w:rPr>
                <w:b/>
                <w:noProof/>
                <w:sz w:val="18"/>
              </w:rPr>
              <w:t>2025</w:t>
            </w:r>
          </w:p>
        </w:tc>
        <w:tc>
          <w:tcPr>
            <w:tcW w:w="2190" w:type="dxa"/>
            <w:gridSpan w:val="4"/>
            <w:tcBorders>
              <w:left w:val="nil"/>
              <w:bottom w:val="nil"/>
            </w:tcBorders>
            <w:vAlign w:val="center"/>
          </w:tcPr>
          <w:p>
            <w:pPr>
              <w:ind w:right="-29"/>
              <w:jc w:val="center"/>
              <w:rPr>
                <w:noProof/>
                <w:sz w:val="18"/>
                <w:szCs w:val="18"/>
              </w:rPr>
            </w:pPr>
            <w:r>
              <w:rPr>
                <w:b/>
                <w:noProof/>
                <w:sz w:val="18"/>
              </w:rPr>
              <w:t>OGÓŁEM</w:t>
            </w:r>
          </w:p>
        </w:tc>
      </w:tr>
      <w:tr>
        <w:trPr>
          <w:gridBefore w:val="1"/>
          <w:gridAfter w:val="26"/>
          <w:wBefore w:w="6" w:type="dxa"/>
          <w:wAfter w:w="9786" w:type="dxa"/>
          <w:trHeight w:val="465"/>
          <w:jc w:val="center"/>
        </w:trPr>
        <w:tc>
          <w:tcPr>
            <w:tcW w:w="1225" w:type="dxa"/>
            <w:vMerge/>
            <w:vAlign w:val="center"/>
          </w:tcPr>
          <w:p>
            <w:pPr>
              <w:ind w:right="-29"/>
              <w:jc w:val="center"/>
              <w:rPr>
                <w:noProof/>
                <w:sz w:val="18"/>
                <w:szCs w:val="18"/>
              </w:rPr>
            </w:pPr>
          </w:p>
        </w:tc>
        <w:tc>
          <w:tcPr>
            <w:tcW w:w="1763" w:type="dxa"/>
            <w:gridSpan w:val="4"/>
          </w:tcPr>
          <w:p>
            <w:pPr>
              <w:ind w:right="-29"/>
              <w:jc w:val="center"/>
              <w:rPr>
                <w:noProof/>
                <w:sz w:val="18"/>
                <w:szCs w:val="18"/>
              </w:rPr>
            </w:pPr>
          </w:p>
        </w:tc>
      </w:tr>
      <w:tr>
        <w:trPr>
          <w:gridBefore w:val="1"/>
          <w:gridAfter w:val="1"/>
          <w:wBefore w:w="6" w:type="dxa"/>
          <w:wAfter w:w="12" w:type="dxa"/>
          <w:cantSplit/>
          <w:trHeight w:val="1134"/>
          <w:jc w:val="center"/>
        </w:trPr>
        <w:tc>
          <w:tcPr>
            <w:tcW w:w="1225" w:type="dxa"/>
            <w:vMerge/>
            <w:vAlign w:val="center"/>
          </w:tcPr>
          <w:p>
            <w:pPr>
              <w:rPr>
                <w:noProof/>
                <w:sz w:val="18"/>
                <w:szCs w:val="18"/>
              </w:rPr>
            </w:pPr>
          </w:p>
        </w:tc>
        <w:tc>
          <w:tcPr>
            <w:tcW w:w="851" w:type="dxa"/>
            <w:vAlign w:val="center"/>
          </w:tcPr>
          <w:p>
            <w:pPr>
              <w:jc w:val="center"/>
              <w:rPr>
                <w:noProof/>
                <w:sz w:val="18"/>
                <w:szCs w:val="18"/>
              </w:rPr>
            </w:pPr>
            <w:r>
              <w:rPr>
                <w:noProof/>
                <w:sz w:val="18"/>
              </w:rPr>
              <w:t>Rodzaj</w:t>
            </w:r>
            <w:r>
              <w:rPr>
                <w:rStyle w:val="FootnoteReference"/>
                <w:noProof/>
                <w:sz w:val="18"/>
              </w:rPr>
              <w:footnoteReference w:id="16"/>
            </w:r>
          </w:p>
          <w:p>
            <w:pPr>
              <w:spacing w:before="0" w:after="0"/>
              <w:jc w:val="center"/>
              <w:rPr>
                <w:noProof/>
                <w:sz w:val="18"/>
                <w:szCs w:val="18"/>
              </w:rPr>
            </w:pPr>
          </w:p>
        </w:tc>
        <w:tc>
          <w:tcPr>
            <w:tcW w:w="765" w:type="dxa"/>
            <w:gridSpan w:val="2"/>
            <w:vAlign w:val="center"/>
          </w:tcPr>
          <w:p>
            <w:pPr>
              <w:jc w:val="center"/>
              <w:rPr>
                <w:noProof/>
                <w:sz w:val="18"/>
                <w:szCs w:val="18"/>
              </w:rPr>
            </w:pPr>
            <w:r>
              <w:rPr>
                <w:noProof/>
                <w:sz w:val="18"/>
              </w:rPr>
              <w:t>Średni koszt</w:t>
            </w:r>
          </w:p>
        </w:tc>
        <w:tc>
          <w:tcPr>
            <w:tcW w:w="504"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942" w:type="dxa"/>
            <w:gridSpan w:val="2"/>
            <w:shd w:val="pct10" w:color="auto" w:fill="auto"/>
          </w:tcPr>
          <w:p>
            <w:pPr>
              <w:jc w:val="center"/>
              <w:rPr>
                <w:noProof/>
                <w:sz w:val="18"/>
              </w:rPr>
            </w:pPr>
          </w:p>
        </w:tc>
        <w:tc>
          <w:tcPr>
            <w:tcW w:w="1131" w:type="dxa"/>
            <w:tcBorders>
              <w:right w:val="dashSmallGap" w:sz="4" w:space="0" w:color="auto"/>
            </w:tcBorders>
            <w:shd w:val="pct10" w:color="auto" w:fill="auto"/>
            <w:vAlign w:val="center"/>
          </w:tcPr>
          <w:p>
            <w:pPr>
              <w:jc w:val="center"/>
              <w:rPr>
                <w:noProof/>
                <w:sz w:val="18"/>
                <w:szCs w:val="18"/>
              </w:rPr>
            </w:pPr>
            <w:r>
              <w:rPr>
                <w:noProof/>
                <w:sz w:val="18"/>
              </w:rPr>
              <w:t>Liczba ogółem</w:t>
            </w:r>
          </w:p>
        </w:tc>
        <w:tc>
          <w:tcPr>
            <w:tcW w:w="1047" w:type="dxa"/>
            <w:gridSpan w:val="2"/>
            <w:tcBorders>
              <w:left w:val="dashSmallGap" w:sz="4" w:space="0" w:color="auto"/>
            </w:tcBorders>
            <w:shd w:val="pct10" w:color="auto" w:fill="auto"/>
            <w:vAlign w:val="center"/>
          </w:tcPr>
          <w:p>
            <w:pPr>
              <w:jc w:val="center"/>
              <w:rPr>
                <w:noProof/>
                <w:sz w:val="18"/>
                <w:szCs w:val="18"/>
              </w:rPr>
            </w:pPr>
            <w:r>
              <w:rPr>
                <w:noProof/>
                <w:sz w:val="18"/>
              </w:rPr>
              <w:t>Koszt całkowity</w:t>
            </w:r>
          </w:p>
        </w:tc>
      </w:tr>
      <w:tr>
        <w:trPr>
          <w:gridAfter w:val="2"/>
          <w:wAfter w:w="18" w:type="dxa"/>
          <w:jc w:val="center"/>
        </w:trPr>
        <w:tc>
          <w:tcPr>
            <w:tcW w:w="2841" w:type="dxa"/>
            <w:gridSpan w:val="4"/>
            <w:vAlign w:val="center"/>
          </w:tcPr>
          <w:p>
            <w:pPr>
              <w:spacing w:before="60" w:after="60"/>
              <w:ind w:right="-29"/>
              <w:jc w:val="center"/>
              <w:rPr>
                <w:noProof/>
                <w:sz w:val="18"/>
                <w:szCs w:val="18"/>
              </w:rPr>
            </w:pPr>
            <w:r>
              <w:rPr>
                <w:noProof/>
                <w:sz w:val="18"/>
              </w:rPr>
              <w:t>CEL SZCZEGÓŁOWY nr 1</w:t>
            </w:r>
            <w:r>
              <w:rPr>
                <w:rStyle w:val="FootnoteReference"/>
                <w:noProof/>
                <w:sz w:val="18"/>
              </w:rPr>
              <w:footnoteReference w:id="17"/>
            </w:r>
            <w:r>
              <w:rPr>
                <w:noProof/>
                <w:sz w:val="18"/>
              </w:rPr>
              <w:t xml:space="preserve"> ...</w:t>
            </w:r>
          </w:p>
        </w:tc>
        <w:tc>
          <w:tcPr>
            <w:tcW w:w="504"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942" w:type="dxa"/>
            <w:gridSpan w:val="2"/>
            <w:tcBorders>
              <w:top w:val="nil"/>
              <w:left w:val="nil"/>
              <w:bottom w:val="nil"/>
              <w:right w:val="nil"/>
            </w:tcBorders>
          </w:tcPr>
          <w:p>
            <w:pPr>
              <w:spacing w:before="60" w:after="60"/>
              <w:ind w:right="-29"/>
              <w:jc w:val="center"/>
              <w:rPr>
                <w:noProof/>
                <w:sz w:val="18"/>
                <w:szCs w:val="18"/>
              </w:rPr>
            </w:pPr>
          </w:p>
        </w:tc>
        <w:tc>
          <w:tcPr>
            <w:tcW w:w="1143" w:type="dxa"/>
            <w:gridSpan w:val="2"/>
            <w:tcBorders>
              <w:top w:val="nil"/>
              <w:left w:val="nil"/>
              <w:bottom w:val="nil"/>
              <w:right w:val="nil"/>
            </w:tcBorders>
          </w:tcPr>
          <w:p>
            <w:pPr>
              <w:spacing w:before="60" w:after="60"/>
              <w:ind w:right="-29"/>
              <w:jc w:val="center"/>
              <w:rPr>
                <w:noProof/>
                <w:sz w:val="18"/>
                <w:szCs w:val="18"/>
              </w:rPr>
            </w:pPr>
          </w:p>
        </w:tc>
        <w:tc>
          <w:tcPr>
            <w:tcW w:w="1041" w:type="dxa"/>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231" w:type="dxa"/>
            <w:gridSpan w:val="2"/>
          </w:tcPr>
          <w:p>
            <w:pPr>
              <w:ind w:right="-29"/>
              <w:jc w:val="center"/>
              <w:rPr>
                <w:noProof/>
                <w:sz w:val="18"/>
                <w:szCs w:val="18"/>
              </w:rPr>
            </w:pPr>
            <w:r>
              <w:rPr>
                <w:noProof/>
                <w:sz w:val="18"/>
              </w:rPr>
              <w:t>- dostęp</w:t>
            </w:r>
          </w:p>
        </w:tc>
        <w:tc>
          <w:tcPr>
            <w:tcW w:w="851" w:type="dxa"/>
          </w:tcPr>
          <w:p>
            <w:pPr>
              <w:ind w:right="-29"/>
              <w:jc w:val="center"/>
              <w:rPr>
                <w:noProof/>
                <w:sz w:val="18"/>
                <w:szCs w:val="18"/>
              </w:rPr>
            </w:pPr>
            <w:r>
              <w:rPr>
                <w:noProof/>
                <w:sz w:val="18"/>
                <w:szCs w:val="18"/>
              </w:rPr>
              <w:t>Rocznie</w:t>
            </w:r>
          </w:p>
        </w:tc>
        <w:tc>
          <w:tcPr>
            <w:tcW w:w="759" w:type="dxa"/>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2,5</w:t>
            </w:r>
          </w:p>
        </w:tc>
        <w:tc>
          <w:tcPr>
            <w:tcW w:w="942" w:type="dxa"/>
            <w:gridSpan w:val="2"/>
          </w:tcPr>
          <w:p>
            <w:pPr>
              <w:ind w:right="-29"/>
              <w:jc w:val="center"/>
              <w:rPr>
                <w:noProof/>
                <w:sz w:val="18"/>
                <w:szCs w:val="18"/>
              </w:rPr>
            </w:pPr>
            <w:r>
              <w:rPr>
                <w:noProof/>
                <w:sz w:val="18"/>
                <w:szCs w:val="18"/>
              </w:rPr>
              <w:t>2,5</w:t>
            </w:r>
          </w:p>
        </w:tc>
        <w:tc>
          <w:tcPr>
            <w:tcW w:w="1143" w:type="dxa"/>
            <w:gridSpan w:val="2"/>
          </w:tcPr>
          <w:p>
            <w:pPr>
              <w:ind w:right="-29"/>
              <w:jc w:val="center"/>
              <w:rPr>
                <w:noProof/>
                <w:sz w:val="18"/>
                <w:szCs w:val="18"/>
              </w:rPr>
            </w:pPr>
          </w:p>
        </w:tc>
        <w:tc>
          <w:tcPr>
            <w:tcW w:w="1041" w:type="dxa"/>
          </w:tcPr>
          <w:p>
            <w:pPr>
              <w:ind w:right="-29"/>
              <w:jc w:val="center"/>
              <w:rPr>
                <w:noProof/>
                <w:sz w:val="18"/>
                <w:szCs w:val="18"/>
              </w:rPr>
            </w:pPr>
            <w:r>
              <w:rPr>
                <w:noProof/>
                <w:sz w:val="18"/>
                <w:szCs w:val="18"/>
              </w:rPr>
              <w:t>15,00</w:t>
            </w:r>
          </w:p>
        </w:tc>
      </w:tr>
      <w:tr>
        <w:trPr>
          <w:gridAfter w:val="2"/>
          <w:wAfter w:w="18" w:type="dxa"/>
          <w:trHeight w:hRule="exact" w:val="369"/>
          <w:jc w:val="center"/>
        </w:trPr>
        <w:tc>
          <w:tcPr>
            <w:tcW w:w="1231" w:type="dxa"/>
            <w:gridSpan w:val="2"/>
          </w:tcPr>
          <w:p>
            <w:pPr>
              <w:ind w:right="-29"/>
              <w:jc w:val="center"/>
              <w:rPr>
                <w:noProof/>
                <w:sz w:val="18"/>
                <w:szCs w:val="18"/>
              </w:rPr>
            </w:pPr>
            <w:r>
              <w:rPr>
                <w:noProof/>
                <w:sz w:val="18"/>
              </w:rPr>
              <w:t>- wsparcie sektorowe</w:t>
            </w:r>
          </w:p>
        </w:tc>
        <w:tc>
          <w:tcPr>
            <w:tcW w:w="851" w:type="dxa"/>
          </w:tcPr>
          <w:p>
            <w:pPr>
              <w:ind w:right="-29"/>
              <w:jc w:val="center"/>
              <w:rPr>
                <w:noProof/>
                <w:sz w:val="18"/>
                <w:szCs w:val="18"/>
              </w:rPr>
            </w:pPr>
            <w:r>
              <w:rPr>
                <w:noProof/>
                <w:sz w:val="18"/>
                <w:szCs w:val="18"/>
              </w:rPr>
              <w:t>Rocznie</w:t>
            </w:r>
          </w:p>
        </w:tc>
        <w:tc>
          <w:tcPr>
            <w:tcW w:w="759" w:type="dxa"/>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2,8</w:t>
            </w:r>
          </w:p>
        </w:tc>
        <w:tc>
          <w:tcPr>
            <w:tcW w:w="942" w:type="dxa"/>
            <w:gridSpan w:val="2"/>
          </w:tcPr>
          <w:p>
            <w:pPr>
              <w:ind w:right="-29"/>
              <w:jc w:val="center"/>
              <w:rPr>
                <w:noProof/>
                <w:sz w:val="18"/>
                <w:szCs w:val="18"/>
              </w:rPr>
            </w:pPr>
            <w:r>
              <w:rPr>
                <w:noProof/>
                <w:sz w:val="18"/>
                <w:szCs w:val="18"/>
              </w:rPr>
              <w:t>2,8</w:t>
            </w:r>
          </w:p>
        </w:tc>
        <w:tc>
          <w:tcPr>
            <w:tcW w:w="1143" w:type="dxa"/>
            <w:gridSpan w:val="2"/>
          </w:tcPr>
          <w:p>
            <w:pPr>
              <w:ind w:right="-29"/>
              <w:jc w:val="center"/>
              <w:rPr>
                <w:noProof/>
                <w:sz w:val="18"/>
                <w:szCs w:val="18"/>
              </w:rPr>
            </w:pPr>
          </w:p>
        </w:tc>
        <w:tc>
          <w:tcPr>
            <w:tcW w:w="1041" w:type="dxa"/>
          </w:tcPr>
          <w:p>
            <w:pPr>
              <w:ind w:right="-29"/>
              <w:jc w:val="center"/>
              <w:rPr>
                <w:noProof/>
                <w:sz w:val="18"/>
                <w:szCs w:val="18"/>
              </w:rPr>
            </w:pPr>
            <w:r>
              <w:rPr>
                <w:noProof/>
                <w:sz w:val="18"/>
                <w:szCs w:val="18"/>
              </w:rPr>
              <w:t>16,80</w:t>
            </w:r>
          </w:p>
        </w:tc>
      </w:tr>
      <w:tr>
        <w:trPr>
          <w:gridAfter w:val="2"/>
          <w:wAfter w:w="18" w:type="dxa"/>
          <w:trHeight w:hRule="exact" w:val="369"/>
          <w:jc w:val="center"/>
        </w:trPr>
        <w:tc>
          <w:tcPr>
            <w:tcW w:w="1231" w:type="dxa"/>
            <w:gridSpan w:val="2"/>
          </w:tcPr>
          <w:p>
            <w:pPr>
              <w:ind w:right="-29"/>
              <w:jc w:val="center"/>
              <w:rPr>
                <w:noProof/>
                <w:sz w:val="18"/>
                <w:szCs w:val="18"/>
              </w:rPr>
            </w:pPr>
            <w:r>
              <w:rPr>
                <w:noProof/>
                <w:sz w:val="18"/>
              </w:rPr>
              <w:t>- produkt</w:t>
            </w:r>
          </w:p>
        </w:tc>
        <w:tc>
          <w:tcPr>
            <w:tcW w:w="851" w:type="dxa"/>
          </w:tcPr>
          <w:p>
            <w:pPr>
              <w:ind w:right="-29"/>
              <w:jc w:val="center"/>
              <w:rPr>
                <w:noProof/>
                <w:sz w:val="18"/>
                <w:szCs w:val="18"/>
              </w:rPr>
            </w:pPr>
          </w:p>
        </w:tc>
        <w:tc>
          <w:tcPr>
            <w:tcW w:w="759" w:type="dxa"/>
          </w:tcPr>
          <w:p>
            <w:pPr>
              <w:ind w:right="-29"/>
              <w:jc w:val="center"/>
              <w:rPr>
                <w:noProof/>
                <w:sz w:val="18"/>
                <w:szCs w:val="18"/>
              </w:rPr>
            </w:pPr>
          </w:p>
        </w:tc>
        <w:tc>
          <w:tcPr>
            <w:tcW w:w="504" w:type="dxa"/>
            <w:gridSpan w:val="3"/>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942" w:type="dxa"/>
            <w:gridSpan w:val="2"/>
          </w:tcPr>
          <w:p>
            <w:pPr>
              <w:ind w:right="-29"/>
              <w:jc w:val="center"/>
              <w:rPr>
                <w:noProof/>
                <w:sz w:val="18"/>
                <w:szCs w:val="18"/>
              </w:rPr>
            </w:pPr>
          </w:p>
        </w:tc>
        <w:tc>
          <w:tcPr>
            <w:tcW w:w="1143" w:type="dxa"/>
            <w:gridSpan w:val="2"/>
          </w:tcPr>
          <w:p>
            <w:pPr>
              <w:ind w:right="-29"/>
              <w:jc w:val="center"/>
              <w:rPr>
                <w:noProof/>
                <w:sz w:val="18"/>
                <w:szCs w:val="18"/>
              </w:rPr>
            </w:pPr>
          </w:p>
        </w:tc>
        <w:tc>
          <w:tcPr>
            <w:tcW w:w="1041" w:type="dxa"/>
          </w:tcPr>
          <w:p>
            <w:pPr>
              <w:ind w:right="-29"/>
              <w:jc w:val="center"/>
              <w:rPr>
                <w:noProof/>
                <w:sz w:val="18"/>
                <w:szCs w:val="18"/>
              </w:rPr>
            </w:pPr>
          </w:p>
        </w:tc>
      </w:tr>
      <w:tr>
        <w:trPr>
          <w:gridAfter w:val="2"/>
          <w:wAfter w:w="18" w:type="dxa"/>
          <w:trHeight w:val="77"/>
          <w:jc w:val="center"/>
        </w:trPr>
        <w:tc>
          <w:tcPr>
            <w:tcW w:w="2841" w:type="dxa"/>
            <w:gridSpan w:val="4"/>
            <w:tcBorders>
              <w:bottom w:val="single" w:sz="12" w:space="0" w:color="auto"/>
            </w:tcBorders>
            <w:vAlign w:val="center"/>
          </w:tcPr>
          <w:p>
            <w:pPr>
              <w:ind w:right="-29"/>
              <w:jc w:val="center"/>
              <w:rPr>
                <w:noProof/>
                <w:sz w:val="18"/>
                <w:szCs w:val="18"/>
              </w:rPr>
            </w:pPr>
            <w:r>
              <w:rPr>
                <w:noProof/>
                <w:sz w:val="18"/>
              </w:rPr>
              <w:t>Cel szczegółowy nr 1 – suma cząstkowa</w:t>
            </w:r>
          </w:p>
        </w:tc>
        <w:tc>
          <w:tcPr>
            <w:tcW w:w="504" w:type="dxa"/>
            <w:gridSpan w:val="3"/>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942" w:type="dxa"/>
            <w:gridSpan w:val="2"/>
            <w:tcBorders>
              <w:bottom w:val="single" w:sz="12" w:space="0" w:color="auto"/>
            </w:tcBorders>
          </w:tcPr>
          <w:p>
            <w:pPr>
              <w:ind w:right="-29"/>
              <w:jc w:val="center"/>
              <w:rPr>
                <w:noProof/>
                <w:sz w:val="18"/>
                <w:szCs w:val="18"/>
              </w:rPr>
            </w:pPr>
          </w:p>
        </w:tc>
        <w:tc>
          <w:tcPr>
            <w:tcW w:w="1143" w:type="dxa"/>
            <w:gridSpan w:val="2"/>
            <w:tcBorders>
              <w:bottom w:val="single" w:sz="12" w:space="0" w:color="auto"/>
            </w:tcBorders>
          </w:tcPr>
          <w:p>
            <w:pPr>
              <w:ind w:right="-29"/>
              <w:jc w:val="center"/>
              <w:rPr>
                <w:noProof/>
                <w:sz w:val="18"/>
                <w:szCs w:val="18"/>
              </w:rPr>
            </w:pPr>
          </w:p>
        </w:tc>
        <w:tc>
          <w:tcPr>
            <w:tcW w:w="1041" w:type="dxa"/>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4"/>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OGÓŁEM</w:t>
            </w:r>
          </w:p>
        </w:tc>
        <w:tc>
          <w:tcPr>
            <w:tcW w:w="504" w:type="dxa"/>
            <w:gridSpan w:val="3"/>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42"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szCs w:val="18"/>
              </w:rPr>
              <w:t>5,300</w:t>
            </w:r>
          </w:p>
        </w:tc>
        <w:tc>
          <w:tcPr>
            <w:tcW w:w="1143" w:type="dxa"/>
            <w:gridSpan w:val="2"/>
            <w:tcBorders>
              <w:top w:val="single" w:sz="12" w:space="0" w:color="auto"/>
              <w:bottom w:val="single" w:sz="12" w:space="0" w:color="auto"/>
            </w:tcBorders>
          </w:tcPr>
          <w:p>
            <w:pPr>
              <w:spacing w:before="180" w:after="180"/>
              <w:ind w:right="-29"/>
              <w:jc w:val="center"/>
              <w:rPr>
                <w:noProof/>
                <w:sz w:val="18"/>
                <w:szCs w:val="18"/>
              </w:rPr>
            </w:pPr>
          </w:p>
        </w:tc>
        <w:tc>
          <w:tcPr>
            <w:tcW w:w="1041"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31,800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Synteza szacunkowego wpływu na środki administracyjne</w:t>
      </w:r>
    </w:p>
    <w:p>
      <w:pPr>
        <w:pStyle w:val="ListDash1"/>
        <w:rPr>
          <w:noProof/>
        </w:rPr>
      </w:pPr>
      <w:r>
        <w:rPr>
          <w:noProof/>
        </w:rPr>
        <w:t>X</w:t>
      </w:r>
      <w:r>
        <w:rPr>
          <w:noProof/>
        </w:rPr>
        <w:tab/>
        <w:t>Wniosek/inicjatywa nie wiąże się z koniecznością wykorzystania środków administracyjnych</w:t>
      </w:r>
    </w:p>
    <w:p>
      <w:pPr>
        <w:pStyle w:val="ListDash1"/>
        <w:rPr>
          <w:noProof/>
        </w:rPr>
      </w:pPr>
      <w:r>
        <w:rPr>
          <w:noProof/>
        </w:rPr>
        <w:sym w:font="Wingdings" w:char="F0A8"/>
      </w:r>
      <w:r>
        <w:rPr>
          <w:noProof/>
        </w:rPr>
        <w:tab/>
        <w:t>Wniosek/inicjatywa wiąże się z koniecznością wykorzystania środków administracyjnych, jak określono poniżej:</w:t>
      </w:r>
    </w:p>
    <w:p>
      <w:pPr>
        <w:jc w:val="right"/>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Rok N</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b/>
                <w:noProof/>
                <w:sz w:val="16"/>
              </w:rPr>
              <w:t>Rok N+1</w:t>
            </w:r>
          </w:p>
        </w:tc>
        <w:tc>
          <w:tcPr>
            <w:tcW w:w="1080" w:type="dxa"/>
            <w:vAlign w:val="center"/>
          </w:tcPr>
          <w:p>
            <w:pPr>
              <w:spacing w:before="60" w:after="60" w:line="200" w:lineRule="exact"/>
              <w:jc w:val="center"/>
              <w:rPr>
                <w:noProof/>
                <w:sz w:val="16"/>
                <w:szCs w:val="16"/>
              </w:rPr>
            </w:pPr>
            <w:r>
              <w:rPr>
                <w:b/>
                <w:noProof/>
                <w:sz w:val="16"/>
              </w:rPr>
              <w:t>Rok N+2</w:t>
            </w:r>
          </w:p>
        </w:tc>
        <w:tc>
          <w:tcPr>
            <w:tcW w:w="1080" w:type="dxa"/>
            <w:vAlign w:val="center"/>
          </w:tcPr>
          <w:p>
            <w:pPr>
              <w:spacing w:before="60" w:after="60" w:line="200" w:lineRule="exact"/>
              <w:jc w:val="center"/>
              <w:rPr>
                <w:noProof/>
                <w:sz w:val="16"/>
                <w:szCs w:val="16"/>
              </w:rPr>
            </w:pPr>
            <w:r>
              <w:rPr>
                <w:b/>
                <w:noProof/>
                <w:sz w:val="16"/>
              </w:rPr>
              <w:t>Rok N+3</w:t>
            </w:r>
          </w:p>
        </w:tc>
        <w:tc>
          <w:tcPr>
            <w:tcW w:w="3240" w:type="dxa"/>
            <w:vAlign w:val="center"/>
          </w:tcPr>
          <w:p>
            <w:pPr>
              <w:spacing w:line="200" w:lineRule="exact"/>
              <w:jc w:val="center"/>
              <w:rPr>
                <w:b/>
                <w:noProof/>
                <w:sz w:val="16"/>
                <w:szCs w:val="16"/>
              </w:rPr>
            </w:pPr>
            <w:r>
              <w:rPr>
                <w:noProof/>
                <w:sz w:val="16"/>
              </w:rPr>
              <w:t>Wprowadzić taką liczbę kolumn dla poszczególnych lat, jaka jest niezbędna, by odzwierciedlić cały okres wpływu (por. pkt 1.6)</w:t>
            </w:r>
          </w:p>
        </w:tc>
        <w:tc>
          <w:tcPr>
            <w:tcW w:w="1080" w:type="dxa"/>
            <w:vAlign w:val="center"/>
          </w:tcPr>
          <w:p>
            <w:pPr>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5 wieloletnich ram finansowych</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administracyjne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Suma cząstkowa DZIAŁU 5 wieloletnich ram finansowych</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Poza DZIAŁEM</w:t>
            </w:r>
            <w:r>
              <w:rPr>
                <w:rStyle w:val="FootnoteReference"/>
                <w:b/>
                <w:noProof/>
                <w:sz w:val="16"/>
              </w:rPr>
              <w:footnoteReference w:id="19"/>
            </w:r>
            <w:r>
              <w:rPr>
                <w:b/>
                <w:noProof/>
                <w:sz w:val="16"/>
              </w:rPr>
              <w:t xml:space="preserve"> wieloletnich ram finansowych</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Pozostałe wydatki administracyjne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Suma cząstkowa poza DZIAŁEM 5 wieloletnich ram finansowych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Potrzeby w zakresie środków na zasoby ludzkie i inne wydatki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rPr>
          <w:noProof/>
        </w:rPr>
        <w:t>3.2.3.1.</w:t>
      </w:r>
      <w:r>
        <w:rPr>
          <w:noProof/>
        </w:rPr>
        <w:tab/>
        <w:t>Szacowane zapotrzebowanie na zasoby ludzkie</w:t>
      </w:r>
    </w:p>
    <w:p>
      <w:pPr>
        <w:pStyle w:val="ListDash1"/>
        <w:rPr>
          <w:noProof/>
        </w:rPr>
      </w:pPr>
      <w:r>
        <w:rPr>
          <w:noProof/>
        </w:rPr>
        <w:t>X</w:t>
      </w:r>
      <w:r>
        <w:rPr>
          <w:noProof/>
        </w:rPr>
        <w:tab/>
        <w:t>Wniosek/inicjatywa nie wiąże się z koniecznością wykorzystania zasobów ludzkich.</w:t>
      </w:r>
    </w:p>
    <w:p>
      <w:pPr>
        <w:pStyle w:val="ListDash1"/>
        <w:rPr>
          <w:noProof/>
        </w:rPr>
      </w:pPr>
      <w:r>
        <w:rPr>
          <w:noProof/>
        </w:rPr>
        <w:sym w:font="Wingdings" w:char="F0A8"/>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16"/>
              </w:rPr>
              <w:t>Rok N</w:t>
            </w:r>
          </w:p>
        </w:tc>
        <w:tc>
          <w:tcPr>
            <w:tcW w:w="600" w:type="dxa"/>
            <w:shd w:val="clear" w:color="auto" w:fill="auto"/>
            <w:vAlign w:val="center"/>
          </w:tcPr>
          <w:p>
            <w:pPr>
              <w:spacing w:before="20" w:after="20"/>
              <w:jc w:val="center"/>
              <w:rPr>
                <w:noProof/>
                <w:sz w:val="16"/>
                <w:szCs w:val="16"/>
              </w:rPr>
            </w:pPr>
            <w:r>
              <w:rPr>
                <w:b/>
                <w:noProof/>
                <w:sz w:val="16"/>
              </w:rPr>
              <w:t>Rok N+1</w:t>
            </w:r>
          </w:p>
        </w:tc>
        <w:tc>
          <w:tcPr>
            <w:tcW w:w="600" w:type="dxa"/>
            <w:shd w:val="clear" w:color="auto" w:fill="auto"/>
            <w:vAlign w:val="center"/>
          </w:tcPr>
          <w:p>
            <w:pPr>
              <w:spacing w:before="20" w:after="20"/>
              <w:jc w:val="center"/>
              <w:rPr>
                <w:noProof/>
                <w:sz w:val="16"/>
                <w:szCs w:val="16"/>
              </w:rPr>
            </w:pPr>
            <w:r>
              <w:rPr>
                <w:noProof/>
                <w:sz w:val="16"/>
              </w:rPr>
              <w:t xml:space="preserve">Rok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Rok </w:t>
            </w:r>
            <w:r>
              <w:rPr>
                <w:b/>
                <w:noProof/>
                <w:sz w:val="16"/>
              </w:rPr>
              <w:t>N+3</w:t>
            </w:r>
          </w:p>
        </w:tc>
        <w:tc>
          <w:tcPr>
            <w:tcW w:w="600" w:type="dxa"/>
            <w:gridSpan w:val="3"/>
            <w:shd w:val="clear" w:color="auto" w:fill="auto"/>
            <w:vAlign w:val="center"/>
          </w:tcPr>
          <w:p>
            <w:pPr>
              <w:jc w:val="center"/>
              <w:rPr>
                <w:b/>
                <w:noProof/>
                <w:sz w:val="16"/>
                <w:szCs w:val="16"/>
              </w:rPr>
            </w:pPr>
            <w:r>
              <w:rPr>
                <w:noProof/>
                <w:sz w:val="16"/>
              </w:rPr>
              <w:t>Wprowadzić taką liczbę kolumn dla poszczególnych lat, jaka jest niezbędna, by odzwierciedlić cały okres wpływu (por. pkt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noProof/>
              </w:rPr>
              <w:t xml:space="preserve"> </w:t>
            </w:r>
            <w:r>
              <w:rPr>
                <w:b/>
                <w:noProof/>
                <w:sz w:val="16"/>
              </w:rPr>
              <w:t>Stanowiska przewidziane w planie zatrudnienia (stanowiska urzędników i pracowników zatrudnionych na czas określony)</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(w centrali i w biurach przedstawicielstw Komisji)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(w delegaturach)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(pośrednie badania naukowe)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(bezpośrednie badania naukowe)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Personel zewnętrzny (w ekwiwalentach pełnego czasu pracy: EPC)</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z globalnej koperty finansowej)</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i JED w delegaturach)</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w centrali</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w delegaturach</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(CA, SNE, INT – pośrednie badania naukowe)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(CA, INT, SNE – bezpośrednie badania naukowe)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Inna linia budżetowa (określić)</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OGÓŁEM</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oznacza odpowiednią dziedzinę polityki lub odpowiedni tytuł w budżecie.</w:t>
      </w:r>
    </w:p>
    <w:p>
      <w:pPr>
        <w:pStyle w:val="Text1"/>
        <w:rPr>
          <w:noProof/>
          <w:sz w:val="18"/>
          <w:szCs w:val="18"/>
        </w:rPr>
      </w:pPr>
      <w:r>
        <w:rPr>
          <w:noProof/>
          <w:sz w:val="18"/>
        </w:rPr>
        <w:t>Potrzeby w zakresie zasobów ludzkich zostaną pokryte z zasobów dyrekcji generalnej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rPr>
                <w:noProof/>
                <w:sz w:val="20"/>
              </w:rPr>
            </w:pPr>
          </w:p>
        </w:tc>
      </w:tr>
      <w:tr>
        <w:tc>
          <w:tcPr>
            <w:tcW w:w="3240" w:type="dxa"/>
          </w:tcPr>
          <w:p>
            <w:pPr>
              <w:spacing w:before="60" w:after="60"/>
              <w:rPr>
                <w:noProof/>
                <w:sz w:val="20"/>
              </w:rPr>
            </w:pPr>
            <w:r>
              <w:rPr>
                <w:noProof/>
                <w:sz w:val="20"/>
              </w:rPr>
              <w:t>Personel zewnętrzny</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rPr>
          <w:noProof/>
        </w:rPr>
        <w:t>3.2.4.</w:t>
      </w:r>
      <w:r>
        <w:rPr>
          <w:noProof/>
        </w:rPr>
        <w:tab/>
        <w:t>Zgodność z obowiązującymi wieloletnimi ramami finansowymi</w:t>
      </w:r>
    </w:p>
    <w:p>
      <w:pPr>
        <w:pStyle w:val="Text1"/>
        <w:rPr>
          <w:noProof/>
        </w:rPr>
      </w:pPr>
      <w:r>
        <w:rPr>
          <w:noProof/>
        </w:rPr>
        <w:t>Wniosek/inicjatywa:</w:t>
      </w:r>
    </w:p>
    <w:p>
      <w:pPr>
        <w:pStyle w:val="ListDash1"/>
        <w:rPr>
          <w:noProof/>
        </w:rPr>
      </w:pPr>
      <w:r>
        <w:rPr>
          <w:noProof/>
        </w:rPr>
        <w:t>X</w:t>
      </w:r>
      <w:r>
        <w:rPr>
          <w:noProof/>
        </w:rPr>
        <w:tab/>
        <w:t>może zostać w pełni sfinansowany(a) przez przegrupowanie środków w ramach odpowiedniego działu wieloletnich ram finansowych (WRF).</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Dotyczy to wykorzystania linii rezerwy (rozdział 40).</w:t>
      </w:r>
    </w:p>
    <w:p>
      <w:pPr>
        <w:pStyle w:val="ListDash1"/>
        <w:rPr>
          <w:noProof/>
        </w:rPr>
      </w:pPr>
      <w:r>
        <w:rPr>
          <w:noProof/>
        </w:rPr>
        <w:sym w:font="Wingdings" w:char="F0A8"/>
      </w:r>
      <w:r>
        <w:rPr>
          <w:noProof/>
        </w:rPr>
        <w:tab/>
        <w:t>wymaga zastosowania nieprzydzielonego marginesu środków w ramach odpowiedniego działu WRF lub zastosowania specjalnych instrumentów zdefiniowanych w rozporządzeniu w sprawie WRF.</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działy i linie budżetowe, których ma dotyczyć, odpowiadające im kwoty oraz proponowane instrumenty, które należy zastosować.</w:t>
      </w:r>
    </w:p>
    <w:p>
      <w:pPr>
        <w:pStyle w:val="ListDash1"/>
        <w:rPr>
          <w:noProof/>
        </w:rPr>
      </w:pPr>
      <w:r>
        <w:rPr>
          <w:noProof/>
        </w:rPr>
        <w:sym w:font="Wingdings" w:char="F0A8"/>
      </w:r>
      <w:r>
        <w:rPr>
          <w:noProof/>
        </w:rPr>
        <w:tab/>
        <w:t>wymaga rewizji WRF.</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ManualHeading3"/>
        <w:rPr>
          <w:bCs/>
          <w:noProof/>
          <w:szCs w:val="24"/>
        </w:rPr>
      </w:pPr>
      <w:r>
        <w:rPr>
          <w:noProof/>
        </w:rPr>
        <w:t>3.2.5.</w:t>
      </w:r>
      <w:r>
        <w:rPr>
          <w:noProof/>
        </w:rPr>
        <w:tab/>
        <w:t>Udział osób trzecich w finansowaniu</w:t>
      </w:r>
    </w:p>
    <w:p>
      <w:pPr>
        <w:pStyle w:val="Text1"/>
        <w:rPr>
          <w:noProof/>
        </w:rPr>
      </w:pPr>
      <w:r>
        <w:rPr>
          <w:noProof/>
        </w:rPr>
        <w:t>Wniosek/inicjatywa:</w:t>
      </w:r>
    </w:p>
    <w:p>
      <w:pPr>
        <w:pStyle w:val="ListDash1"/>
        <w:rPr>
          <w:noProof/>
        </w:rPr>
      </w:pPr>
      <w:r>
        <w:rPr>
          <w:noProof/>
        </w:rPr>
        <w:t>X</w:t>
      </w:r>
      <w:r>
        <w:rPr>
          <w:noProof/>
        </w:rPr>
        <w:tab/>
        <w:t>nie przewiduje współfinansowania ze strony osób trzecich</w:t>
      </w:r>
    </w:p>
    <w:p>
      <w:pPr>
        <w:pStyle w:val="ListDash1"/>
        <w:rPr>
          <w:noProof/>
        </w:rPr>
      </w:pPr>
      <w:r>
        <w:rPr>
          <w:noProof/>
        </w:rPr>
        <w:sym w:font="Wingdings" w:char="F0A8"/>
      </w:r>
      <w:r>
        <w:rPr>
          <w:noProof/>
        </w:rPr>
        <w:tab/>
        <w:t>przewiduje współfinansowanie ze strony osób trzecich szacowane zgodnie z poniższymi szacunkami:</w:t>
      </w:r>
    </w:p>
    <w:p>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Rok N</w:t>
            </w:r>
            <w:r>
              <w:rPr>
                <w:rStyle w:val="FootnoteReference"/>
                <w:b/>
                <w:noProof/>
                <w:sz w:val="20"/>
              </w:rPr>
              <w:footnoteReference w:id="22"/>
            </w:r>
          </w:p>
        </w:tc>
        <w:tc>
          <w:tcPr>
            <w:tcW w:w="964" w:type="dxa"/>
            <w:vAlign w:val="center"/>
          </w:tcPr>
          <w:p>
            <w:pPr>
              <w:jc w:val="center"/>
              <w:rPr>
                <w:noProof/>
                <w:sz w:val="20"/>
              </w:rPr>
            </w:pPr>
            <w:r>
              <w:rPr>
                <w:b/>
                <w:noProof/>
                <w:sz w:val="20"/>
              </w:rPr>
              <w:t>Rok N+1</w:t>
            </w:r>
          </w:p>
        </w:tc>
        <w:tc>
          <w:tcPr>
            <w:tcW w:w="964" w:type="dxa"/>
            <w:vAlign w:val="center"/>
          </w:tcPr>
          <w:p>
            <w:pPr>
              <w:jc w:val="center"/>
              <w:rPr>
                <w:noProof/>
                <w:sz w:val="20"/>
              </w:rPr>
            </w:pPr>
            <w:r>
              <w:rPr>
                <w:b/>
                <w:noProof/>
                <w:sz w:val="20"/>
              </w:rPr>
              <w:t>Rok N+2</w:t>
            </w:r>
          </w:p>
        </w:tc>
        <w:tc>
          <w:tcPr>
            <w:tcW w:w="964" w:type="dxa"/>
            <w:vAlign w:val="center"/>
          </w:tcPr>
          <w:p>
            <w:pPr>
              <w:jc w:val="center"/>
              <w:rPr>
                <w:noProof/>
                <w:sz w:val="20"/>
              </w:rPr>
            </w:pPr>
            <w:r>
              <w:rPr>
                <w:b/>
                <w:noProof/>
                <w:sz w:val="20"/>
              </w:rPr>
              <w:t>Rok N+3</w:t>
            </w:r>
          </w:p>
        </w:tc>
        <w:tc>
          <w:tcPr>
            <w:tcW w:w="2892" w:type="dxa"/>
            <w:gridSpan w:val="3"/>
            <w:vAlign w:val="center"/>
          </w:tcPr>
          <w:p>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pPr>
              <w:spacing w:before="60" w:after="60"/>
              <w:jc w:val="center"/>
              <w:rPr>
                <w:noProof/>
                <w:sz w:val="20"/>
              </w:rPr>
            </w:pPr>
            <w:r>
              <w:rPr>
                <w:noProof/>
                <w:sz w:val="20"/>
              </w:rPr>
              <w:t>Ogółem</w:t>
            </w:r>
          </w:p>
        </w:tc>
      </w:tr>
      <w:tr>
        <w:trPr>
          <w:cantSplit/>
        </w:trPr>
        <w:tc>
          <w:tcPr>
            <w:tcW w:w="2340" w:type="dxa"/>
          </w:tcPr>
          <w:p>
            <w:pPr>
              <w:rPr>
                <w:noProof/>
              </w:rPr>
            </w:pPr>
            <w:r>
              <w:rPr>
                <w:noProof/>
                <w:sz w:val="20"/>
              </w:rPr>
              <w:t>Określić organ współfinansujący</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OGÓŁEM środki objęte współfinansowaniem</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Szacunkowy wpływ na dochody</w:t>
      </w:r>
    </w:p>
    <w:p>
      <w:pPr>
        <w:pStyle w:val="ManualHeading2"/>
        <w:ind w:left="360" w:firstLine="0"/>
        <w:rPr>
          <w:noProof/>
        </w:rPr>
      </w:pPr>
      <w:r>
        <w:rPr>
          <w:noProof/>
        </w:rPr>
        <w:t>X</w:t>
      </w:r>
      <w:r>
        <w:rPr>
          <w:noProof/>
        </w:rPr>
        <w:tab/>
        <w:t>Wniosek/inicjatywa nie ma wpływu finansowego na dochody.</w:t>
      </w:r>
    </w:p>
    <w:p>
      <w:pPr>
        <w:pStyle w:val="ListDash1"/>
        <w:rPr>
          <w:noProof/>
        </w:rPr>
      </w:pPr>
      <w:r>
        <w:rPr>
          <w:noProof/>
        </w:rPr>
        <w:sym w:font="Wingdings" w:char="F0A8"/>
      </w:r>
      <w:r>
        <w:rPr>
          <w:noProof/>
        </w:rPr>
        <w:tab/>
        <w:t>Wniosek/inicjatywa ma wpływ finansowy określony poniżej:</w:t>
      </w:r>
    </w:p>
    <w:p>
      <w:pPr>
        <w:pStyle w:val="ListNumberLevel3"/>
        <w:tabs>
          <w:tab w:val="clear" w:pos="2126"/>
        </w:tabs>
        <w:rPr>
          <w:noProof/>
        </w:rPr>
      </w:pPr>
      <w:r>
        <w:rPr>
          <w:noProof/>
        </w:rPr>
        <w:sym w:font="Wingdings" w:char="F0A8"/>
      </w:r>
      <w:r>
        <w:rPr>
          <w:noProof/>
        </w:rPr>
        <w:tab/>
        <w:t>wpływ na zasoby własne</w:t>
      </w:r>
    </w:p>
    <w:p>
      <w:pPr>
        <w:pStyle w:val="ListNumberLevel3"/>
        <w:tabs>
          <w:tab w:val="clear" w:pos="2126"/>
        </w:tabs>
        <w:rPr>
          <w:noProof/>
        </w:rPr>
      </w:pPr>
      <w:r>
        <w:rPr>
          <w:noProof/>
        </w:rPr>
        <w:sym w:font="Wingdings" w:char="F0A8"/>
      </w:r>
      <w:r>
        <w:rPr>
          <w:noProof/>
        </w:rPr>
        <w:tab/>
        <w:t>wpływ na dochody inne</w:t>
      </w:r>
    </w:p>
    <w:p>
      <w:pPr>
        <w:pStyle w:val="ListNumberLevel3"/>
        <w:tabs>
          <w:tab w:val="clear" w:pos="2126"/>
        </w:tabs>
        <w:ind w:hanging="1417"/>
        <w:rPr>
          <w:noProof/>
        </w:rPr>
      </w:pPr>
      <w:r>
        <w:rPr>
          <w:noProof/>
        </w:rPr>
        <w:t xml:space="preserve">Wskazać, czy dochody są przypisane do linii budżetowej po stronie wydatków </w:t>
      </w:r>
      <w:r>
        <w:rPr>
          <w:noProof/>
        </w:rPr>
        <w:sym w:font="Wingdings" w:char="F0A8"/>
      </w:r>
      <w:r>
        <w:rPr>
          <w:noProof/>
        </w:rPr>
        <w:tab/>
      </w:r>
    </w:p>
    <w:p>
      <w:pPr>
        <w:ind w:left="4320"/>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budżetowa po stronie dochodów</w:t>
            </w:r>
          </w:p>
        </w:tc>
        <w:tc>
          <w:tcPr>
            <w:tcW w:w="1325" w:type="dxa"/>
            <w:vMerge w:val="restart"/>
            <w:vAlign w:val="center"/>
          </w:tcPr>
          <w:p>
            <w:pPr>
              <w:jc w:val="center"/>
              <w:rPr>
                <w:noProof/>
                <w:sz w:val="18"/>
              </w:rPr>
            </w:pPr>
            <w:r>
              <w:rPr>
                <w:noProof/>
                <w:sz w:val="18"/>
              </w:rPr>
              <w:t>Środki zapisane w budżecie na bieżący rok budżetowy</w:t>
            </w:r>
          </w:p>
        </w:tc>
        <w:tc>
          <w:tcPr>
            <w:tcW w:w="7151" w:type="dxa"/>
            <w:gridSpan w:val="7"/>
            <w:vAlign w:val="center"/>
          </w:tcPr>
          <w:p>
            <w:pPr>
              <w:jc w:val="center"/>
              <w:rPr>
                <w:noProof/>
                <w:sz w:val="18"/>
              </w:rPr>
            </w:pPr>
            <w:r>
              <w:rPr>
                <w:noProof/>
                <w:sz w:val="18"/>
              </w:rPr>
              <w:t>Wpływ wniosku/inicjatywy</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b/>
                <w:noProof/>
                <w:sz w:val="18"/>
              </w:rPr>
              <w:t>Rok N</w:t>
            </w:r>
          </w:p>
        </w:tc>
        <w:tc>
          <w:tcPr>
            <w:tcW w:w="900" w:type="dxa"/>
            <w:vAlign w:val="center"/>
          </w:tcPr>
          <w:p>
            <w:pPr>
              <w:jc w:val="center"/>
              <w:rPr>
                <w:noProof/>
                <w:sz w:val="18"/>
              </w:rPr>
            </w:pPr>
            <w:r>
              <w:rPr>
                <w:b/>
                <w:noProof/>
                <w:sz w:val="18"/>
              </w:rPr>
              <w:t>Rok N+1</w:t>
            </w:r>
          </w:p>
        </w:tc>
        <w:tc>
          <w:tcPr>
            <w:tcW w:w="900" w:type="dxa"/>
            <w:vAlign w:val="center"/>
          </w:tcPr>
          <w:p>
            <w:pPr>
              <w:jc w:val="center"/>
              <w:rPr>
                <w:noProof/>
                <w:sz w:val="18"/>
              </w:rPr>
            </w:pPr>
            <w:r>
              <w:rPr>
                <w:b/>
                <w:noProof/>
                <w:sz w:val="18"/>
              </w:rPr>
              <w:t>Rok N+2</w:t>
            </w:r>
          </w:p>
        </w:tc>
        <w:tc>
          <w:tcPr>
            <w:tcW w:w="1080" w:type="dxa"/>
            <w:vAlign w:val="center"/>
          </w:tcPr>
          <w:p>
            <w:pPr>
              <w:jc w:val="center"/>
              <w:rPr>
                <w:noProof/>
                <w:sz w:val="18"/>
              </w:rPr>
            </w:pPr>
            <w:r>
              <w:rPr>
                <w:b/>
                <w:noProof/>
                <w:sz w:val="18"/>
              </w:rPr>
              <w:t>Rok N+3</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rPr>
                <w:noProof/>
                <w:sz w:val="18"/>
              </w:rPr>
            </w:pPr>
            <w:r>
              <w:rPr>
                <w:noProof/>
                <w:sz w:val="18"/>
              </w:rPr>
              <w:t>Artykuł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rPr>
          <w:noProof/>
        </w:rPr>
      </w:pPr>
      <w:r>
        <w:rPr>
          <w:noProof/>
        </w:rPr>
        <w:t>W przypadku wpływu na dochody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noProof/>
        </w:rPr>
      </w:pPr>
    </w:p>
    <w:p>
      <w:pPr>
        <w:rPr>
          <w:noProof/>
        </w:rPr>
      </w:pPr>
      <w:r>
        <w:rPr>
          <w:noProof/>
        </w:rPr>
        <w:t>Pozostałe uwagi (np. metoda/wzór użyte do obliczenia wpływu na dochody albo inne informacje).</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Dz.U. L 290 z 20.10.2006, s. 2.</w:t>
      </w:r>
    </w:p>
  </w:footnote>
  <w:footnote w:id="2">
    <w:p>
      <w:pPr>
        <w:pStyle w:val="FootnoteText"/>
      </w:pPr>
      <w:r>
        <w:rPr>
          <w:rStyle w:val="FootnoteReference"/>
        </w:rPr>
        <w:footnoteRef/>
      </w:r>
      <w:r>
        <w:rPr>
          <w:rStyle w:val="Hyperlink"/>
          <w:u w:val="none"/>
        </w:rPr>
        <w:tab/>
      </w:r>
      <w:hyperlink r:id="rId1" w:history="1">
        <w:r>
          <w:rPr>
            <w:rStyle w:val="Hyperlink"/>
          </w:rPr>
          <w:t>https://www.consilium.europa.eu/en/documents-publications/treaties-agreements/agreement/?id=2006084&amp;DocLanguage=en</w:t>
        </w:r>
      </w:hyperlink>
    </w:p>
  </w:footnote>
  <w:footnote w:id="3">
    <w:p>
      <w:pPr>
        <w:pStyle w:val="FootnoteText"/>
      </w:pPr>
      <w:r>
        <w:rPr>
          <w:rStyle w:val="FootnoteReference"/>
        </w:rPr>
        <w:footnoteRef/>
      </w:r>
      <w:r>
        <w:tab/>
        <w:t>Dz.U. L 4 z 9.1.2014, s. 3.</w:t>
      </w:r>
    </w:p>
  </w:footnote>
  <w:footnote w:id="4">
    <w:p>
      <w:pPr>
        <w:pStyle w:val="FootnoteText"/>
      </w:pPr>
      <w:r>
        <w:rPr>
          <w:rStyle w:val="FootnoteReference"/>
        </w:rPr>
        <w:footnoteRef/>
      </w:r>
      <w:r>
        <w:tab/>
        <w:t>Przyjęte na posiedzeniu Rady ds. Rolnictwa i Rybołówstwa w dniu 15 lipca 2019 r.</w:t>
      </w:r>
    </w:p>
  </w:footnote>
  <w:footnote w:id="5">
    <w:p>
      <w:pPr>
        <w:pStyle w:val="FootnoteText"/>
      </w:pPr>
      <w:r>
        <w:rPr>
          <w:rStyle w:val="FootnoteReference"/>
        </w:rPr>
        <w:footnoteRef/>
      </w:r>
      <w:r>
        <w:tab/>
        <w:t>Dz.U. L 354 z 28.12.2013, s. 22.</w:t>
      </w:r>
    </w:p>
  </w:footnote>
  <w:footnote w:id="6">
    <w:p>
      <w:pPr>
        <w:pStyle w:val="FootnoteText"/>
      </w:pPr>
      <w:r>
        <w:rPr>
          <w:rStyle w:val="FootnoteReference"/>
        </w:rPr>
        <w:footnoteRef/>
      </w:r>
      <w:r>
        <w:tab/>
        <w:t>Zgodnie z porozumieniem międzyinstytucjonalnym w sprawie współpracy w kwestiach budżetowych (Dz.U. C 373 z 20.12.2013, s. 1).</w:t>
      </w:r>
    </w:p>
  </w:footnote>
  <w:footnote w:id="7">
    <w:p>
      <w:pPr>
        <w:pStyle w:val="FootnoteText"/>
      </w:pPr>
      <w:r>
        <w:rPr>
          <w:rStyle w:val="FootnoteReference"/>
        </w:rPr>
        <w:footnoteRef/>
      </w:r>
      <w:r>
        <w:tab/>
        <w:t>Dz.U. C , , s. .</w:t>
      </w:r>
    </w:p>
  </w:footnote>
  <w:footnote w:id="8">
    <w:p>
      <w:pPr>
        <w:pStyle w:val="FootnoteText"/>
      </w:pPr>
      <w:r>
        <w:rPr>
          <w:rStyle w:val="FootnoteReference"/>
        </w:rPr>
        <w:footnoteRef/>
      </w:r>
      <w:r>
        <w:tab/>
        <w:t>Dz.U. L […] z […], s. […].</w:t>
      </w:r>
    </w:p>
  </w:footnote>
  <w:footnote w:id="9">
    <w:p>
      <w:pPr>
        <w:pStyle w:val="FootnoteText"/>
        <w:rPr>
          <w:szCs w:val="24"/>
        </w:rPr>
      </w:pPr>
      <w:r>
        <w:rPr>
          <w:rStyle w:val="FootnoteReference"/>
        </w:rPr>
        <w:footnoteRef/>
      </w:r>
      <w:r>
        <w:tab/>
        <w:t>O którym mowa w art. 58 ust. 2 lit. a) lub b) rozporządzenia finansowego.</w:t>
      </w:r>
    </w:p>
  </w:footnote>
  <w:footnote w:id="10">
    <w:p>
      <w:pPr>
        <w:pStyle w:val="FootnoteText"/>
        <w:jc w:val="left"/>
        <w:rPr>
          <w:szCs w:val="24"/>
        </w:rPr>
      </w:pPr>
      <w:r>
        <w:rPr>
          <w:rStyle w:val="FootnoteReference"/>
        </w:rPr>
        <w:footnoteRef/>
      </w:r>
      <w:r>
        <w:tab/>
        <w:t xml:space="preserve">Wyjaśnienia dotyczące trybów zarządzania oraz odniesienia do rozporządzenia finansowego znajdują się na następującej stronie: </w:t>
      </w:r>
      <w:hyperlink r:id="rId2">
        <w:r>
          <w:rPr>
            <w:rStyle w:val="Hyperlink"/>
          </w:rPr>
          <w:t>https://myintracomm.ec.europa.eu/budgweb/EN/man/budgmanag/Pages/budgmanag.aspx</w:t>
        </w:r>
      </w:hyperlink>
    </w:p>
  </w:footnote>
  <w:footnote w:id="11">
    <w:p>
      <w:pPr>
        <w:pStyle w:val="FootnoteText"/>
        <w:rPr>
          <w:szCs w:val="24"/>
        </w:rPr>
      </w:pPr>
      <w:r>
        <w:rPr>
          <w:rStyle w:val="FootnoteReference"/>
        </w:rPr>
        <w:footnoteRef/>
      </w:r>
      <w:r>
        <w:tab/>
        <w:t>Środki zróżnicowane / środki niezróżnicowane.</w:t>
      </w:r>
    </w:p>
  </w:footnote>
  <w:footnote w:id="12">
    <w:p>
      <w:pPr>
        <w:pStyle w:val="FootnoteText"/>
        <w:rPr>
          <w:szCs w:val="24"/>
        </w:rPr>
      </w:pPr>
      <w:r>
        <w:rPr>
          <w:rStyle w:val="FootnoteReference"/>
        </w:rPr>
        <w:footnoteRef/>
      </w:r>
      <w:r>
        <w:tab/>
        <w:t>EFTA: Europejskie Stowarzyszenie Wolnego Handlu.</w:t>
      </w:r>
    </w:p>
  </w:footnote>
  <w:footnote w:id="13">
    <w:p>
      <w:pPr>
        <w:pStyle w:val="FootnoteText"/>
        <w:rPr>
          <w:szCs w:val="24"/>
        </w:rPr>
      </w:pPr>
      <w:r>
        <w:rPr>
          <w:rStyle w:val="FootnoteReference"/>
        </w:rPr>
        <w:footnoteRef/>
      </w:r>
      <w:r>
        <w:tab/>
        <w:t>Kraje kandydujące oraz w stosownych przypadkach potencjalne kraje kandydujące Bałkanów Zachodnich.</w:t>
      </w:r>
    </w:p>
  </w:footnote>
  <w:footnote w:id="14">
    <w:p>
      <w:pPr>
        <w:pStyle w:val="FootnoteText"/>
        <w:rPr>
          <w:sz w:val="18"/>
          <w:szCs w:val="18"/>
        </w:rPr>
      </w:pPr>
      <w:r>
        <w:rPr>
          <w:rStyle w:val="FootnoteReference"/>
        </w:rPr>
        <w:footnoteRef/>
      </w:r>
      <w:r>
        <w:tab/>
      </w:r>
      <w:r>
        <w:rPr>
          <w:sz w:val="18"/>
        </w:rPr>
        <w:t>Zgodnie z oficjalną nomenklaturą budżetową.</w:t>
      </w:r>
    </w:p>
  </w:footnote>
  <w:footnote w:id="15">
    <w:p>
      <w:pPr>
        <w:pStyle w:val="FootnoteText"/>
        <w:rPr>
          <w:szCs w:val="24"/>
        </w:rPr>
      </w:pPr>
      <w:r>
        <w:rPr>
          <w:rStyle w:val="FootnoteReference"/>
        </w:rPr>
        <w:footnoteRef/>
      </w:r>
      <w:r>
        <w:tab/>
      </w:r>
      <w:r>
        <w:rPr>
          <w:sz w:val="18"/>
        </w:rPr>
        <w:t>Wsparcie techniczne lub administracyjne oraz wydatki na wsparcie w zakresie wprowadzania w życie programów lub działań UE (dawne linie „BA”), pośrednie badania naukowe, bezpośrednie badania naukowe.</w:t>
      </w:r>
    </w:p>
  </w:footnote>
  <w:footnote w:id="16">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17">
    <w:p>
      <w:pPr>
        <w:pStyle w:val="FootnoteText"/>
        <w:rPr>
          <w:szCs w:val="24"/>
        </w:rPr>
      </w:pPr>
      <w:r>
        <w:rPr>
          <w:rStyle w:val="FootnoteReference"/>
        </w:rPr>
        <w:footnoteRef/>
      </w:r>
      <w:r>
        <w:tab/>
        <w:t>Zgodnie z opisem w pkt 1.4.2. „Cele szczegółowe …”.</w:t>
      </w:r>
    </w:p>
  </w:footnote>
  <w:footnote w:id="18">
    <w:p>
      <w:pPr>
        <w:pStyle w:val="FootnoteText"/>
        <w:rPr>
          <w:sz w:val="18"/>
          <w:szCs w:val="18"/>
        </w:rPr>
      </w:pPr>
      <w:r>
        <w:rPr>
          <w:rStyle w:val="FootnoteReference"/>
        </w:rPr>
        <w:footnoteRef/>
      </w:r>
      <w:r>
        <w:tab/>
      </w:r>
      <w:r>
        <w:rPr>
          <w:sz w:val="18"/>
        </w:rPr>
        <w:t>Rok N jest rokiem, w którym rozpoczyna się wprowadzanie w życie wniosku/inicjatywy. „N” należy zastąpić oczekiwanym pierwszym rokiem realizacji (np.: 2021 r.). Tak samo należy postąpić dla kolejnych lat.</w:t>
      </w:r>
    </w:p>
  </w:footnote>
  <w:footnote w:id="19">
    <w:p>
      <w:pPr>
        <w:pStyle w:val="FootnoteText"/>
        <w:rPr>
          <w:szCs w:val="24"/>
        </w:rPr>
      </w:pPr>
      <w:r>
        <w:rPr>
          <w:rStyle w:val="FootnoteReference"/>
        </w:rPr>
        <w:footnoteRef/>
      </w:r>
      <w:r>
        <w:tab/>
      </w:r>
      <w:r>
        <w:rPr>
          <w:sz w:val="18"/>
        </w:rPr>
        <w:t>Wsparcie techniczne lub administracyjne oraz wydatki na wsparcie w zakresie wprowadzania w życie programów lub działań UE (dawne linie „BA”), pośrednie badania naukowe, bezpośrednie badania naukowe.</w:t>
      </w:r>
    </w:p>
  </w:footnote>
  <w:footnote w:id="20">
    <w:p>
      <w:pPr>
        <w:pStyle w:val="FootnoteText"/>
        <w:rPr>
          <w:szCs w:val="24"/>
        </w:rPr>
      </w:pPr>
      <w:r>
        <w:rPr>
          <w:rStyle w:val="FootnoteReference"/>
        </w:rPr>
        <w:footnoteRef/>
      </w:r>
      <w:r>
        <w:tab/>
        <w:t>CA = personel kontraktowy; LA = personel miejscowy; SNE = oddelegowany ekspert krajowy; INT = personel tymczasowy; JED = młodszy oddelegowany ekspert.</w:t>
      </w:r>
    </w:p>
  </w:footnote>
  <w:footnote w:id="21">
    <w:p>
      <w:pPr>
        <w:pStyle w:val="FootnoteText"/>
        <w:rPr>
          <w:szCs w:val="24"/>
        </w:rPr>
      </w:pPr>
      <w:r>
        <w:rPr>
          <w:rStyle w:val="FootnoteReference"/>
        </w:rPr>
        <w:footnoteRef/>
      </w:r>
      <w:r>
        <w:tab/>
        <w:t>W ramach podpułapu na personel zewnętrzny ze środków operacyjnych (dawne linie „BA”).</w:t>
      </w:r>
    </w:p>
  </w:footnote>
  <w:footnote w:id="22">
    <w:p>
      <w:pPr>
        <w:pStyle w:val="FootnoteText"/>
      </w:pPr>
      <w:r>
        <w:rPr>
          <w:rStyle w:val="FootnoteReference"/>
        </w:rPr>
        <w:footnoteRef/>
      </w:r>
      <w:r>
        <w:tab/>
        <w:t>Rok N jest rokiem, w którym rozpoczyna się wprowadzanie w życie wniosku/inicjatywy. „N” należy zastąpić oczekiwanym pierwszym rokiem realizacji (np.: 2021 r.). Tak samo należy postąpić dla kolejnych lat.</w:t>
      </w:r>
    </w:p>
  </w:footnote>
  <w:footnote w:id="23">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20 %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203F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94C9BA"/>
    <w:lvl w:ilvl="0">
      <w:start w:val="1"/>
      <w:numFmt w:val="decimal"/>
      <w:pStyle w:val="ListNumber3"/>
      <w:lvlText w:val="%1."/>
      <w:lvlJc w:val="left"/>
      <w:pPr>
        <w:tabs>
          <w:tab w:val="num" w:pos="926"/>
        </w:tabs>
        <w:ind w:left="926" w:hanging="360"/>
      </w:pPr>
    </w:lvl>
  </w:abstractNum>
  <w:abstractNum w:abstractNumId="2">
    <w:nsid w:val="FFFFFF7F"/>
    <w:multiLevelType w:val="singleLevel"/>
    <w:tmpl w:val="98BAB7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E22F0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0280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F887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FA665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A58B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8"/>
    <w:lvlOverride w:ilvl="0">
      <w:startOverride w:val="1"/>
    </w:lvlOverride>
  </w:num>
  <w:num w:numId="7">
    <w:abstractNumId w:val="6"/>
  </w:num>
  <w:num w:numId="8">
    <w:abstractNumId w:val="2"/>
  </w:num>
  <w:num w:numId="9">
    <w:abstractNumId w:val="1"/>
  </w:num>
  <w:num w:numId="10">
    <w:abstractNumId w:val="8"/>
  </w:num>
  <w:num w:numId="11">
    <w:abstractNumId w:val="15"/>
  </w:num>
  <w:num w:numId="12">
    <w:abstractNumId w:val="21"/>
  </w:num>
  <w:num w:numId="13">
    <w:abstractNumId w:val="20"/>
  </w:num>
  <w:num w:numId="14">
    <w:abstractNumId w:val="9"/>
  </w:num>
  <w:num w:numId="15">
    <w:abstractNumId w:val="16"/>
  </w:num>
  <w:num w:numId="16">
    <w:abstractNumId w:val="10"/>
  </w:num>
  <w:num w:numId="17">
    <w:abstractNumId w:val="25"/>
  </w:num>
  <w:num w:numId="18">
    <w:abstractNumId w:val="17"/>
  </w:num>
  <w:num w:numId="19">
    <w:abstractNumId w:val="27"/>
  </w:num>
  <w:num w:numId="20">
    <w:abstractNumId w:val="14"/>
  </w:num>
  <w:num w:numId="21">
    <w:abstractNumId w:val="18"/>
  </w:num>
  <w:num w:numId="22">
    <w:abstractNumId w:val="12"/>
  </w:num>
  <w:num w:numId="23">
    <w:abstractNumId w:val="26"/>
  </w:num>
  <w:num w:numId="24">
    <w:abstractNumId w:val="11"/>
  </w:num>
  <w:num w:numId="25">
    <w:abstractNumId w:val="19"/>
  </w:num>
  <w:num w:numId="26">
    <w:abstractNumId w:val="23"/>
  </w:num>
  <w:num w:numId="27">
    <w:abstractNumId w:val="24"/>
  </w:num>
  <w:num w:numId="28">
    <w:abstractNumId w:val="13"/>
  </w:num>
  <w:num w:numId="29">
    <w:abstractNumId w:val="22"/>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3: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2A340CC-E252-48E5-B829-60581AEF4B0C"/>
    <w:docVar w:name="LW_COVERPAGE_TYPE" w:val="1"/>
    <w:docVar w:name="LW_CROSSREFERENCE" w:val="&lt;UNUSED&gt;"/>
    <w:docVar w:name="LW_DocType" w:val="COM"/>
    <w:docVar w:name="LW_EMISSION" w:val="7.1.2020"/>
    <w:docVar w:name="LW_EMISSION_ISODATE" w:val="2020-01-07"/>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02"/>
    <w:docVar w:name="LW_REF.II.NEW.CP_YEAR" w:val="2020"/>
    <w:docVar w:name="LW_REF.INST.NEW" w:val="COM"/>
    <w:docVar w:name="LW_REF.INST.NEW_ADOPTED" w:val="final"/>
    <w:docVar w:name="LW_REF.INST.NEW_TEXT" w:val="(2020) 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zawarcia, w imieniu Unii, Umowy o partnerstwie w sprawie zrównowa\u380?onych po\u322?owów mi\u281?dzy Uni\u261? Europejsk\u261? a Republik\u261? Seszeli oraz protoko\u322?u wykonawczego do tej umowy (na lata 2020\u8211?2026)"/>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nhideWhenUsed/>
    <w:pPr>
      <w:numPr>
        <w:numId w:val="1"/>
      </w:numPr>
      <w:contextualSpacing/>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customStyle="1" w:styleId="ListNumberLevel2">
    <w:name w:val="List Number (Level 2)"/>
    <w:basedOn w:val="Normal"/>
    <w:pPr>
      <w:tabs>
        <w:tab w:val="num" w:pos="1417"/>
      </w:tabs>
      <w:ind w:left="1417" w:hanging="708"/>
    </w:pPr>
    <w:rPr>
      <w:rFonts w:eastAsia="Times New Roman"/>
      <w:lang w:eastAsia="fr-FR" w:bidi="fr-FR"/>
    </w:rPr>
  </w:style>
  <w:style w:type="paragraph" w:customStyle="1" w:styleId="ListNumberLevel3">
    <w:name w:val="List Number (Level 3)"/>
    <w:basedOn w:val="Normal"/>
    <w:pPr>
      <w:tabs>
        <w:tab w:val="num" w:pos="2126"/>
      </w:tabs>
      <w:ind w:left="2126" w:hanging="709"/>
    </w:pPr>
    <w:rPr>
      <w:rFonts w:eastAsia="Times New Roman"/>
      <w:lang w:eastAsia="fr-FR" w:bidi="fr-FR"/>
    </w:rPr>
  </w:style>
  <w:style w:type="paragraph" w:customStyle="1" w:styleId="ListNumberLevel4">
    <w:name w:val="List Number (Level 4)"/>
    <w:basedOn w:val="Normal"/>
    <w:pPr>
      <w:tabs>
        <w:tab w:val="num" w:pos="2835"/>
      </w:tabs>
      <w:ind w:left="2835" w:hanging="709"/>
    </w:pPr>
    <w:rPr>
      <w:rFonts w:eastAsia="Times New Roman"/>
      <w:lang w:eastAsia="fr-FR" w:bidi="fr-FR"/>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pl-PL"/>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pl-PL"/>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pl-PL"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nhideWhenUsed/>
    <w:pPr>
      <w:numPr>
        <w:numId w:val="1"/>
      </w:numPr>
      <w:contextualSpacing/>
    </w:p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nhideWhenUsed/>
    <w:pPr>
      <w:numPr>
        <w:numId w:val="8"/>
      </w:numPr>
      <w:contextualSpacing/>
    </w:pPr>
  </w:style>
  <w:style w:type="paragraph" w:styleId="ListNumber3">
    <w:name w:val="List Number 3"/>
    <w:basedOn w:val="Normal"/>
    <w:unhideWhenUsed/>
    <w:pPr>
      <w:numPr>
        <w:numId w:val="9"/>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pl-PL"/>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l-PL"/>
    </w:rPr>
  </w:style>
  <w:style w:type="paragraph" w:customStyle="1" w:styleId="ListNumberLevel2">
    <w:name w:val="List Number (Level 2)"/>
    <w:basedOn w:val="Normal"/>
    <w:pPr>
      <w:tabs>
        <w:tab w:val="num" w:pos="1417"/>
      </w:tabs>
      <w:ind w:left="1417" w:hanging="708"/>
    </w:pPr>
    <w:rPr>
      <w:rFonts w:eastAsia="Times New Roman"/>
      <w:lang w:eastAsia="fr-FR" w:bidi="fr-FR"/>
    </w:rPr>
  </w:style>
  <w:style w:type="paragraph" w:customStyle="1" w:styleId="ListNumberLevel3">
    <w:name w:val="List Number (Level 3)"/>
    <w:basedOn w:val="Normal"/>
    <w:pPr>
      <w:tabs>
        <w:tab w:val="num" w:pos="2126"/>
      </w:tabs>
      <w:ind w:left="2126" w:hanging="709"/>
    </w:pPr>
    <w:rPr>
      <w:rFonts w:eastAsia="Times New Roman"/>
      <w:lang w:eastAsia="fr-FR" w:bidi="fr-FR"/>
    </w:rPr>
  </w:style>
  <w:style w:type="paragraph" w:customStyle="1" w:styleId="ListNumberLevel4">
    <w:name w:val="List Number (Level 4)"/>
    <w:basedOn w:val="Normal"/>
    <w:pPr>
      <w:tabs>
        <w:tab w:val="num" w:pos="2835"/>
      </w:tabs>
      <w:ind w:left="2835" w:hanging="709"/>
    </w:pPr>
    <w:rPr>
      <w:rFonts w:eastAsia="Times New Roman"/>
      <w:lang w:eastAsia="fr-FR" w:bidi="fr-FR"/>
    </w:rPr>
  </w:style>
  <w:style w:type="paragraph" w:customStyle="1" w:styleId="ListBullet1">
    <w:name w:val="List Bullet 1"/>
    <w:basedOn w:val="Normal"/>
    <w:pPr>
      <w:numPr>
        <w:numId w:val="10"/>
      </w:numPr>
    </w:pPr>
    <w:rPr>
      <w:rFonts w:eastAsia="Times New Roman"/>
      <w:lang w:eastAsia="de-DE"/>
    </w:rPr>
  </w:style>
  <w:style w:type="paragraph" w:customStyle="1" w:styleId="ListDash">
    <w:name w:val="List Dash"/>
    <w:basedOn w:val="Normal"/>
    <w:pPr>
      <w:numPr>
        <w:numId w:val="11"/>
      </w:numPr>
    </w:pPr>
    <w:rPr>
      <w:rFonts w:eastAsia="Times New Roman"/>
      <w:lang w:eastAsia="de-DE"/>
    </w:rPr>
  </w:style>
  <w:style w:type="paragraph" w:customStyle="1" w:styleId="ListDash1">
    <w:name w:val="List Dash 1"/>
    <w:basedOn w:val="Normal"/>
    <w:pPr>
      <w:numPr>
        <w:numId w:val="12"/>
      </w:numPr>
    </w:pPr>
    <w:rPr>
      <w:rFonts w:eastAsia="Times New Roman"/>
      <w:lang w:eastAsia="de-DE"/>
    </w:rPr>
  </w:style>
  <w:style w:type="paragraph" w:customStyle="1" w:styleId="ListDash2">
    <w:name w:val="List Dash 2"/>
    <w:basedOn w:val="Normal"/>
    <w:pPr>
      <w:numPr>
        <w:numId w:val="13"/>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14"/>
      </w:numPr>
    </w:pPr>
    <w:rPr>
      <w:rFonts w:eastAsia="Times New Roman"/>
      <w:lang w:eastAsia="en-GB"/>
    </w:rPr>
  </w:style>
  <w:style w:type="paragraph" w:customStyle="1" w:styleId="ListDash4">
    <w:name w:val="List Dash 4"/>
    <w:basedOn w:val="Normal"/>
    <w:pPr>
      <w:numPr>
        <w:numId w:val="15"/>
      </w:numPr>
    </w:pPr>
    <w:rPr>
      <w:rFonts w:eastAsia="Times New Roman"/>
      <w:lang w:eastAsia="en-GB"/>
    </w:rPr>
  </w:style>
  <w:style w:type="paragraph" w:customStyle="1" w:styleId="ListNumber1">
    <w:name w:val="List Number 1"/>
    <w:basedOn w:val="Text1"/>
    <w:pPr>
      <w:numPr>
        <w:numId w:val="16"/>
      </w:numPr>
    </w:pPr>
    <w:rPr>
      <w:rFonts w:eastAsia="Times New Roman"/>
      <w:lang w:eastAsia="en-GB"/>
    </w:rPr>
  </w:style>
  <w:style w:type="paragraph" w:customStyle="1" w:styleId="ListNumber1Level2">
    <w:name w:val="List Number 1 (Level 2)"/>
    <w:basedOn w:val="Text1"/>
    <w:pPr>
      <w:numPr>
        <w:ilvl w:val="1"/>
        <w:numId w:val="16"/>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16"/>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16"/>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pl-PL"/>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pl-PL"/>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pl-PL"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PL/man/budgmanag/Pages/budgmanag.aspx" TargetMode="External"/><Relationship Id="rId1" Type="http://schemas.openxmlformats.org/officeDocument/2006/relationships/hyperlink" Target="https://www.consilium.europa.eu/en/documents-publications/treaties-agreements/agreement/?id=2006084&amp;Doc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0A0178-E0CC-479C-AB51-7B190CA6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22</Pages>
  <Words>4831</Words>
  <Characters>31262</Characters>
  <Application>Microsoft Office Word</Application>
  <DocSecurity>0</DocSecurity>
  <Lines>1359</Lines>
  <Paragraphs>611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2020-01-03T13:03:00Z</dcterms:created>
  <dcterms:modified xsi:type="dcterms:W3CDTF">2020-01-07T08:33:00Z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