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AE7F900-38B6-4571-9368-10B62B8FFF6D" style="width:451pt;height:365.5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pStyle w:val="ManualHeading2"/>
        <w:rPr>
          <w:rFonts w:eastAsia="Arial Unicode MS"/>
          <w:noProof/>
        </w:rPr>
      </w:pPr>
      <w:r>
        <w:rPr>
          <w:noProof/>
          <w:u w:color="000000"/>
          <w:bdr w:val="nil"/>
        </w:rPr>
        <w:t>•</w:t>
      </w:r>
      <w:r>
        <w:rPr>
          <w:noProof/>
          <w:u w:color="000000"/>
          <w:bdr w:val="nil"/>
        </w:rPr>
        <w:tab/>
      </w:r>
      <w:r>
        <w:rPr>
          <w:noProof/>
        </w:rPr>
        <w:t>Forslagets begrundelse og formål</w:t>
      </w:r>
    </w:p>
    <w:p>
      <w:pPr>
        <w:pBdr>
          <w:top w:val="nil"/>
          <w:left w:val="nil"/>
          <w:bottom w:val="nil"/>
          <w:right w:val="nil"/>
          <w:between w:val="nil"/>
          <w:bar w:val="nil"/>
        </w:pBdr>
        <w:spacing w:before="0" w:after="240"/>
        <w:rPr>
          <w:rFonts w:eastAsia="Arial Unicode MS"/>
          <w:noProof/>
        </w:rPr>
      </w:pPr>
      <w:r>
        <w:rPr>
          <w:noProof/>
        </w:rPr>
        <w:t>Den gældende fiskeripartnerskabsaftale mellem Den Europæiske Union og Seychellerne</w:t>
      </w:r>
      <w:r>
        <w:rPr>
          <w:rStyle w:val="FootnoteReference"/>
          <w:noProof/>
        </w:rPr>
        <w:footnoteReference w:id="1"/>
      </w:r>
      <w:r>
        <w:rPr>
          <w:noProof/>
        </w:rPr>
        <w:t xml:space="preserve"> blev indgået den 28. februar 2007</w:t>
      </w:r>
      <w:r>
        <w:rPr>
          <w:rStyle w:val="FootnoteReference"/>
          <w:noProof/>
        </w:rPr>
        <w:footnoteReference w:id="2"/>
      </w:r>
      <w:r>
        <w:rPr>
          <w:noProof/>
        </w:rPr>
        <w:t xml:space="preserve"> og trådte i kraft den 2. november 2007 med en gyldighedsperiode på seks år. Aftalen forlænges stiltiende og er derfor stadig i kraft. Den gældende seksårige protokol</w:t>
      </w:r>
      <w:r>
        <w:rPr>
          <w:rStyle w:val="FootnoteReference"/>
          <w:noProof/>
        </w:rPr>
        <w:footnoteReference w:id="3"/>
      </w:r>
      <w:r>
        <w:rPr>
          <w:noProof/>
        </w:rPr>
        <w:t xml:space="preserve"> til fiskeripartnerskabsaftalen trådte i kraft den 18. januar 2014 og udløber den 17. januar 2020. </w:t>
      </w:r>
    </w:p>
    <w:p>
      <w:pPr>
        <w:pBdr>
          <w:top w:val="nil"/>
          <w:left w:val="nil"/>
          <w:bottom w:val="nil"/>
          <w:right w:val="nil"/>
          <w:between w:val="nil"/>
          <w:bar w:val="nil"/>
        </w:pBdr>
        <w:spacing w:before="0" w:after="240"/>
        <w:rPr>
          <w:noProof/>
        </w:rPr>
      </w:pPr>
      <w:r>
        <w:rPr>
          <w:noProof/>
        </w:rPr>
        <w:t>På grundlag af de relevante forhandlingsdirektiver</w:t>
      </w:r>
      <w:r>
        <w:rPr>
          <w:rStyle w:val="FootnoteReference"/>
          <w:noProof/>
        </w:rPr>
        <w:footnoteReference w:id="4"/>
      </w:r>
      <w:r>
        <w:rPr>
          <w:noProof/>
        </w:rPr>
        <w:t xml:space="preserve"> har Kommissionen ført forhandlinger med regeringen for Republikken Seychellerne (herefter "Seychellerne") om indgåelse på Den Europæiske Unions vegne af en ny partnerskabsaftale om bæredygtigt fiskeri og den tilhørende gennemførelsesprotokol (2020-2026). Disse forhandlinger mundede ud i, at der den 22. oktober 2019 blev paraferet en aftale med tilhørende protokol. Den nye aftale ophæver og erstatter den gældende aftale. Den omfatter en periode på seks år fra datoen for dens midlertidige anvendelse, jf. aftalens artikel 15, dvs. datoen for parternes undertegnelse af aftalen, og forlænges stiltiende. Den nye protokol omfatter en periode på seks år fra datoen for dens midlertidige anvendelse, jf. protokollens artikel 15, dvs. datoen for begge parters undertegnelse af protokollen. </w:t>
      </w:r>
    </w:p>
    <w:p>
      <w:pPr>
        <w:pBdr>
          <w:top w:val="nil"/>
          <w:left w:val="nil"/>
          <w:bottom w:val="nil"/>
          <w:right w:val="nil"/>
          <w:between w:val="nil"/>
          <w:bar w:val="nil"/>
        </w:pBdr>
        <w:spacing w:before="0" w:after="240"/>
        <w:rPr>
          <w:rFonts w:eastAsia="Arial Unicode MS"/>
          <w:noProof/>
        </w:rPr>
      </w:pPr>
      <w:r>
        <w:rPr>
          <w:noProof/>
        </w:rPr>
        <w:t xml:space="preserve">Formålet med forslaget er at godkende indgåelsen af aftalen og den tilhørende gennemførelsesprotokol. </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Sammenhæng med de gældende regler på samme område</w:t>
      </w:r>
    </w:p>
    <w:p>
      <w:pPr>
        <w:rPr>
          <w:rFonts w:eastAsia="Calibri"/>
          <w:noProof/>
        </w:rPr>
      </w:pPr>
      <w:r>
        <w:rPr>
          <w:noProof/>
        </w:rPr>
        <w:t>Det vigtigste formål med den nye aftale er at skabe et tidssvarende grundlag for at fortsætte og styrke det strategiske partnerskab om fiskeri mellem Den Europæiske Union og Republikken Seychellerne, som tager hensyn til prioriteterne i den fælles fiskeripolitik efter reformen</w:t>
      </w:r>
      <w:r>
        <w:rPr>
          <w:rStyle w:val="FootnoteReference"/>
          <w:noProof/>
        </w:rPr>
        <w:footnoteReference w:id="5"/>
      </w:r>
      <w:r>
        <w:rPr>
          <w:noProof/>
        </w:rPr>
        <w:t xml:space="preserve"> og dennes eksterne dimension.</w:t>
      </w:r>
    </w:p>
    <w:p>
      <w:pPr>
        <w:rPr>
          <w:rFonts w:eastAsia="Calibri"/>
          <w:noProof/>
        </w:rPr>
      </w:pPr>
      <w:r>
        <w:rPr>
          <w:noProof/>
        </w:rPr>
        <w:t>Formålet med gennemførelsesprotokollen er at give EU-fiskerfartøjer fiskerimuligheder i Seychellernes fiskeriområde inden for grænserne af det disponible overskud og i overensstemmelse med den bedste foreliggende videnskabelige rådgivning og resolutioner og henstillinger fra Kommissionen for Tunfisk i Det Indiske Ocean (IOTC). Kommissionen har bl.a. baseret sin forhandlingsposition på resultaterne af en evaluering af den foregående aftale og protokol (2014-2020) og en fremadrettet vurdering af, om der bør indgås en ny aftale og protokol. Begge blev foretaget af eksterne eksperter. Formålet er ligeledes at styrke samarbejdet mellem Den Europæiske Union og Republikken Seychellerne med henblik på at udvikle en politik for bæredygtigt fiskeri og ansvarlig udnyttelse af fiskeressourcerne i Seychellernes fiskeriområde og i Det Indiske Ocean i begge parters interesse. Dette samarbejde vil desuden bidrage til at fremme anstændige arbejdsvilkår i fiskerisektoren.</w:t>
      </w:r>
    </w:p>
    <w:p>
      <w:pPr>
        <w:rPr>
          <w:rFonts w:eastAsia="Calibri"/>
          <w:noProof/>
        </w:rPr>
      </w:pPr>
      <w:r>
        <w:rPr>
          <w:noProof/>
        </w:rPr>
        <w:t>I den nye protokol er der fastsat fiskerimuligheder for følgende kategorier:</w:t>
      </w:r>
    </w:p>
    <w:p>
      <w:pPr>
        <w:rPr>
          <w:rFonts w:eastAsia="Calibri"/>
          <w:noProof/>
        </w:rPr>
      </w:pPr>
      <w:r>
        <w:rPr>
          <w:noProof/>
        </w:rPr>
        <w:t>—</w:t>
      </w:r>
      <w:r>
        <w:rPr>
          <w:noProof/>
        </w:rPr>
        <w:tab/>
        <w:t>40 notfartøjer til tunfiskeri</w:t>
      </w:r>
    </w:p>
    <w:p>
      <w:pPr>
        <w:rPr>
          <w:rFonts w:eastAsia="Calibri"/>
          <w:noProof/>
        </w:rPr>
      </w:pPr>
      <w:r>
        <w:rPr>
          <w:noProof/>
        </w:rPr>
        <w:lastRenderedPageBreak/>
        <w:t>—</w:t>
      </w:r>
      <w:r>
        <w:rPr>
          <w:noProof/>
        </w:rPr>
        <w:tab/>
        <w:t>8 langlinefartøjer med flydeline</w:t>
      </w:r>
    </w:p>
    <w:p>
      <w:pPr>
        <w:pBdr>
          <w:top w:val="nil"/>
          <w:left w:val="nil"/>
          <w:bottom w:val="nil"/>
          <w:right w:val="nil"/>
          <w:between w:val="nil"/>
          <w:bar w:val="nil"/>
        </w:pBdr>
        <w:spacing w:before="0" w:after="240"/>
        <w:rPr>
          <w:rFonts w:eastAsia="Arial Unicode MS"/>
          <w:noProof/>
        </w:rPr>
      </w:pPr>
      <w:r>
        <w:rPr>
          <w:noProof/>
        </w:rPr>
        <w:t>—</w:t>
      </w:r>
      <w:r>
        <w:rPr>
          <w:noProof/>
        </w:rPr>
        <w:tab/>
        <w:t>hjælpefartøjer i overensstemmelse med de relevante IOTC-resolutioner.</w:t>
      </w:r>
    </w:p>
    <w:p>
      <w:pPr>
        <w:pStyle w:val="ManualHeading2"/>
        <w:rPr>
          <w:rFonts w:eastAsia="Arial Unicode MS"/>
          <w:noProof/>
        </w:rPr>
      </w:pPr>
      <w:r>
        <w:rPr>
          <w:noProof/>
          <w:u w:color="000000"/>
          <w:bdr w:val="nil"/>
        </w:rPr>
        <w:t>•</w:t>
      </w:r>
      <w:r>
        <w:rPr>
          <w:noProof/>
          <w:u w:color="000000"/>
          <w:bdr w:val="nil"/>
        </w:rPr>
        <w:tab/>
      </w:r>
      <w:r>
        <w:rPr>
          <w:noProof/>
        </w:rPr>
        <w:t>Sammenhæng med Unionens politik på andre områder</w:t>
      </w:r>
    </w:p>
    <w:p>
      <w:pPr>
        <w:spacing w:before="0" w:after="240"/>
        <w:rPr>
          <w:noProof/>
        </w:rPr>
      </w:pPr>
      <w:r>
        <w:rPr>
          <w:noProof/>
        </w:rPr>
        <w:t xml:space="preserve">Forhandlingerne om en ny partnerskabsaftale om bæredygtigt fiskeri med Seychellerne indgår som led i EU's optræden udadtil over for landene i Afrika, Vestindien og Stillehavet (AVS), og der tages navnlig hensyn til Unionens mål vedrørende respekt for de demokratiske principper og menneskerettighederne. </w:t>
      </w:r>
    </w:p>
    <w:p>
      <w:pPr>
        <w:pStyle w:val="ManualHeading1"/>
        <w:rPr>
          <w:noProof/>
        </w:rPr>
      </w:pPr>
      <w:r>
        <w:rPr>
          <w:noProof/>
        </w:rPr>
        <w:t>2.</w:t>
      </w:r>
      <w:r>
        <w:rPr>
          <w:noProof/>
        </w:rPr>
        <w:tab/>
        <w:t>RETSGRUNDLAG, NÆRHEDSPRINCIPPET OG PROPORTIONALITETSPRINCIPPET</w:t>
      </w:r>
    </w:p>
    <w:p>
      <w:pPr>
        <w:pStyle w:val="ManualHeading2"/>
        <w:rPr>
          <w:rFonts w:eastAsia="Arial Unicode MS"/>
          <w:noProof/>
          <w:u w:color="000000"/>
          <w:bdr w:val="nil"/>
        </w:rPr>
      </w:pPr>
      <w:r>
        <w:rPr>
          <w:noProof/>
          <w:u w:color="000000"/>
          <w:bdr w:val="nil"/>
        </w:rPr>
        <w:t>•</w:t>
      </w:r>
      <w:r>
        <w:rPr>
          <w:noProof/>
          <w:u w:color="000000"/>
          <w:bdr w:val="nil"/>
        </w:rPr>
        <w:tab/>
        <w:t>Retsgrundlag</w:t>
      </w:r>
    </w:p>
    <w:p>
      <w:pPr>
        <w:keepNext/>
        <w:rPr>
          <w:noProof/>
          <w:sz w:val="22"/>
        </w:rPr>
      </w:pPr>
      <w:r>
        <w:rPr>
          <w:noProof/>
        </w:rPr>
        <w:t xml:space="preserve">Retsgrundlaget er artikel 43, stk. 2, i traktaten om Den Europæiske Unions funktionsmåde (TEUF), som indeholder bestemmelser om den fælles fiskeripolitik, og artikel 218, stk. 6, litra a), nr. v), og stk. 7, i TEUF om indgåelse af aftaler mellem Unionen og tredjelande og muligheden for at bemyndige forhandleren til på Unionens vegne at godkende ændringer af aftalen, der er vedtaget ved en forenklet procedure eller af et organ nedsat ved aftalen. </w:t>
      </w:r>
    </w:p>
    <w:p>
      <w:pPr>
        <w:pStyle w:val="ManualHeading2"/>
        <w:rPr>
          <w:rFonts w:eastAsia="Arial Unicode MS"/>
          <w:noProof/>
          <w:u w:color="000000"/>
          <w:bdr w:val="nil"/>
        </w:rPr>
      </w:pPr>
      <w:r>
        <w:rPr>
          <w:noProof/>
          <w:u w:color="000000"/>
          <w:bdr w:val="nil"/>
        </w:rPr>
        <w:t>•</w:t>
      </w:r>
      <w:r>
        <w:rPr>
          <w:noProof/>
          <w:u w:color="000000"/>
          <w:bdr w:val="nil"/>
        </w:rPr>
        <w:tab/>
        <w:t xml:space="preserve">Nærhedsprincippet (for områder, der ikke er omfattet af enekompetence) </w:t>
      </w:r>
    </w:p>
    <w:p>
      <w:pPr>
        <w:spacing w:before="0" w:after="240"/>
        <w:rPr>
          <w:rFonts w:eastAsia="Arial Unicode MS"/>
          <w:noProof/>
        </w:rPr>
      </w:pPr>
      <w:r>
        <w:rPr>
          <w:noProof/>
        </w:rPr>
        <w:t>Forslaget henhører under Den Europæiske Unions enekompetence.</w:t>
      </w:r>
    </w:p>
    <w:p>
      <w:pPr>
        <w:pStyle w:val="ManualHeading2"/>
        <w:rPr>
          <w:rFonts w:eastAsia="Arial Unicode MS"/>
          <w:noProof/>
          <w:u w:color="000000"/>
          <w:bdr w:val="nil"/>
        </w:rPr>
      </w:pPr>
      <w:r>
        <w:rPr>
          <w:noProof/>
          <w:u w:color="000000"/>
          <w:bdr w:val="nil"/>
        </w:rPr>
        <w:t>•</w:t>
      </w:r>
      <w:r>
        <w:rPr>
          <w:noProof/>
          <w:u w:color="000000"/>
          <w:bdr w:val="nil"/>
        </w:rPr>
        <w:tab/>
        <w:t>Proportionalitetsprincippet</w:t>
      </w:r>
    </w:p>
    <w:p>
      <w:pPr>
        <w:spacing w:before="0" w:after="240"/>
        <w:rPr>
          <w:rFonts w:eastAsia="Arial Unicode MS"/>
          <w:noProof/>
        </w:rPr>
      </w:pPr>
      <w:r>
        <w:rPr>
          <w:noProof/>
        </w:rPr>
        <w:t xml:space="preserve">Forslaget står i et rimeligt forhold til det mål om at etablere en retlig, miljømæssig, økonomisk og social forvaltningsramme for EU-fiskerfartøjers fiskeri i tredjelandsfarvande, som er fastsat i artikel 31 i forordningen om den fælles fiskeripolitik. Det er i overensstemmelse med nævnte bestemmelser og med de bestemmelser om finansiel bistand til tredjelande, der er fastsat i nævnte forordnings artikel 32. </w:t>
      </w:r>
    </w:p>
    <w:p>
      <w:pPr>
        <w:pStyle w:val="ManualHeading1"/>
        <w:rPr>
          <w:noProof/>
        </w:rPr>
      </w:pPr>
      <w:r>
        <w:rPr>
          <w:noProof/>
        </w:rPr>
        <w:t>3.</w:t>
      </w:r>
      <w:r>
        <w:rPr>
          <w:noProof/>
        </w:rPr>
        <w:tab/>
        <w:t>RESULTATER AF EFTERFØLGENDE EVALUERINGER, HØRINGER AF INTERESSEREDE PARTER OG KONSEKVENSANALYSER</w:t>
      </w:r>
    </w:p>
    <w:p>
      <w:pPr>
        <w:pStyle w:val="ManualHeading2"/>
        <w:rPr>
          <w:rFonts w:eastAsia="Arial Unicode MS"/>
          <w:noProof/>
          <w:u w:color="000000"/>
          <w:bdr w:val="nil"/>
        </w:rPr>
      </w:pPr>
      <w:r>
        <w:rPr>
          <w:noProof/>
          <w:u w:color="000000"/>
          <w:bdr w:val="nil"/>
        </w:rPr>
        <w:t>•</w:t>
      </w:r>
      <w:r>
        <w:rPr>
          <w:noProof/>
          <w:u w:color="000000"/>
          <w:bdr w:val="nil"/>
        </w:rPr>
        <w:tab/>
        <w:t>Efterfølgende evalueringer/kvalitetskontrol af gældende lovgivning</w:t>
      </w:r>
    </w:p>
    <w:p>
      <w:pPr>
        <w:pBdr>
          <w:top w:val="nil"/>
          <w:left w:val="nil"/>
          <w:bottom w:val="nil"/>
          <w:right w:val="nil"/>
          <w:between w:val="nil"/>
          <w:bar w:val="nil"/>
        </w:pBdr>
        <w:spacing w:before="0" w:after="240"/>
        <w:rPr>
          <w:rFonts w:eastAsia="Arial Unicode MS"/>
          <w:noProof/>
        </w:rPr>
      </w:pPr>
      <w:r>
        <w:rPr>
          <w:noProof/>
        </w:rPr>
        <w:t xml:space="preserve">I 2019 udførte Kommissionen en efterfølgende evaluering af den gældende protokol til fiskeripartnerskabsaftalen med Seychellerne såvel som en forhåndsevaluering af en eventuel fornyelse af protokollen. </w:t>
      </w:r>
    </w:p>
    <w:p>
      <w:pPr>
        <w:pBdr>
          <w:top w:val="nil"/>
          <w:left w:val="nil"/>
          <w:bottom w:val="nil"/>
          <w:right w:val="nil"/>
          <w:between w:val="nil"/>
          <w:bar w:val="nil"/>
        </w:pBdr>
        <w:spacing w:before="0" w:after="240"/>
        <w:rPr>
          <w:rFonts w:eastAsia="Arial Unicode MS"/>
          <w:noProof/>
        </w:rPr>
      </w:pPr>
      <w:r>
        <w:rPr>
          <w:noProof/>
        </w:rPr>
        <w:t xml:space="preserve">Det blev i evalueringen konkluderet, at EU's fiskerisektor har en klar interesse i at kunne fiske i Seychellerne, og at en fornyelse af protokollen er i begge parters interesse. Derudover vil en fornyelse af protokollen kunne styrke tilsynet, kontrollen og overvågningen samt bidrage til en bedre forvaltning af fiskeriet i regionen. </w:t>
      </w:r>
    </w:p>
    <w:p>
      <w:pPr>
        <w:pBdr>
          <w:top w:val="nil"/>
          <w:left w:val="nil"/>
          <w:bottom w:val="nil"/>
          <w:right w:val="nil"/>
          <w:between w:val="nil"/>
          <w:bar w:val="nil"/>
        </w:pBdr>
        <w:spacing w:before="0" w:after="240"/>
        <w:rPr>
          <w:rFonts w:eastAsia="Arial Unicode MS"/>
          <w:noProof/>
        </w:rPr>
      </w:pPr>
      <w:r>
        <w:rPr>
          <w:noProof/>
        </w:rPr>
        <w:t xml:space="preserve">For EU er det vigtigt at opretholde et instrument, der muliggør et vidtgående sektorsamarbejde med en større partner inden for havforvaltning på subregionalt plan på grund af omfanget af det fiskeriområde, den har under sin jurisdiktion. En styrkelse af forbindelserne med Seychellerne har også betydning i forbindelse med opbygningen af alliancer inden for rammerne af IOTC. For EU-fiskerfartøjer betyder dette, at der kan opretholdes adgang til et vigtigt fiskeriområde med henblik på indførelse af fangststrategier i henhold til en flerårig international retlig ramme. Victorias betydning som en af de vigtigste landingshavne er desuden med til at gøre den planlagte nye protokol relevant både for EU's </w:t>
      </w:r>
      <w:r>
        <w:rPr>
          <w:noProof/>
        </w:rPr>
        <w:lastRenderedPageBreak/>
        <w:t>fiskeriindustri og for partnerlandet. For de seychelliske myndigheder er det målet at videreføre forbindelserne med EU med henblik på at styrke havforvaltningen og nyde godt af målrettet sektorstøtte, der omfatter flerårige finansieringsmuligheder.</w:t>
      </w:r>
    </w:p>
    <w:p>
      <w:pPr>
        <w:pStyle w:val="ManualHeading2"/>
        <w:rPr>
          <w:rFonts w:eastAsia="Arial Unicode MS"/>
          <w:noProof/>
          <w:u w:color="000000"/>
          <w:bdr w:val="nil"/>
        </w:rPr>
      </w:pPr>
      <w:r>
        <w:rPr>
          <w:noProof/>
          <w:u w:color="000000"/>
          <w:bdr w:val="nil"/>
        </w:rPr>
        <w:t>•</w:t>
      </w:r>
      <w:r>
        <w:rPr>
          <w:noProof/>
          <w:u w:color="000000"/>
          <w:bdr w:val="nil"/>
        </w:rPr>
        <w:tab/>
        <w:t>Høringer af interesserede parter</w:t>
      </w:r>
    </w:p>
    <w:p>
      <w:pPr>
        <w:pBdr>
          <w:top w:val="nil"/>
          <w:left w:val="nil"/>
          <w:bottom w:val="nil"/>
          <w:right w:val="nil"/>
          <w:between w:val="nil"/>
          <w:bar w:val="nil"/>
        </w:pBdr>
        <w:spacing w:before="0" w:after="240"/>
        <w:rPr>
          <w:rFonts w:eastAsia="Arial Unicode MS"/>
          <w:noProof/>
        </w:rPr>
      </w:pPr>
      <w:r>
        <w:rPr>
          <w:noProof/>
        </w:rPr>
        <w:t>Medlemsstaterne, repræsentanterne for fiskeriindustrien, internationale civilsamfundsorganisationer og Seychellernes fiskeriforvaltning og civilsamfund blev hørt som led i evalueringen. Der har også fundet høringer sted inden for rammerne af Det Rådgivende Råd for Højsøflåden, navnlig i forbindelse med dets møde den 27. marts 2019.</w:t>
      </w:r>
    </w:p>
    <w:p>
      <w:pPr>
        <w:pStyle w:val="ManualHeading2"/>
        <w:rPr>
          <w:rFonts w:eastAsia="Arial Unicode MS"/>
          <w:noProof/>
          <w:u w:color="000000"/>
          <w:bdr w:val="nil"/>
        </w:rPr>
      </w:pPr>
      <w:r>
        <w:rPr>
          <w:noProof/>
          <w:u w:color="000000"/>
          <w:bdr w:val="nil"/>
        </w:rPr>
        <w:t>•</w:t>
      </w:r>
      <w:r>
        <w:rPr>
          <w:noProof/>
          <w:u w:color="000000"/>
          <w:bdr w:val="nil"/>
        </w:rPr>
        <w:tab/>
        <w:t>Ekspertbistand</w:t>
      </w:r>
    </w:p>
    <w:p>
      <w:pPr>
        <w:spacing w:before="0" w:after="240"/>
        <w:rPr>
          <w:noProof/>
        </w:rPr>
      </w:pPr>
      <w:r>
        <w:rPr>
          <w:noProof/>
        </w:rPr>
        <w:t xml:space="preserve">Kommissionen har gjort brug af en uafhængig konsulent ved de efterfølgende og forudgående evalueringer i overensstemmelse med artikel 31, stk. 10, i forordningen om den fælles fiskeripolitik. </w:t>
      </w:r>
    </w:p>
    <w:p>
      <w:pPr>
        <w:pStyle w:val="ManualHeading2"/>
        <w:rPr>
          <w:rFonts w:eastAsia="Arial Unicode MS"/>
          <w:noProof/>
          <w:u w:color="000000"/>
          <w:bdr w:val="nil"/>
        </w:rPr>
      </w:pPr>
      <w:r>
        <w:rPr>
          <w:noProof/>
          <w:u w:color="000000"/>
          <w:bdr w:val="nil"/>
        </w:rPr>
        <w:t>•</w:t>
      </w:r>
      <w:r>
        <w:rPr>
          <w:noProof/>
          <w:u w:color="000000"/>
          <w:bdr w:val="nil"/>
        </w:rPr>
        <w:tab/>
        <w:t>Konsekvensanalyse</w:t>
      </w:r>
    </w:p>
    <w:p>
      <w:pPr>
        <w:spacing w:before="0" w:after="240"/>
        <w:rPr>
          <w:noProof/>
        </w:rPr>
      </w:pPr>
      <w:r>
        <w:rPr>
          <w:noProof/>
        </w:rPr>
        <w:t>Ikke relevant</w:t>
      </w:r>
    </w:p>
    <w:p>
      <w:pPr>
        <w:pStyle w:val="ManualHeading2"/>
        <w:rPr>
          <w:rFonts w:eastAsia="Arial Unicode MS"/>
          <w:noProof/>
          <w:u w:color="000000"/>
          <w:bdr w:val="nil"/>
        </w:rPr>
      </w:pPr>
      <w:r>
        <w:rPr>
          <w:noProof/>
          <w:u w:color="000000"/>
          <w:bdr w:val="nil"/>
        </w:rPr>
        <w:t>•</w:t>
      </w:r>
      <w:r>
        <w:rPr>
          <w:noProof/>
          <w:u w:color="000000"/>
          <w:bdr w:val="nil"/>
        </w:rPr>
        <w:tab/>
        <w:t>Målrettet regulering og forenkling</w:t>
      </w:r>
    </w:p>
    <w:p>
      <w:pPr>
        <w:spacing w:before="0" w:after="240"/>
        <w:rPr>
          <w:noProof/>
        </w:rPr>
      </w:pPr>
      <w:r>
        <w:rPr>
          <w:noProof/>
        </w:rPr>
        <w:t>Ikke relevant</w:t>
      </w:r>
    </w:p>
    <w:p>
      <w:pPr>
        <w:pStyle w:val="ManualHeading2"/>
        <w:rPr>
          <w:rFonts w:eastAsia="Arial Unicode MS"/>
          <w:noProof/>
          <w:u w:color="000000"/>
          <w:bdr w:val="nil"/>
        </w:rPr>
      </w:pPr>
      <w:r>
        <w:rPr>
          <w:noProof/>
          <w:u w:color="000000"/>
          <w:bdr w:val="nil"/>
        </w:rPr>
        <w:t>•</w:t>
      </w:r>
      <w:r>
        <w:rPr>
          <w:noProof/>
          <w:u w:color="000000"/>
          <w:bdr w:val="nil"/>
        </w:rPr>
        <w:tab/>
        <w:t>Grundlæggende rettigheder</w:t>
      </w:r>
    </w:p>
    <w:p>
      <w:pPr>
        <w:pBdr>
          <w:top w:val="nil"/>
          <w:left w:val="nil"/>
          <w:bottom w:val="nil"/>
          <w:right w:val="nil"/>
          <w:between w:val="nil"/>
          <w:bar w:val="nil"/>
        </w:pBdr>
        <w:spacing w:before="0" w:after="240"/>
        <w:rPr>
          <w:noProof/>
        </w:rPr>
      </w:pPr>
      <w:r>
        <w:rPr>
          <w:noProof/>
        </w:rPr>
        <w:t>Den forhandlede aftale indeholder en klausul om konsekvenserne af krænkelser af menneskerettighederne og de demokratiske principper.</w:t>
      </w:r>
    </w:p>
    <w:p>
      <w:pPr>
        <w:pStyle w:val="ManualHeading1"/>
        <w:rPr>
          <w:noProof/>
        </w:rPr>
      </w:pPr>
      <w:r>
        <w:rPr>
          <w:noProof/>
        </w:rPr>
        <w:t>4.</w:t>
      </w:r>
      <w:r>
        <w:rPr>
          <w:noProof/>
        </w:rPr>
        <w:tab/>
        <w:t>VIRKNINGER FOR BUDGETTET</w:t>
      </w:r>
    </w:p>
    <w:p>
      <w:pPr>
        <w:rPr>
          <w:rFonts w:eastAsia="Calibri"/>
          <w:noProof/>
        </w:rPr>
      </w:pPr>
      <w:r>
        <w:rPr>
          <w:noProof/>
        </w:rPr>
        <w:t>EU's årlige finansielle modydelse på 5 300 000 EUR er baseret på:</w:t>
      </w:r>
    </w:p>
    <w:p>
      <w:pPr>
        <w:rPr>
          <w:rFonts w:eastAsia="Calibri"/>
          <w:noProof/>
        </w:rPr>
      </w:pPr>
      <w:r>
        <w:rPr>
          <w:noProof/>
        </w:rPr>
        <w:t xml:space="preserve">a) et årligt beløb for adgang til fiskeressourcerne i Seychellernes fiskeriområde på 2 500 000 EUR svarende til en referencemængde for stærkt vandrende arter på 50 000 ton om året </w:t>
      </w:r>
    </w:p>
    <w:p>
      <w:pPr>
        <w:rPr>
          <w:rFonts w:eastAsia="Calibri"/>
          <w:noProof/>
        </w:rPr>
      </w:pPr>
      <w:r>
        <w:rPr>
          <w:noProof/>
        </w:rPr>
        <w:t>b) støtte til udvikling af Seychellernes sektorpolitik for fiskeri på 2 800 000 EUR om året. Denne støtte opfylder målene i Seychellernes omfattende fiskeriplan.</w:t>
      </w:r>
    </w:p>
    <w:p>
      <w:pPr>
        <w:rPr>
          <w:noProof/>
        </w:rPr>
      </w:pPr>
      <w:r>
        <w:rPr>
          <w:noProof/>
        </w:rPr>
        <w:t>Det årlige beløb til forpligtelses- og betalingsbevillinger fastsættes under den årlige budgetprocedure, herunder den reserve for protokoller, der endnu ikke er i kraft ved årets start</w:t>
      </w:r>
      <w:r>
        <w:rPr>
          <w:rStyle w:val="FootnoteReference"/>
          <w:noProof/>
        </w:rPr>
        <w:footnoteReference w:id="6"/>
      </w:r>
      <w:r>
        <w:rPr>
          <w:noProof/>
        </w:rPr>
        <w:t>.</w:t>
      </w:r>
    </w:p>
    <w:p>
      <w:pPr>
        <w:pStyle w:val="ManualHeading1"/>
        <w:rPr>
          <w:noProof/>
        </w:rPr>
      </w:pPr>
      <w:r>
        <w:rPr>
          <w:noProof/>
        </w:rPr>
        <w:t>5.</w:t>
      </w:r>
      <w:r>
        <w:rPr>
          <w:noProof/>
        </w:rPr>
        <w:tab/>
        <w:t>ANDRE FORHOLD</w:t>
      </w:r>
    </w:p>
    <w:p>
      <w:pPr>
        <w:pStyle w:val="ManualHeading2"/>
        <w:rPr>
          <w:rFonts w:eastAsia="Arial Unicode MS"/>
          <w:noProof/>
          <w:u w:color="000000"/>
          <w:bdr w:val="nil"/>
        </w:rPr>
      </w:pPr>
      <w:r>
        <w:rPr>
          <w:noProof/>
          <w:u w:color="000000"/>
          <w:bdr w:val="nil"/>
        </w:rPr>
        <w:t>•</w:t>
      </w:r>
      <w:r>
        <w:rPr>
          <w:noProof/>
          <w:u w:color="000000"/>
          <w:bdr w:val="nil"/>
        </w:rPr>
        <w:tab/>
        <w:t>Planer for gennemførelsen og foranstaltninger til overvågning, evaluering og rapportering</w:t>
      </w:r>
    </w:p>
    <w:p>
      <w:pPr>
        <w:pBdr>
          <w:top w:val="nil"/>
          <w:left w:val="nil"/>
          <w:bottom w:val="nil"/>
          <w:right w:val="nil"/>
          <w:between w:val="nil"/>
          <w:bar w:val="nil"/>
        </w:pBdr>
        <w:spacing w:before="0" w:after="240"/>
        <w:rPr>
          <w:noProof/>
        </w:rPr>
      </w:pPr>
      <w:r>
        <w:rPr>
          <w:noProof/>
        </w:rPr>
        <w:t xml:space="preserve">Kontrolforanstaltningerne er fastlagt i partnerskabsaftalen om bæredygtigt fiskeri og den tilhørende gennemførelsesprotokol. </w:t>
      </w:r>
    </w:p>
    <w:p>
      <w:pPr>
        <w:rPr>
          <w:noProof/>
        </w:rPr>
      </w:pPr>
      <w:r>
        <w:rPr>
          <w:noProof/>
        </w:rPr>
        <w:lastRenderedPageBreak/>
        <w:t xml:space="preserve">Denne procedure iværksættes sideløbende med procedurerne i forbindelse med Rådets afgørelse om undertegnelse på Unionens vegne og om midlertidig anvendelse af partnerskabsaftalen om bæredygtigt fiskeri og den tilhørende gennemførelsesprotokol mellem Den Europæiske Union og Republikken Seychellerne.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2020/0002 (NLE)</w:t>
      </w:r>
    </w:p>
    <w:p>
      <w:pPr>
        <w:pStyle w:val="Statut"/>
        <w:rPr>
          <w:noProof/>
        </w:rPr>
      </w:pPr>
      <w:r>
        <w:rPr>
          <w:noProof/>
        </w:rPr>
        <w:t>Forslag til</w:t>
      </w:r>
    </w:p>
    <w:p>
      <w:pPr>
        <w:pStyle w:val="Typedudocument"/>
        <w:rPr>
          <w:noProof/>
        </w:rPr>
      </w:pPr>
      <w:r>
        <w:rPr>
          <w:noProof/>
        </w:rPr>
        <w:t>RÅDETS AFGØRELSE</w:t>
      </w:r>
    </w:p>
    <w:p>
      <w:pPr>
        <w:pStyle w:val="Titreobjet"/>
        <w:rPr>
          <w:noProof/>
        </w:rPr>
      </w:pPr>
      <w:r>
        <w:rPr>
          <w:noProof/>
        </w:rPr>
        <w:t>om indgåelse på Unionens vegne af partnerskabsaftalen om bæredygtigt fiskeri og den tilhørende gennemførelsesprotokol (2020-2026) mellem Den Europæiske Union og Republikken Seychellerne</w:t>
      </w:r>
    </w:p>
    <w:p>
      <w:pPr>
        <w:pStyle w:val="Institutionquiagit"/>
        <w:rPr>
          <w:noProof/>
        </w:rPr>
      </w:pPr>
      <w:r>
        <w:rPr>
          <w:noProof/>
        </w:rPr>
        <w:t>RÅDET FOR DEN EUROPÆISKE UNION HAR —</w:t>
      </w:r>
    </w:p>
    <w:p>
      <w:pPr>
        <w:rPr>
          <w:noProof/>
        </w:rPr>
      </w:pPr>
      <w:r>
        <w:rPr>
          <w:noProof/>
        </w:rPr>
        <w:t>under henvisning til traktaten om Den Europæiske Unions funktionsmåde, særlig artikel 43, stk. 2, sammenholdt med artikel 218, stk. 6, litra a), nr. v), og artikel 218, stk. 7,</w:t>
      </w:r>
    </w:p>
    <w:p>
      <w:pPr>
        <w:rPr>
          <w:noProof/>
        </w:rPr>
      </w:pPr>
      <w:r>
        <w:rPr>
          <w:noProof/>
        </w:rPr>
        <w:t>under henvisning til forslag fra Europa-Kommissionen,</w:t>
      </w:r>
    </w:p>
    <w:p>
      <w:pPr>
        <w:rPr>
          <w:noProof/>
        </w:rPr>
      </w:pPr>
      <w:r>
        <w:rPr>
          <w:noProof/>
        </w:rPr>
        <w:t>under henvisning til godkendelse fra Europa-Parlamentet</w:t>
      </w:r>
      <w:r>
        <w:rPr>
          <w:rStyle w:val="FootnoteReference"/>
          <w:noProof/>
        </w:rPr>
        <w:footnoteReference w:id="7"/>
      </w:r>
      <w:r>
        <w:rPr>
          <w:noProof/>
        </w:rPr>
        <w:t xml:space="preserve">, og </w:t>
      </w:r>
    </w:p>
    <w:p>
      <w:pPr>
        <w:rPr>
          <w:noProof/>
        </w:rPr>
      </w:pPr>
      <w:r>
        <w:rPr>
          <w:noProof/>
        </w:rPr>
        <w:t>ud fra følgende betragtninger:</w:t>
      </w:r>
    </w:p>
    <w:p>
      <w:pPr>
        <w:pStyle w:val="ManualConsidrant"/>
        <w:rPr>
          <w:noProof/>
        </w:rPr>
      </w:pPr>
      <w:r>
        <w:t>(1)</w:t>
      </w:r>
      <w:r>
        <w:tab/>
      </w:r>
      <w:r>
        <w:rPr>
          <w:noProof/>
        </w:rPr>
        <w:t>I overensstemmelse med Rådets afgørelse [XXX] af [...]</w:t>
      </w:r>
      <w:r>
        <w:rPr>
          <w:rStyle w:val="FootnoteReference"/>
          <w:noProof/>
        </w:rPr>
        <w:footnoteReference w:id="8"/>
      </w:r>
      <w:r>
        <w:rPr>
          <w:noProof/>
        </w:rPr>
        <w:t xml:space="preserve"> blev partnerskabsaftalen om bæredygtigt fiskeri mellem Den Europæiske Union og Republikken Seychellerne ("partnerskabsaftalen") samt en gennemførelsesprotokol ("protokollen") undertegnet den [...] med forbehold af senere indgåelse.</w:t>
      </w:r>
    </w:p>
    <w:p>
      <w:pPr>
        <w:pStyle w:val="ManualConsidrant"/>
        <w:rPr>
          <w:noProof/>
        </w:rPr>
      </w:pPr>
      <w:r>
        <w:t>(2)</w:t>
      </w:r>
      <w:r>
        <w:tab/>
      </w:r>
      <w:r>
        <w:rPr>
          <w:noProof/>
        </w:rPr>
        <w:t>Partnerskabsaftalen ophæver den nuværende fiskeripartnerskabsaftale mellem Den Europæiske Union og Seychellerne, som trådte i kraft den 2. november 2007 for en periode på 6 år, og som er blevet stiltiende forlænget og derfor fortsat er i kraft.</w:t>
      </w:r>
    </w:p>
    <w:p>
      <w:pPr>
        <w:pStyle w:val="ManualConsidrant"/>
        <w:rPr>
          <w:noProof/>
        </w:rPr>
      </w:pPr>
      <w:r>
        <w:t>(3)</w:t>
      </w:r>
      <w:r>
        <w:tab/>
      </w:r>
      <w:r>
        <w:rPr>
          <w:noProof/>
        </w:rPr>
        <w:t>Formålet med partnerskabsaftalen og protokollen er at gøre det muligt for Unionen og Republikken Seychellerne at arbejde tættere sammen for yderligere at fremme udviklingen af en politik for bæredygtigt fiskeri og en ansvarlig udnyttelse af fiskeressourcerne i Seychellernes fiskeriområde og i Det Indiske Ocean.</w:t>
      </w:r>
    </w:p>
    <w:p>
      <w:pPr>
        <w:pStyle w:val="ManualConsidrant"/>
        <w:rPr>
          <w:noProof/>
        </w:rPr>
      </w:pPr>
      <w:r>
        <w:t>(4)</w:t>
      </w:r>
      <w:r>
        <w:tab/>
      </w:r>
      <w:r>
        <w:rPr>
          <w:noProof/>
        </w:rPr>
        <w:t>Partnerskabsaftalen og protokollen bør godkendes på Den Europæiske Unions vegne.</w:t>
      </w:r>
    </w:p>
    <w:p>
      <w:pPr>
        <w:pStyle w:val="ManualConsidrant"/>
        <w:rPr>
          <w:noProof/>
        </w:rPr>
      </w:pPr>
      <w:r>
        <w:t>(5)</w:t>
      </w:r>
      <w:r>
        <w:tab/>
      </w:r>
      <w:r>
        <w:rPr>
          <w:noProof/>
        </w:rPr>
        <w:t>I henhold til aftalens artikel 12 nedsættes der en blandet komité, som skal overvåge gennemførelsen af aftalen og den tilhørende gennemførelsesprotokol. Desuden kan den blandede komité godkende visse ændringer af protokollen. For at lette godkendelsen af sådanne ændringer bør Kommissionen på særlige materielle og processuelle betingelser bemyndiges til på Unionens vegne at godkende dem efter en forenklet procedure.</w:t>
      </w:r>
    </w:p>
    <w:p>
      <w:pPr>
        <w:pStyle w:val="ManualConsidrant"/>
        <w:rPr>
          <w:noProof/>
        </w:rPr>
      </w:pPr>
      <w:r>
        <w:t>(6)</w:t>
      </w:r>
      <w:r>
        <w:tab/>
      </w:r>
      <w:r>
        <w:rPr>
          <w:noProof/>
        </w:rPr>
        <w:t>Unionens holdning til de foreslåede ændringer af protokollen bør fastlægges af Rådet. De foreslåede ændringer bør godkendes, medmindre et blokerende mindretal af medlemsstater i overensstemmelse med artikel 16, stk. 4, i traktaten om Den Europæiske Union, gør indsigelse.</w:t>
      </w:r>
    </w:p>
    <w:p>
      <w:pPr>
        <w:pStyle w:val="ManualConsidrant"/>
        <w:rPr>
          <w:noProof/>
        </w:rPr>
      </w:pPr>
      <w:r>
        <w:t>(7)</w:t>
      </w:r>
      <w:r>
        <w:tab/>
      </w:r>
      <w:r>
        <w:rPr>
          <w:noProof/>
        </w:rPr>
        <w:t xml:space="preserve">Disse foranstaltninger bør træde i kraft hurtigst muligt i betragtning af den økonomiske betydning, der er knyttet til Unionens fiskeri i Seychellernes </w:t>
      </w:r>
      <w:r>
        <w:rPr>
          <w:noProof/>
        </w:rPr>
        <w:lastRenderedPageBreak/>
        <w:t xml:space="preserve">fiskeriområde, og behovet for i videst muligt omfang at begrænse afbrydelsen af sådanne fiskeriaktiviteter. </w:t>
      </w:r>
    </w:p>
    <w:p>
      <w:pPr>
        <w:pStyle w:val="Formuledadoption"/>
        <w:rPr>
          <w:noProof/>
        </w:rPr>
      </w:pPr>
      <w:r>
        <w:rPr>
          <w:noProof/>
        </w:rPr>
        <w:t xml:space="preserve">VEDTAGET DENNE AFGØRELSE: </w:t>
      </w:r>
    </w:p>
    <w:p>
      <w:pPr>
        <w:pStyle w:val="Titrearticle"/>
        <w:rPr>
          <w:noProof/>
        </w:rPr>
      </w:pPr>
      <w:r>
        <w:rPr>
          <w:noProof/>
        </w:rPr>
        <w:t>Artikel 1</w:t>
      </w:r>
    </w:p>
    <w:p>
      <w:pPr>
        <w:rPr>
          <w:noProof/>
        </w:rPr>
      </w:pPr>
      <w:r>
        <w:rPr>
          <w:noProof/>
        </w:rPr>
        <w:t>Partnerskabsaftalen om bæredygtigt fiskeri mellem Den Europæiske Union og Republikken Seychellerne ("partnerskabsaftalen") og protokollen om gennemførelse af partnerskabsaftalen om bæredygtigt fiskeri mellem den Europæiske Union og Republikken Seychellerne (2020-2026) ("protokollen") godkendes herved på Unionens vegne.</w:t>
      </w:r>
    </w:p>
    <w:p>
      <w:pPr>
        <w:rPr>
          <w:noProof/>
        </w:rPr>
      </w:pPr>
      <w:r>
        <w:rPr>
          <w:noProof/>
        </w:rPr>
        <w:t>Teksten til partnerskabsaftalen og protokollen er knyttet til denne afgørelse som bilag I og II.</w:t>
      </w:r>
    </w:p>
    <w:p>
      <w:pPr>
        <w:pStyle w:val="Titrearticle"/>
        <w:rPr>
          <w:noProof/>
        </w:rPr>
      </w:pPr>
      <w:r>
        <w:rPr>
          <w:noProof/>
        </w:rPr>
        <w:t>Artikel 2</w:t>
      </w:r>
    </w:p>
    <w:p>
      <w:pPr>
        <w:rPr>
          <w:noProof/>
        </w:rPr>
      </w:pPr>
      <w:r>
        <w:rPr>
          <w:noProof/>
        </w:rPr>
        <w:t>I overensstemmelse med bestemmelserne og betingelserne i bilag III til denne afgørelse bemyndiges Kommissionen til på Unionens vegne at godkende de ændringer af protokollen, som vedtages af den blandede komité, der er nedsat ved artikel 12 i partnerskabsaftalen om bæredygtigt fiskeri mellem Den Europæiske Union og Republikken Seychellerne.</w:t>
      </w:r>
    </w:p>
    <w:p>
      <w:pPr>
        <w:pStyle w:val="Titrearticle"/>
        <w:rPr>
          <w:noProof/>
        </w:rPr>
      </w:pPr>
      <w:r>
        <w:rPr>
          <w:noProof/>
        </w:rPr>
        <w:t>Artikel 3</w:t>
      </w:r>
    </w:p>
    <w:p>
      <w:pPr>
        <w:rPr>
          <w:noProof/>
        </w:rPr>
      </w:pPr>
      <w:r>
        <w:rPr>
          <w:noProof/>
        </w:rPr>
        <w:t>Rådets formand udpeger den eller de personer, som på Unionens vegne er beføjet til at foretage den notifikation, der er omhandlet i partnerskabsaftalens artikel 19 og protokollens artikel 17, med henblik på at udtrykke Den Europæiske Unions samtykke i at blive bundet af partnerskabsaftalen og protokollen.</w:t>
      </w:r>
    </w:p>
    <w:p>
      <w:pPr>
        <w:pStyle w:val="Titrearticle"/>
        <w:rPr>
          <w:noProof/>
        </w:rPr>
      </w:pPr>
      <w:r>
        <w:rPr>
          <w:noProof/>
        </w:rPr>
        <w:t>Artikel 4</w:t>
      </w:r>
    </w:p>
    <w:p>
      <w:pPr>
        <w:keepLines/>
        <w:rPr>
          <w:i/>
          <w:noProof/>
        </w:rPr>
      </w:pPr>
      <w:r>
        <w:rPr>
          <w:noProof/>
        </w:rPr>
        <w:t xml:space="preserve">Denne afgørelse træder i kraft dagen efter offentliggørelsen i </w:t>
      </w:r>
      <w:r>
        <w:rPr>
          <w:i/>
          <w:noProof/>
        </w:rPr>
        <w:t>Den Europæiske Unions Tidende</w:t>
      </w:r>
      <w:r>
        <w:rPr>
          <w:noProof/>
        </w:rPr>
        <w:t>.</w:t>
      </w:r>
    </w:p>
    <w:p>
      <w:pPr>
        <w:pStyle w:val="Fait"/>
        <w:rPr>
          <w:noProof/>
        </w:rPr>
      </w:pPr>
      <w:r>
        <w:t xml:space="preserve">Udfærdiget i Bruxelles, den </w:t>
      </w:r>
      <w:r>
        <w:rPr>
          <w:rStyle w:val="Marker"/>
        </w:rPr>
        <w:t>[…]</w:t>
      </w:r>
      <w:r>
        <w:t>.</w:t>
      </w:r>
    </w:p>
    <w:p>
      <w:pPr>
        <w:pStyle w:val="Institutionquisigne"/>
        <w:rPr>
          <w:noProof/>
        </w:rPr>
      </w:pPr>
      <w:r>
        <w:rPr>
          <w:noProof/>
        </w:rPr>
        <w:tab/>
        <w:t>På Rådets vegne</w:t>
      </w:r>
    </w:p>
    <w:p>
      <w:pPr>
        <w:pStyle w:val="Personnequisigne"/>
        <w:rPr>
          <w:noProof/>
        </w:rPr>
      </w:pPr>
      <w:r>
        <w:rPr>
          <w:noProof/>
        </w:rPr>
        <w:tab/>
        <w:t>Formanden</w:t>
      </w:r>
    </w:p>
    <w:p>
      <w:pPr>
        <w:spacing w:before="0" w:after="200" w:line="276" w:lineRule="auto"/>
        <w:jc w:val="left"/>
        <w:rPr>
          <w:noProof/>
        </w:rPr>
      </w:pPr>
      <w:r>
        <w:rPr>
          <w:noProof/>
        </w:rPr>
        <w:br w:type="page"/>
      </w:r>
    </w:p>
    <w:p>
      <w:pPr>
        <w:pStyle w:val="Fichefinanciretitre"/>
        <w:rPr>
          <w:noProof/>
        </w:rPr>
      </w:pPr>
      <w:r>
        <w:rPr>
          <w:noProof/>
        </w:rPr>
        <w:lastRenderedPageBreak/>
        <w:t>FINANSIERINGSOVERSIGT</w:t>
      </w:r>
    </w:p>
    <w:p>
      <w:pPr>
        <w:pStyle w:val="ManualHeading1"/>
        <w:rPr>
          <w:noProof/>
        </w:rPr>
      </w:pPr>
      <w:r>
        <w:rPr>
          <w:noProof/>
        </w:rPr>
        <w:t>1.</w:t>
      </w:r>
      <w:r>
        <w:rPr>
          <w:noProof/>
        </w:rPr>
        <w:tab/>
        <w:t xml:space="preserve">FORSLAGETS/INITIATIVETS RAMME </w:t>
      </w:r>
    </w:p>
    <w:p>
      <w:pPr>
        <w:pStyle w:val="ManualHeading2"/>
        <w:rPr>
          <w:noProof/>
        </w:rPr>
      </w:pPr>
      <w:r>
        <w:rPr>
          <w:noProof/>
        </w:rPr>
        <w:t>1.1.</w:t>
      </w:r>
      <w:r>
        <w:rPr>
          <w:noProof/>
        </w:rPr>
        <w:tab/>
        <w:t>Forslagets/initiativets betegnelse</w:t>
      </w:r>
    </w:p>
    <w:p>
      <w:pPr>
        <w:pStyle w:val="Text1"/>
        <w:pBdr>
          <w:top w:val="single" w:sz="4" w:space="1" w:color="auto"/>
          <w:left w:val="single" w:sz="4" w:space="4" w:color="auto"/>
          <w:bottom w:val="single" w:sz="4" w:space="1" w:color="auto"/>
          <w:right w:val="single" w:sz="4" w:space="4" w:color="auto"/>
        </w:pBdr>
        <w:rPr>
          <w:noProof/>
        </w:rPr>
      </w:pPr>
      <w:r>
        <w:rPr>
          <w:noProof/>
        </w:rPr>
        <w:t>Forslag til Rådets afgørelse om undertegnelse på Unionens vegne og om midlertidig anvendelse af partnerskabsaftalen om bæredygtigt fiskeri og den tilhørende gennemførelsesprotokol (2020-2026) mellem Den Europæiske Union og Republikken Seychellerne.</w:t>
      </w:r>
    </w:p>
    <w:p>
      <w:pPr>
        <w:pStyle w:val="ManualHeading2"/>
        <w:rPr>
          <w:noProof/>
        </w:rPr>
      </w:pPr>
      <w:r>
        <w:rPr>
          <w:noProof/>
        </w:rPr>
        <w:t>1.2.</w:t>
      </w:r>
      <w:r>
        <w:rPr>
          <w:noProof/>
        </w:rPr>
        <w:tab/>
        <w:t>Berørt(e) politikområde(r)</w:t>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11 — Maritime anliggender og fiskeri</w:t>
      </w:r>
    </w:p>
    <w:p>
      <w:pPr>
        <w:pStyle w:val="Text1"/>
        <w:pBdr>
          <w:top w:val="single" w:sz="4" w:space="1" w:color="auto"/>
          <w:left w:val="single" w:sz="4" w:space="4" w:color="auto"/>
          <w:bottom w:val="single" w:sz="4" w:space="1" w:color="auto"/>
          <w:right w:val="single" w:sz="4" w:space="4" w:color="auto"/>
        </w:pBdr>
        <w:rPr>
          <w:noProof/>
        </w:rPr>
      </w:pPr>
      <w:r>
        <w:rPr>
          <w:noProof/>
        </w:rPr>
        <w:t>11.03 — Obligatoriske bidrag til regionale fiskeriorganisationer (RFFO) og andre internationale organisationer og aftaler om bæredygtigt fiskeri</w:t>
      </w:r>
    </w:p>
    <w:p>
      <w:pPr>
        <w:pStyle w:val="Text1"/>
        <w:pBdr>
          <w:top w:val="single" w:sz="4" w:space="1" w:color="auto"/>
          <w:left w:val="single" w:sz="4" w:space="4" w:color="auto"/>
          <w:bottom w:val="single" w:sz="4" w:space="1" w:color="auto"/>
          <w:right w:val="single" w:sz="4" w:space="4" w:color="auto"/>
        </w:pBdr>
        <w:rPr>
          <w:noProof/>
        </w:rPr>
      </w:pPr>
      <w:r>
        <w:rPr>
          <w:noProof/>
        </w:rPr>
        <w:t>11.03.01 — Fastsættelse af en reguleringsramme for EU-fiskerfartøjers fiskeri i tredjelandsfarvande</w:t>
      </w:r>
    </w:p>
    <w:p>
      <w:pPr>
        <w:pStyle w:val="ManualHeading2"/>
        <w:rPr>
          <w:noProof/>
          <w:szCs w:val="24"/>
        </w:rPr>
      </w:pPr>
      <w:r>
        <w:rPr>
          <w:noProof/>
        </w:rPr>
        <w:t>1.3.</w:t>
      </w:r>
      <w:r>
        <w:rPr>
          <w:noProof/>
        </w:rPr>
        <w:tab/>
        <w:t xml:space="preserve">Forslaget/initiativet vedrører: </w:t>
      </w:r>
    </w:p>
    <w:p>
      <w:pPr>
        <w:pStyle w:val="Text1"/>
        <w:rPr>
          <w:b/>
          <w:noProof/>
          <w:sz w:val="22"/>
        </w:rPr>
      </w:pPr>
      <w:r>
        <w:rPr>
          <w:b/>
          <w:noProof/>
        </w:rPr>
        <w:t>X en ny foranstaltning</w:t>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en ny foranstaltning som opfølgning på et pilotprojekt/en forberedende foranstaltning</w:t>
      </w:r>
      <w:r>
        <w:rPr>
          <w:rStyle w:val="FootnoteReference"/>
          <w:b/>
          <w:noProof/>
        </w:rPr>
        <w:footnoteReference w:id="9"/>
      </w:r>
      <w:r>
        <w:rPr>
          <w:noProof/>
          <w:sz w:val="22"/>
        </w:rPr>
        <w:t xml:space="preserve"> </w:t>
      </w:r>
    </w:p>
    <w:p>
      <w:pPr>
        <w:pStyle w:val="Text1"/>
        <w:rPr>
          <w:noProof/>
          <w:sz w:val="22"/>
        </w:rPr>
      </w:pPr>
      <w:r>
        <w:rPr>
          <w:noProof/>
          <w:sz w:val="22"/>
        </w:rPr>
        <w:sym w:font="Wingdings" w:char="F0A8"/>
      </w:r>
      <w:r>
        <w:rPr>
          <w:i/>
          <w:noProof/>
          <w:sz w:val="22"/>
        </w:rPr>
        <w:t xml:space="preserve"> </w:t>
      </w:r>
      <w:r>
        <w:rPr>
          <w:b/>
          <w:noProof/>
        </w:rPr>
        <w:t>en forlængelse af en eksisterende foranstaltning</w:t>
      </w:r>
      <w:r>
        <w:rPr>
          <w:noProof/>
          <w:sz w:val="22"/>
        </w:rPr>
        <w:t xml:space="preserve"> </w:t>
      </w:r>
    </w:p>
    <w:p>
      <w:pPr>
        <w:pStyle w:val="Text1"/>
        <w:rPr>
          <w:noProof/>
        </w:rPr>
      </w:pPr>
      <w:r>
        <w:rPr>
          <w:noProof/>
          <w:sz w:val="22"/>
        </w:rPr>
        <w:sym w:font="Wingdings" w:char="F0A8"/>
      </w:r>
      <w:r>
        <w:rPr>
          <w:i/>
          <w:noProof/>
          <w:sz w:val="22"/>
        </w:rPr>
        <w:t xml:space="preserve"> </w:t>
      </w:r>
      <w:r>
        <w:rPr>
          <w:b/>
          <w:noProof/>
        </w:rPr>
        <w:t>en sammenlægning eller en omlægning af en eller flere foranstaltninger til en anden/en ny foranstaltning</w:t>
      </w:r>
      <w:r>
        <w:rPr>
          <w:noProof/>
        </w:rPr>
        <w:t xml:space="preserve"> </w:t>
      </w:r>
    </w:p>
    <w:p>
      <w:pPr>
        <w:pStyle w:val="ManualHeading2"/>
        <w:rPr>
          <w:noProof/>
          <w:szCs w:val="24"/>
        </w:rPr>
      </w:pPr>
      <w:r>
        <w:rPr>
          <w:noProof/>
        </w:rPr>
        <w:t>1.4.</w:t>
      </w:r>
      <w:r>
        <w:rPr>
          <w:noProof/>
        </w:rPr>
        <w:tab/>
        <w:t>Mål</w:t>
      </w:r>
    </w:p>
    <w:p>
      <w:pPr>
        <w:pStyle w:val="ManualHeading3"/>
        <w:rPr>
          <w:noProof/>
        </w:rPr>
      </w:pPr>
      <w:r>
        <w:rPr>
          <w:noProof/>
        </w:rPr>
        <w:t>1.4.1.</w:t>
      </w:r>
      <w:r>
        <w:rPr>
          <w:noProof/>
        </w:rPr>
        <w:tab/>
        <w:t>Generelle mål</w:t>
      </w:r>
    </w:p>
    <w:p>
      <w:pPr>
        <w:pStyle w:val="Text1"/>
        <w:pBdr>
          <w:top w:val="single" w:sz="4" w:space="1" w:color="auto"/>
          <w:left w:val="single" w:sz="4" w:space="4" w:color="auto"/>
          <w:bottom w:val="single" w:sz="4" w:space="1" w:color="auto"/>
          <w:right w:val="single" w:sz="4" w:space="4" w:color="auto"/>
        </w:pBdr>
        <w:rPr>
          <w:noProof/>
        </w:rPr>
      </w:pPr>
      <w:r>
        <w:rPr>
          <w:noProof/>
        </w:rPr>
        <w:t>Forhandlinger om og indgåelse af partnerskabsaftaler med tredjelande om bæredygtigt fiskeri opfylder det generelle mål om at give EU-fiskerfartøjer adgang til fiskeri i tredjelandes fiskeriområder og at udvikle et partnerskab med disse lande for at fremme en bæredygtig udnyttelse af fiskeressourcerne uden for EU's farvande.</w:t>
      </w:r>
    </w:p>
    <w:p>
      <w:pPr>
        <w:pStyle w:val="Text1"/>
        <w:pBdr>
          <w:top w:val="single" w:sz="4" w:space="1" w:color="auto"/>
          <w:left w:val="single" w:sz="4" w:space="4" w:color="auto"/>
          <w:bottom w:val="single" w:sz="4" w:space="1" w:color="auto"/>
          <w:right w:val="single" w:sz="4" w:space="4" w:color="auto"/>
        </w:pBdr>
        <w:rPr>
          <w:noProof/>
        </w:rPr>
      </w:pPr>
      <w:r>
        <w:rPr>
          <w:noProof/>
        </w:rPr>
        <w:t>Med partnerskabsaftalerne om bæredygtigt fiskeri sikres der ligeledes sammenhæng mellem principperne for den fælles fiskeripolitik og de forpligtelser, der er indgået i forbindelse med andre EU-politikker (bæredygtig udnyttelse af tredjelandes ressourcer, bekæmpelse af ulovligt, urapporteret og ureguleret fiskeri (IUU-fiskeri), integration af partnerlande i den globale økonomi, bidrag til bæredygtig udvikling i alle dens dimensioner og en bedre fiskeriforvaltning både politisk og finansielt).</w:t>
      </w:r>
    </w:p>
    <w:p>
      <w:pPr>
        <w:pStyle w:val="ManualHeading3"/>
        <w:rPr>
          <w:bCs/>
          <w:noProof/>
          <w:szCs w:val="24"/>
        </w:rPr>
      </w:pPr>
      <w:r>
        <w:rPr>
          <w:noProof/>
        </w:rPr>
        <w:t>1.4.2.</w:t>
      </w:r>
      <w:r>
        <w:rPr>
          <w:noProof/>
        </w:rPr>
        <w:tab/>
        <w:t>Specifikke mål</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Specifikt mål nr. 1</w:t>
      </w:r>
    </w:p>
    <w:p>
      <w:pPr>
        <w:pStyle w:val="Text1"/>
        <w:pBdr>
          <w:top w:val="single" w:sz="4" w:space="1" w:color="auto"/>
          <w:left w:val="single" w:sz="4" w:space="4" w:color="auto"/>
          <w:bottom w:val="single" w:sz="4" w:space="1" w:color="auto"/>
          <w:right w:val="single" w:sz="4" w:space="4" w:color="auto"/>
        </w:pBdr>
        <w:rPr>
          <w:noProof/>
        </w:rPr>
      </w:pPr>
      <w:r>
        <w:rPr>
          <w:noProof/>
        </w:rPr>
        <w:t>At bidrage til et bæredygtigt fiskeri uden for EU's farvande, at fastholde en europæisk tilstedeværelse i fjernfiskeriet og at beskytte den europæiske fiskerisektors og forbrugernes interesser ved at forhandle om og indgå partnerskabsaftaler om bæredygtigt fiskeri med kyststater, som er i overensstemmelse med de øvrige EU-politikker.</w:t>
      </w:r>
    </w:p>
    <w:p>
      <w:pPr>
        <w:pStyle w:val="ManualHeading3"/>
        <w:rPr>
          <w:noProof/>
        </w:rPr>
      </w:pPr>
      <w:r>
        <w:rPr>
          <w:noProof/>
        </w:rPr>
        <w:t>1.4.3.</w:t>
      </w:r>
      <w:r>
        <w:rPr>
          <w:noProof/>
        </w:rPr>
        <w:tab/>
        <w:t>Forventede resultater og virkninger</w:t>
      </w:r>
    </w:p>
    <w:p>
      <w:pPr>
        <w:pStyle w:val="Text1"/>
        <w:rPr>
          <w:i/>
          <w:noProof/>
          <w:sz w:val="20"/>
        </w:rPr>
      </w:pPr>
      <w:r>
        <w:rPr>
          <w:i/>
          <w:noProof/>
          <w:sz w:val="20"/>
        </w:rPr>
        <w:t>Angiv, hvilke virkninger forslaget/initiativet forventes at få for modtagerne/målgruppen.</w:t>
      </w:r>
    </w:p>
    <w:p>
      <w:pPr>
        <w:pStyle w:val="Text1"/>
        <w:pBdr>
          <w:top w:val="single" w:sz="4" w:space="1" w:color="auto"/>
          <w:left w:val="single" w:sz="4" w:space="4" w:color="auto"/>
          <w:bottom w:val="single" w:sz="4" w:space="1" w:color="auto"/>
          <w:right w:val="single" w:sz="4" w:space="4" w:color="auto"/>
        </w:pBdr>
        <w:rPr>
          <w:noProof/>
        </w:rPr>
      </w:pPr>
      <w:r>
        <w:rPr>
          <w:noProof/>
        </w:rPr>
        <w:t>Indgåelsen af aftalen og den tilhørende gennemførelsesprotokol gør det muligt at fortsætte og styrke det strategiske fiskeripartnerskab mellem Den Europæiske Union og Seychellerne. Indgåelsen af protokollen vil skabe fiskerimuligheder for EU-fartøjer i Seychellernes fiskeriområde.</w:t>
      </w:r>
    </w:p>
    <w:p>
      <w:pPr>
        <w:pStyle w:val="Text1"/>
        <w:pBdr>
          <w:top w:val="single" w:sz="4" w:space="1" w:color="auto"/>
          <w:left w:val="single" w:sz="4" w:space="4" w:color="auto"/>
          <w:bottom w:val="single" w:sz="4" w:space="1" w:color="auto"/>
          <w:right w:val="single" w:sz="4" w:space="4" w:color="auto"/>
        </w:pBdr>
        <w:rPr>
          <w:noProof/>
        </w:rPr>
      </w:pPr>
      <w:r>
        <w:rPr>
          <w:noProof/>
        </w:rPr>
        <w:t>Aftalen og protokollen vil ligeledes være med til at forbedre forvaltningen og bevarelsen af fiskeressourcerne i kraft af finansiel støtte (sektorstøtte) til gennemførelsen af programmer, som partnerlandet vedtager på nationalt plan, navnlig hvad angår den omfattende fiskeriplan, kontrol og bekæmpelse af ulovligt fiskeri og støtte til sektoren for ikkeindustrielt fiskeri.</w:t>
      </w:r>
    </w:p>
    <w:p>
      <w:pPr>
        <w:pStyle w:val="Text1"/>
        <w:pBdr>
          <w:top w:val="single" w:sz="4" w:space="1" w:color="auto"/>
          <w:left w:val="single" w:sz="4" w:space="4" w:color="auto"/>
          <w:bottom w:val="single" w:sz="4" w:space="1" w:color="auto"/>
          <w:right w:val="single" w:sz="4" w:space="4" w:color="auto"/>
        </w:pBdr>
        <w:rPr>
          <w:noProof/>
        </w:rPr>
      </w:pPr>
      <w:r>
        <w:rPr>
          <w:noProof/>
        </w:rPr>
        <w:t>Endelig vil aftalen og protokollen bidrage til Seychellernes bæredygtige udnyttelse af havets ressourcer og til Seychellernes fiskeriøkonomi ved at fremme vækst og anstændige arbejdsvilkår i forbindelse med fiskerirelaterede økonomiske aktiviteter.</w:t>
      </w:r>
    </w:p>
    <w:p>
      <w:pPr>
        <w:pStyle w:val="ManualHeading3"/>
        <w:rPr>
          <w:noProof/>
          <w:szCs w:val="24"/>
        </w:rPr>
      </w:pPr>
      <w:r>
        <w:rPr>
          <w:noProof/>
        </w:rPr>
        <w:t>1.4.4.</w:t>
      </w:r>
      <w:r>
        <w:rPr>
          <w:noProof/>
        </w:rPr>
        <w:tab/>
        <w:t>Virknings- og resultatindikatorer</w:t>
      </w:r>
    </w:p>
    <w:p>
      <w:pPr>
        <w:pStyle w:val="Text1"/>
        <w:rPr>
          <w:i/>
          <w:noProof/>
          <w:sz w:val="20"/>
        </w:rPr>
      </w:pPr>
      <w:r>
        <w:rPr>
          <w:i/>
          <w:noProof/>
          <w:sz w:val="20"/>
        </w:rPr>
        <w:t>Angiv indikatorerne for overvågning af fremskridt og resultater.</w:t>
      </w:r>
    </w:p>
    <w:p>
      <w:pPr>
        <w:pStyle w:val="Text1"/>
        <w:pBdr>
          <w:top w:val="single" w:sz="4" w:space="1" w:color="auto"/>
          <w:left w:val="single" w:sz="4" w:space="4" w:color="auto"/>
          <w:bottom w:val="single" w:sz="4" w:space="1" w:color="auto"/>
          <w:right w:val="single" w:sz="4" w:space="4" w:color="auto"/>
        </w:pBdr>
        <w:rPr>
          <w:noProof/>
        </w:rPr>
      </w:pPr>
      <w:r>
        <w:rPr>
          <w:noProof/>
        </w:rPr>
        <w:t>Fiskerimulighedernes udnyttelsesgrad (procentvis andel af fiskeritilladelser, som udnyttes, i forhold til de muligheder, protokollen giver).</w:t>
      </w:r>
    </w:p>
    <w:p>
      <w:pPr>
        <w:pStyle w:val="Text1"/>
        <w:pBdr>
          <w:top w:val="single" w:sz="4" w:space="1" w:color="auto"/>
          <w:left w:val="single" w:sz="4" w:space="4" w:color="auto"/>
          <w:bottom w:val="single" w:sz="4" w:space="1" w:color="auto"/>
          <w:right w:val="single" w:sz="4" w:space="4" w:color="auto"/>
        </w:pBdr>
        <w:rPr>
          <w:noProof/>
        </w:rPr>
      </w:pPr>
      <w:r>
        <w:rPr>
          <w:noProof/>
        </w:rPr>
        <w:t>Fangstdata (indsamling og analyse) og aftalens handelsmæssige værdi.</w:t>
      </w:r>
    </w:p>
    <w:p>
      <w:pPr>
        <w:pStyle w:val="Text1"/>
        <w:pBdr>
          <w:top w:val="single" w:sz="4" w:space="1" w:color="auto"/>
          <w:left w:val="single" w:sz="4" w:space="4" w:color="auto"/>
          <w:bottom w:val="single" w:sz="4" w:space="1" w:color="auto"/>
          <w:right w:val="single" w:sz="4" w:space="4" w:color="auto"/>
        </w:pBdr>
        <w:rPr>
          <w:noProof/>
        </w:rPr>
      </w:pPr>
      <w:r>
        <w:rPr>
          <w:noProof/>
        </w:rPr>
        <w:t>Bidrag til beskæftigelse og anstændige arbejdsvilkår i fiskerisektoren og til merværdi i EU og til stabilisering af EU-markedet (kumuleret niveau med andre partnerskabsaftaler om bæredygtigt fiskeri).</w:t>
      </w:r>
    </w:p>
    <w:p>
      <w:pPr>
        <w:pStyle w:val="Text1"/>
        <w:pBdr>
          <w:top w:val="single" w:sz="4" w:space="1" w:color="auto"/>
          <w:left w:val="single" w:sz="4" w:space="4" w:color="auto"/>
          <w:bottom w:val="single" w:sz="4" w:space="1" w:color="auto"/>
          <w:right w:val="single" w:sz="4" w:space="4" w:color="auto"/>
        </w:pBdr>
        <w:rPr>
          <w:noProof/>
        </w:rPr>
      </w:pPr>
      <w:r>
        <w:rPr>
          <w:noProof/>
        </w:rPr>
        <w:t xml:space="preserve">Bidrag til forbedret forskning i, overvågning af og kontrol med fiskeriaktiviteter i partnerlandet samt til udvikling af landets fiskerisektor, navnlig den ikkeindustrielle sektor. </w:t>
      </w:r>
    </w:p>
    <w:p>
      <w:pPr>
        <w:pStyle w:val="ManualHeading2"/>
        <w:rPr>
          <w:noProof/>
        </w:rPr>
      </w:pPr>
      <w:r>
        <w:rPr>
          <w:noProof/>
        </w:rPr>
        <w:t>1.5.</w:t>
      </w:r>
      <w:r>
        <w:rPr>
          <w:noProof/>
        </w:rPr>
        <w:tab/>
        <w:t xml:space="preserve">Forslagets/initiativets begrundelse </w:t>
      </w:r>
    </w:p>
    <w:p>
      <w:pPr>
        <w:pStyle w:val="ManualHeading3"/>
        <w:rPr>
          <w:noProof/>
        </w:rPr>
      </w:pPr>
      <w:r>
        <w:rPr>
          <w:noProof/>
        </w:rPr>
        <w:t>1.5.1.</w:t>
      </w:r>
      <w:r>
        <w:rPr>
          <w:noProof/>
        </w:rPr>
        <w:tab/>
        <w:t>Behov, der skal opfyldes på kort eller lang sigt, herunder en detaljeret tidsplan for iværksættelsen af initiativet</w:t>
      </w:r>
    </w:p>
    <w:p>
      <w:pPr>
        <w:pStyle w:val="Text1"/>
        <w:pBdr>
          <w:top w:val="single" w:sz="4" w:space="1" w:color="auto"/>
          <w:left w:val="single" w:sz="4" w:space="4" w:color="auto"/>
          <w:bottom w:val="single" w:sz="4" w:space="1" w:color="auto"/>
          <w:right w:val="single" w:sz="4" w:space="4" w:color="auto"/>
        </w:pBdr>
        <w:rPr>
          <w:noProof/>
        </w:rPr>
      </w:pPr>
      <w:r>
        <w:rPr>
          <w:noProof/>
        </w:rPr>
        <w:t>Det er hensigten, at den nye aftale og gennemførelsesprotokol anvendes midlertidigt fra datoen for dens undertegnelse med henblik på at begrænse afbrydelsen af det igangværende fiskeri under den nuværende protokol.</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Den nye aftale og protokol udgør en ramme for EU-flådens fiskeriaktiviteter i Seychellernes fiskeriområde og giver redere fra EU mulighed for at søge om tilladelse til at fiske i dette område. Desuden vil den nye aftale og protokol styrke samarbejdet mellem EU og Seychellerne med henblik på at fremme udviklingen af en bæredygtig fiskeripolitik i alle dens dimensioner. Den indeholder bl.a. bestemmelser om fartøjsovervågning ved hjælp af FOS og elektronisk indberetning af fangstopgørelser. Den sektorstøtte, der kan ydes i henhold til protokollen, vil hjælpe Seychellerne med at gennemføre sin nationale fiskeristrategi, herunder bekæmpelse af IUU-fiskeri, samtidig med at den bidrager til at fremme anstændige arbejdsvilkår i fiskerisektoren. </w:t>
      </w:r>
    </w:p>
    <w:p>
      <w:pPr>
        <w:pStyle w:val="ManualHeading3"/>
        <w:rPr>
          <w:bCs/>
          <w:noProof/>
          <w:szCs w:val="24"/>
        </w:rPr>
      </w:pPr>
      <w:r>
        <w:rPr>
          <w:noProof/>
        </w:rPr>
        <w:t>1.5.2.</w:t>
      </w:r>
      <w:r>
        <w:rPr>
          <w:noProof/>
        </w:rPr>
        <w:tab/>
        <w:t>Merværdien ved en indsats fra EU's side (f.eks. koordineringsfordele, retssikkerhed, større effektivitet eller komplementaritet). Ved "merværdien ved en indsats fra EU's side" forstås her merværdien af EU's intervention i forhold til den værdi, som medlemsstaterne ville have skabt enkeltvis.</w:t>
      </w:r>
    </w:p>
    <w:p>
      <w:pPr>
        <w:pStyle w:val="Text1"/>
        <w:pBdr>
          <w:top w:val="single" w:sz="4" w:space="1" w:color="auto"/>
          <w:left w:val="single" w:sz="4" w:space="4" w:color="auto"/>
          <w:bottom w:val="single" w:sz="4" w:space="1" w:color="auto"/>
          <w:right w:val="single" w:sz="4" w:space="4" w:color="auto"/>
        </w:pBdr>
        <w:rPr>
          <w:noProof/>
        </w:rPr>
      </w:pPr>
      <w:r>
        <w:rPr>
          <w:noProof/>
        </w:rPr>
        <w:t xml:space="preserve">Hvis EU ikke indgår den nye aftale og protokol, vil det hindre EU-fartøjernes fiskeri, da den gældende aftale indeholder en klausul, der udelukker fiskeri, som ikke finder sted inden for de rammer, der er fastsat af en protokol til aftalen. Der er derfor en klar merværdi for EU's højsøflåde. Protokollen indeholder også en ramme for et styrket samarbejde mellem Unionen og Seychellerne. </w:t>
      </w:r>
    </w:p>
    <w:p>
      <w:pPr>
        <w:pStyle w:val="ManualHeading3"/>
        <w:rPr>
          <w:noProof/>
        </w:rPr>
      </w:pPr>
      <w:r>
        <w:rPr>
          <w:noProof/>
        </w:rPr>
        <w:t>1.5.3.</w:t>
      </w:r>
      <w:r>
        <w:rPr>
          <w:noProof/>
        </w:rPr>
        <w:tab/>
        <w:t>Erfaringer fra lignende foranstaltninger</w:t>
      </w:r>
    </w:p>
    <w:p>
      <w:pPr>
        <w:pStyle w:val="Text1"/>
        <w:pBdr>
          <w:top w:val="single" w:sz="4" w:space="1" w:color="auto"/>
          <w:left w:val="single" w:sz="4" w:space="4" w:color="auto"/>
          <w:bottom w:val="single" w:sz="4" w:space="1" w:color="auto"/>
          <w:right w:val="single" w:sz="4" w:space="4" w:color="auto"/>
        </w:pBdr>
        <w:rPr>
          <w:noProof/>
        </w:rPr>
      </w:pPr>
      <w:r>
        <w:rPr>
          <w:noProof/>
        </w:rPr>
        <w:t>En analyse af de tidligere fangster i Seychellernes fiskeriområde og foreliggende vurderinger og videnskabelig rådgivning har ført til, at parterne har fastsat referencemængden for tun og tunlignende arter til 50 000 ton om året med fiskerimuligheder for 40 notfartøjer til tunfiskeri og 8 langlinefartøjer med flydeline. Sektorstøtten er blevet fastsat på et højt niveau for at tage hensyn til prioriteterne i den nationale fiskeristrategi og navnlig i den omfattende fiskeriplan.</w:t>
      </w:r>
    </w:p>
    <w:p>
      <w:pPr>
        <w:pStyle w:val="ManualHeading3"/>
        <w:rPr>
          <w:noProof/>
        </w:rPr>
      </w:pPr>
      <w:r>
        <w:rPr>
          <w:noProof/>
        </w:rPr>
        <w:t>1.5.4.</w:t>
      </w:r>
      <w:r>
        <w:rPr>
          <w:noProof/>
        </w:rPr>
        <w:tab/>
        <w:t>Forenelighed med den flerårige finansielle ramme og mulige synergivirkninger med andre relevante instrumenter</w:t>
      </w:r>
    </w:p>
    <w:p>
      <w:pPr>
        <w:pStyle w:val="Text1"/>
        <w:pBdr>
          <w:top w:val="single" w:sz="4" w:space="1" w:color="auto"/>
          <w:left w:val="single" w:sz="4" w:space="4" w:color="auto"/>
          <w:bottom w:val="single" w:sz="4" w:space="1" w:color="auto"/>
          <w:right w:val="single" w:sz="4" w:space="4" w:color="auto"/>
        </w:pBdr>
        <w:rPr>
          <w:noProof/>
        </w:rPr>
      </w:pPr>
      <w:r>
        <w:rPr>
          <w:noProof/>
        </w:rPr>
        <w:t>De midler, der i medfør af partnerskabsaftalen om bæredygtigt fiskeri udbetales som finansiel modydelse til gengæld for adgangen til ressourcerne, udgør fungible indtægter på Seychellernes nationale budget. Dog er det en betingelse for indgåelse og opfølgning af partnerskabsaftaler om bæredygtigt fiskeri, at de midler, der er afsat til sektorstøtte, overføres (typisk ved indførelse i finansloven for det pågældende år) til ministeriet med ansvar for fiskeri. Disse finansielle midler er forenelige med andre finansieringskilder fra andre internationale bidragydere til gennemførelse af projekter og/eller programmer, der gennemføres på nationalt plan i fiskerisektoren.</w:t>
      </w:r>
    </w:p>
    <w:p>
      <w:pPr>
        <w:pStyle w:val="ManualHeading3"/>
        <w:rPr>
          <w:noProof/>
        </w:rPr>
      </w:pPr>
      <w:r>
        <w:rPr>
          <w:noProof/>
        </w:rPr>
        <w:t>1.5.5.</w:t>
      </w:r>
      <w:r>
        <w:rPr>
          <w:noProof/>
        </w:rPr>
        <w:tab/>
        <w:t>Vurdering af de forskellige tilgængelige finansieringsmuligheder, herunder muligheden for omfordeling</w:t>
      </w:r>
    </w:p>
    <w:p>
      <w:pPr>
        <w:pStyle w:val="Text1"/>
        <w:pBdr>
          <w:top w:val="single" w:sz="4" w:space="1" w:color="auto"/>
          <w:left w:val="single" w:sz="4" w:space="4" w:color="auto"/>
          <w:bottom w:val="single" w:sz="4" w:space="1" w:color="auto"/>
          <w:right w:val="single" w:sz="4" w:space="4" w:color="auto"/>
        </w:pBdr>
        <w:rPr>
          <w:noProof/>
        </w:rPr>
      </w:pPr>
      <w:r>
        <w:rPr>
          <w:noProof/>
        </w:rPr>
        <w:t>Ikke relevant</w:t>
      </w:r>
    </w:p>
    <w:p>
      <w:pPr>
        <w:pStyle w:val="ManualHeading2"/>
        <w:rPr>
          <w:bCs/>
          <w:noProof/>
          <w:szCs w:val="24"/>
        </w:rPr>
      </w:pPr>
      <w:r>
        <w:rPr>
          <w:noProof/>
        </w:rPr>
        <w:t>1.6.</w:t>
      </w:r>
      <w:r>
        <w:rPr>
          <w:noProof/>
        </w:rPr>
        <w:tab/>
        <w:t>Forslagets/initiativets varighed og finansielle virkninger</w:t>
      </w:r>
    </w:p>
    <w:p>
      <w:pPr>
        <w:pStyle w:val="Text1"/>
        <w:rPr>
          <w:noProof/>
        </w:rPr>
      </w:pPr>
      <w:r>
        <w:rPr>
          <w:b/>
          <w:noProof/>
        </w:rPr>
        <w:t xml:space="preserve">X begrænset varighed </w:t>
      </w:r>
    </w:p>
    <w:p>
      <w:pPr>
        <w:pStyle w:val="ListDash2"/>
        <w:rPr>
          <w:noProof/>
        </w:rPr>
      </w:pPr>
      <w:r>
        <w:rPr>
          <w:b/>
          <w:noProof/>
        </w:rPr>
        <w:t>X</w:t>
      </w:r>
      <w:r>
        <w:rPr>
          <w:noProof/>
        </w:rPr>
        <w:tab/>
        <w:t>I kraft fra 2020 til 2026</w:t>
      </w:r>
    </w:p>
    <w:p>
      <w:pPr>
        <w:pStyle w:val="ListDash2"/>
        <w:rPr>
          <w:noProof/>
        </w:rPr>
      </w:pPr>
      <w:r>
        <w:rPr>
          <w:b/>
          <w:noProof/>
        </w:rPr>
        <w:t>X</w:t>
      </w:r>
      <w:r>
        <w:rPr>
          <w:noProof/>
        </w:rPr>
        <w:tab/>
        <w:t>Finansielle virkninger fra 2020 til 2025 for forpligtelsesbevillinger og fra 2020 til 2025 for betalingsbevillinger.</w:t>
      </w:r>
    </w:p>
    <w:p>
      <w:pPr>
        <w:pStyle w:val="Text1"/>
        <w:rPr>
          <w:noProof/>
        </w:rPr>
      </w:pPr>
      <w:r>
        <w:rPr>
          <w:noProof/>
        </w:rPr>
        <w:sym w:font="Wingdings" w:char="F0A8"/>
      </w:r>
      <w:r>
        <w:rPr>
          <w:noProof/>
        </w:rPr>
        <w:t xml:space="preserve"> </w:t>
      </w:r>
      <w:r>
        <w:rPr>
          <w:b/>
          <w:noProof/>
        </w:rPr>
        <w:t>ubegrænset varighed</w:t>
      </w:r>
    </w:p>
    <w:p>
      <w:pPr>
        <w:pStyle w:val="ListDash1"/>
        <w:rPr>
          <w:noProof/>
        </w:rPr>
      </w:pPr>
      <w:r>
        <w:rPr>
          <w:noProof/>
        </w:rPr>
        <w:t>Iværksættelse med en indkøringsperiode fra ÅÅÅÅ til ÅÅÅÅ,</w:t>
      </w:r>
    </w:p>
    <w:p>
      <w:pPr>
        <w:pStyle w:val="ListDash1"/>
        <w:rPr>
          <w:noProof/>
        </w:rPr>
      </w:pPr>
      <w:r>
        <w:rPr>
          <w:noProof/>
        </w:rPr>
        <w:t>derefter gennemførelse i fuldt omfang.</w:t>
      </w:r>
    </w:p>
    <w:p>
      <w:pPr>
        <w:pStyle w:val="ManualHeading2"/>
        <w:rPr>
          <w:bCs/>
          <w:noProof/>
          <w:szCs w:val="24"/>
        </w:rPr>
      </w:pPr>
      <w:r>
        <w:rPr>
          <w:noProof/>
        </w:rPr>
        <w:t>1.7.</w:t>
      </w:r>
      <w:r>
        <w:rPr>
          <w:noProof/>
        </w:rPr>
        <w:tab/>
        <w:t>Påtænkt(e) forvaltningsmetode(r)</w:t>
      </w:r>
      <w:r>
        <w:rPr>
          <w:rStyle w:val="FootnoteReference"/>
          <w:noProof/>
        </w:rPr>
        <w:footnoteReference w:id="10"/>
      </w:r>
      <w:r>
        <w:rPr>
          <w:rStyle w:val="FootnoteReference"/>
          <w:noProof/>
        </w:rPr>
        <w:t xml:space="preserve"> </w:t>
      </w:r>
    </w:p>
    <w:p>
      <w:pPr>
        <w:pStyle w:val="Text1"/>
        <w:rPr>
          <w:noProof/>
        </w:rPr>
      </w:pPr>
      <w:r>
        <w:rPr>
          <w:b/>
          <w:noProof/>
        </w:rPr>
        <w:t>X Direkte forvaltning</w:t>
      </w:r>
      <w:r>
        <w:rPr>
          <w:noProof/>
        </w:rPr>
        <w:t xml:space="preserve"> ved Kommissionen</w:t>
      </w:r>
    </w:p>
    <w:p>
      <w:pPr>
        <w:pStyle w:val="ListDash2"/>
        <w:rPr>
          <w:rFonts w:cs="EUAlbertina"/>
          <w:noProof/>
        </w:rPr>
      </w:pPr>
      <w:r>
        <w:rPr>
          <w:b/>
          <w:noProof/>
        </w:rPr>
        <w:t>X</w:t>
      </w:r>
      <w:r>
        <w:rPr>
          <w:noProof/>
        </w:rPr>
        <w:t xml:space="preserve"> i dens tjenestegrene, herunder ved dens personale i EU's delegationer </w:t>
      </w:r>
    </w:p>
    <w:p>
      <w:pPr>
        <w:pStyle w:val="ListDash2"/>
        <w:rPr>
          <w:noProof/>
        </w:rPr>
      </w:pPr>
      <w:r>
        <w:rPr>
          <w:noProof/>
        </w:rPr>
        <w:sym w:font="Wingdings" w:char="F0A8"/>
      </w:r>
      <w:r>
        <w:rPr>
          <w:noProof/>
        </w:rPr>
        <w:tab/>
        <w:t xml:space="preserve">i gennemførelsesorganer </w:t>
      </w:r>
    </w:p>
    <w:p>
      <w:pPr>
        <w:pStyle w:val="Text1"/>
        <w:rPr>
          <w:noProof/>
        </w:rPr>
      </w:pPr>
      <w:r>
        <w:rPr>
          <w:noProof/>
        </w:rPr>
        <w:sym w:font="Wingdings" w:char="F0A8"/>
      </w:r>
      <w:r>
        <w:rPr>
          <w:b/>
          <w:i/>
          <w:noProof/>
        </w:rPr>
        <w:t xml:space="preserve"> </w:t>
      </w:r>
      <w:r>
        <w:rPr>
          <w:b/>
          <w:noProof/>
        </w:rPr>
        <w:t>Delt forvaltning</w:t>
      </w:r>
      <w:r>
        <w:rPr>
          <w:noProof/>
        </w:rPr>
        <w:t xml:space="preserve"> i samarbejde med medlemsstaterne </w:t>
      </w:r>
    </w:p>
    <w:p>
      <w:pPr>
        <w:pStyle w:val="Text1"/>
        <w:rPr>
          <w:noProof/>
        </w:rPr>
      </w:pPr>
      <w:r>
        <w:rPr>
          <w:noProof/>
        </w:rPr>
        <w:sym w:font="Wingdings" w:char="F0A8"/>
      </w:r>
      <w:r>
        <w:rPr>
          <w:i/>
          <w:noProof/>
        </w:rPr>
        <w:t xml:space="preserve"> </w:t>
      </w:r>
      <w:r>
        <w:rPr>
          <w:b/>
          <w:noProof/>
        </w:rPr>
        <w:t>Indirekte forvaltning</w:t>
      </w:r>
      <w:r>
        <w:rPr>
          <w:noProof/>
        </w:rPr>
        <w:t xml:space="preserve"> ved at overlade budgetgennemførelsesopgaver til:</w:t>
      </w:r>
    </w:p>
    <w:p>
      <w:pPr>
        <w:pStyle w:val="ListDash2"/>
        <w:rPr>
          <w:noProof/>
        </w:rPr>
      </w:pPr>
      <w:r>
        <w:rPr>
          <w:noProof/>
        </w:rPr>
        <w:sym w:font="Wingdings" w:char="F0A8"/>
      </w:r>
      <w:r>
        <w:rPr>
          <w:noProof/>
        </w:rPr>
        <w:t xml:space="preserve"> tredjelande eller organer, som tredjelande har udpeget</w:t>
      </w:r>
    </w:p>
    <w:p>
      <w:pPr>
        <w:pStyle w:val="ListDash2"/>
        <w:rPr>
          <w:noProof/>
        </w:rPr>
      </w:pPr>
      <w:r>
        <w:rPr>
          <w:noProof/>
        </w:rPr>
        <w:sym w:font="Wingdings" w:char="F0A8"/>
      </w:r>
      <w:r>
        <w:rPr>
          <w:noProof/>
        </w:rPr>
        <w:t xml:space="preserve"> internationale organisationer og deres organer (angives nærmere)</w:t>
      </w:r>
    </w:p>
    <w:p>
      <w:pPr>
        <w:pStyle w:val="ListDash2"/>
        <w:rPr>
          <w:noProof/>
        </w:rPr>
      </w:pPr>
      <w:r>
        <w:rPr>
          <w:noProof/>
        </w:rPr>
        <w:sym w:font="Wingdings" w:char="F0A8"/>
      </w:r>
      <w:r>
        <w:rPr>
          <w:noProof/>
        </w:rPr>
        <w:t xml:space="preserve"> Den Europæiske Investeringsbank og Den Europæiske Investeringsfond</w:t>
      </w:r>
    </w:p>
    <w:p>
      <w:pPr>
        <w:pStyle w:val="ListDash2"/>
        <w:rPr>
          <w:noProof/>
        </w:rPr>
      </w:pPr>
      <w:r>
        <w:rPr>
          <w:noProof/>
        </w:rPr>
        <w:sym w:font="Wingdings" w:char="F0A8"/>
      </w:r>
      <w:r>
        <w:rPr>
          <w:noProof/>
        </w:rPr>
        <w:t xml:space="preserve"> de organer, der er omhandlet i finansforordningens artikel 70 og 71</w:t>
      </w:r>
    </w:p>
    <w:p>
      <w:pPr>
        <w:pStyle w:val="ListDash2"/>
        <w:rPr>
          <w:noProof/>
        </w:rPr>
      </w:pPr>
      <w:r>
        <w:rPr>
          <w:noProof/>
        </w:rPr>
        <w:sym w:font="Wingdings" w:char="F0A8"/>
      </w:r>
      <w:r>
        <w:rPr>
          <w:noProof/>
        </w:rPr>
        <w:t xml:space="preserve"> offentligretlige organer</w:t>
      </w:r>
    </w:p>
    <w:p>
      <w:pPr>
        <w:pStyle w:val="ListDash2"/>
        <w:rPr>
          <w:noProof/>
        </w:rPr>
      </w:pPr>
      <w:r>
        <w:rPr>
          <w:noProof/>
        </w:rPr>
        <w:sym w:font="Wingdings" w:char="F0A8"/>
      </w:r>
      <w:r>
        <w:rPr>
          <w:noProof/>
        </w:rPr>
        <w:t xml:space="preserve"> privatretlige organer, der har fået overdraget samfundsopgaver, forudsat at de stiller tilstrækkelige finansielle garantier</w:t>
      </w:r>
    </w:p>
    <w:p>
      <w:pPr>
        <w:pStyle w:val="ListDash2"/>
        <w:rPr>
          <w:noProof/>
        </w:rPr>
      </w:pPr>
      <w:r>
        <w:rPr>
          <w:noProof/>
        </w:rPr>
        <w:sym w:font="Wingdings" w:char="F0A8"/>
      </w:r>
      <w:r>
        <w:rPr>
          <w:noProof/>
        </w:rPr>
        <w:t xml:space="preserve"> privatretlige organer, undergivet lovgivningen i en medlemsstat, som har fået overdraget gennemførelsen af et offentlig-privat partnerskab, og som stiller tilstrækkelige finansielle garantier</w:t>
      </w:r>
    </w:p>
    <w:p>
      <w:pPr>
        <w:pStyle w:val="ListDash2"/>
        <w:rPr>
          <w:noProof/>
        </w:rPr>
      </w:pPr>
      <w:r>
        <w:rPr>
          <w:noProof/>
        </w:rPr>
        <w:sym w:font="Wingdings" w:char="F0A8"/>
      </w:r>
      <w:r>
        <w:rPr>
          <w:noProof/>
        </w:rPr>
        <w:t xml:space="preserve"> personer, der har fået overdraget gennemførelsen af specifikke aktioner i den fælles udenrigs- og sikkerhedspolitik i henhold til afsnit V i traktaten om Den Europæiske Union, og som er udpeget i den relevante basisretsakt.</w:t>
      </w:r>
    </w:p>
    <w:p>
      <w:pPr>
        <w:pStyle w:val="ListDash2"/>
        <w:rPr>
          <w:i/>
          <w:noProof/>
          <w:sz w:val="18"/>
          <w:u w:val="single"/>
        </w:rPr>
      </w:pPr>
      <w:r>
        <w:rPr>
          <w:i/>
          <w:noProof/>
          <w:sz w:val="18"/>
        </w:rPr>
        <w:t>Hvis der angives flere forvaltningsmetoder, gives der en nærmere forklaring i afsnittet "Bemærkninger".</w:t>
      </w:r>
    </w:p>
    <w:p>
      <w:pPr>
        <w:rPr>
          <w:noProof/>
        </w:rPr>
      </w:pPr>
      <w:r>
        <w:rPr>
          <w:noProof/>
        </w:rPr>
        <w:t xml:space="preserve">Bemærkninger </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FORVALTNINGSFORANSTALTNINGER </w:t>
      </w:r>
    </w:p>
    <w:p>
      <w:pPr>
        <w:pStyle w:val="ManualHeading2"/>
        <w:rPr>
          <w:noProof/>
        </w:rPr>
      </w:pPr>
      <w:r>
        <w:rPr>
          <w:noProof/>
        </w:rPr>
        <w:t>2.1.</w:t>
      </w:r>
      <w:r>
        <w:rPr>
          <w:noProof/>
        </w:rPr>
        <w:tab/>
        <w:t xml:space="preserve">Bestemmelser om kontrol og rapportering </w:t>
      </w:r>
    </w:p>
    <w:p>
      <w:pPr>
        <w:pStyle w:val="Text1"/>
        <w:rPr>
          <w:i/>
          <w:noProof/>
          <w:sz w:val="20"/>
        </w:rPr>
      </w:pPr>
      <w:r>
        <w:rPr>
          <w:i/>
          <w:noProof/>
          <w:sz w:val="20"/>
        </w:rPr>
        <w:t>Angiv hyppighed og betingelser.</w:t>
      </w:r>
    </w:p>
    <w:p>
      <w:pPr>
        <w:pStyle w:val="Text1"/>
        <w:pBdr>
          <w:top w:val="single" w:sz="4" w:space="1" w:color="auto"/>
          <w:left w:val="single" w:sz="4" w:space="4" w:color="auto"/>
          <w:bottom w:val="single" w:sz="4" w:space="1" w:color="auto"/>
          <w:right w:val="single" w:sz="4" w:space="4" w:color="auto"/>
        </w:pBdr>
        <w:rPr>
          <w:noProof/>
        </w:rPr>
      </w:pPr>
      <w:r>
        <w:rPr>
          <w:noProof/>
        </w:rPr>
        <w:t xml:space="preserve">Kommissionen (GD MARE i samarbejde med sin kompetente fiskeriattaché for regionen Port Louis, Mauritius, og i samråd med de relevante tjenestegrene i Kommissionen) sørger for løbende at overvåge gennemførelsen af protokollen, hvad angår operatørernes udnyttelse af fiskerimuligheder og fangstdata samt overholdelse af betingelserne for sektorstøtte. </w:t>
      </w:r>
    </w:p>
    <w:p>
      <w:pPr>
        <w:pBdr>
          <w:top w:val="single" w:sz="4" w:space="1" w:color="auto"/>
          <w:left w:val="single" w:sz="4" w:space="4" w:color="auto"/>
          <w:bottom w:val="single" w:sz="4" w:space="1" w:color="auto"/>
          <w:right w:val="single" w:sz="4" w:space="4" w:color="auto"/>
        </w:pBdr>
        <w:rPr>
          <w:noProof/>
        </w:rPr>
      </w:pPr>
      <w:r>
        <w:rPr>
          <w:noProof/>
        </w:rPr>
        <w:t>I henhold til partnerskabsaftalen om bæredygtigt fiskeri skal der desuden holdes mindst ét møde om året i den blandede komité, hvor Kommissionen og Seychellerne drøfter aftalens og protokollens gennemførelse og eventuelt justerer planlægningen og den finansielle modydelse.</w:t>
      </w:r>
    </w:p>
    <w:p>
      <w:pPr>
        <w:pStyle w:val="ManualHeading2"/>
        <w:rPr>
          <w:bCs/>
          <w:noProof/>
          <w:szCs w:val="24"/>
        </w:rPr>
      </w:pPr>
      <w:r>
        <w:rPr>
          <w:noProof/>
        </w:rPr>
        <w:t>2.2.</w:t>
      </w:r>
      <w:r>
        <w:rPr>
          <w:noProof/>
        </w:rPr>
        <w:tab/>
        <w:t xml:space="preserve">Forvaltnings- og kontrolsystem(er) </w:t>
      </w:r>
    </w:p>
    <w:p>
      <w:pPr>
        <w:pStyle w:val="ManualHeading3"/>
        <w:rPr>
          <w:noProof/>
        </w:rPr>
      </w:pPr>
      <w:r>
        <w:rPr>
          <w:noProof/>
        </w:rPr>
        <w:t>2.2.1.</w:t>
      </w:r>
      <w:r>
        <w:rPr>
          <w:noProof/>
        </w:rPr>
        <w:tab/>
        <w:t>Begrundelse for den/de påtænkte forvaltningsmetode(r), finansieringsmekanisme(r), betalingsvilkår og kontrolstrategi</w:t>
      </w:r>
    </w:p>
    <w:p>
      <w:pPr>
        <w:pStyle w:val="Text1"/>
        <w:pBdr>
          <w:top w:val="single" w:sz="4" w:space="1" w:color="auto"/>
          <w:left w:val="single" w:sz="4" w:space="4" w:color="auto"/>
          <w:bottom w:val="single" w:sz="4" w:space="1" w:color="auto"/>
          <w:right w:val="single" w:sz="4" w:space="4" w:color="auto"/>
        </w:pBdr>
        <w:rPr>
          <w:noProof/>
        </w:rPr>
      </w:pPr>
      <w:r>
        <w:rPr>
          <w:noProof/>
        </w:rPr>
        <w:t xml:space="preserve">Modydelsen for adgang og modydelsen til sektorstøtte udbetales uafhængigt af hinanden.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Betalingerne vedrørende adgang er årlige og finder sted på årsdagen for protokollens indgåelse, undtagen for det første år, hvor betalingen finder sted senest tre måneder efter startdatoen for den midlertidige anvendelse. Adgangen for fartøjer kontrolleres ved udstedelse af fiskeritilladelser. </w:t>
      </w:r>
    </w:p>
    <w:p>
      <w:pPr>
        <w:pStyle w:val="Text1"/>
        <w:pBdr>
          <w:top w:val="single" w:sz="4" w:space="1" w:color="auto"/>
          <w:left w:val="single" w:sz="4" w:space="4" w:color="auto"/>
          <w:bottom w:val="single" w:sz="4" w:space="1" w:color="auto"/>
          <w:right w:val="single" w:sz="4" w:space="4" w:color="auto"/>
        </w:pBdr>
        <w:rPr>
          <w:noProof/>
        </w:rPr>
      </w:pPr>
      <w:r>
        <w:rPr>
          <w:noProof/>
        </w:rPr>
        <w:t xml:space="preserve">Støtten vil blive udbetalt første gang senest tre måneder efter startdatoen for den midlertidige anvendelse, forudsat at der opnås enighed om et årligt og flerårigt gennemførelsesprogram; for de følgende år vil støtten være betinget af de opnåede resultater. De opnåede resultater og gennemførelsesraten vil blive overvåget i overensstemmelse med retningslinjerne for sektorstøtte til Seychellernes fiskeripolitik, som aftales af parterne på grundlag af rapporter eller dokumentation fra partnerlandet og fiskeriattachéens tekniske inspektioner. </w:t>
      </w:r>
    </w:p>
    <w:p>
      <w:pPr>
        <w:pStyle w:val="ManualHeading3"/>
        <w:rPr>
          <w:bCs/>
          <w:noProof/>
          <w:szCs w:val="24"/>
        </w:rPr>
      </w:pPr>
      <w:r>
        <w:rPr>
          <w:noProof/>
        </w:rPr>
        <w:t>2.2.2.</w:t>
      </w:r>
      <w:r>
        <w:rPr>
          <w:noProof/>
        </w:rPr>
        <w:tab/>
        <w:t>Oplysninger om de udpegede risici og det/de interne kontrolsystem(er), der etableres for at afbøde dem</w:t>
      </w:r>
    </w:p>
    <w:p>
      <w:pPr>
        <w:pStyle w:val="Text1"/>
        <w:pBdr>
          <w:top w:val="single" w:sz="4" w:space="1" w:color="auto"/>
          <w:left w:val="single" w:sz="4" w:space="4" w:color="auto"/>
          <w:bottom w:val="single" w:sz="4" w:space="1" w:color="auto"/>
          <w:right w:val="single" w:sz="4" w:space="4" w:color="auto"/>
        </w:pBdr>
        <w:rPr>
          <w:noProof/>
        </w:rPr>
      </w:pPr>
      <w:r>
        <w:rPr>
          <w:noProof/>
        </w:rPr>
        <w:t>Den konstaterede risiko består i en underudnyttelse af fiskerimulighederne for så vidt angår EU-rederne og en underudnyttelse eller forsinkelser i udnyttelsen af midlerne til finansiering af sektorpolitikken for fiskeri for så vidt angår Seychellerne. Der er forudset en omfattende dialog om planlægningen og gennemførelsen af den sektorpolitik, der er omhandlet i aftalen og protokollen. Fælles analyse af resultaterne, jf. protokollens artikel 4, indgår også i kontrolsystemet. Desuden indeholder aftalen og protokollen specifikke bestemmelser om suspension på visse betingelser og under nærmere fastlagte omstændigheder.</w:t>
      </w:r>
    </w:p>
    <w:p>
      <w:pPr>
        <w:pStyle w:val="ManualHeading3"/>
        <w:rPr>
          <w:noProof/>
        </w:rPr>
      </w:pPr>
      <w:r>
        <w:rPr>
          <w:noProof/>
        </w:rPr>
        <w:t>2.2.3.</w:t>
      </w:r>
      <w:r>
        <w:rPr>
          <w:noProof/>
        </w:rPr>
        <w:tab/>
        <w:t xml:space="preserve">Vurdering af og begrundelse for kontrolforanstaltningernes omkostningseffektivitet (forholdet mellem kontrolomkostningerne og værdien af de forvaltede midler) samt vurdering af den forventede risiko for fejl (ved betaling og ved afslutning) </w:t>
      </w:r>
    </w:p>
    <w:p>
      <w:pPr>
        <w:pStyle w:val="Text1"/>
        <w:pBdr>
          <w:top w:val="single" w:sz="4" w:space="1" w:color="auto"/>
          <w:left w:val="single" w:sz="4" w:space="4" w:color="auto"/>
          <w:bottom w:val="single" w:sz="4" w:space="1" w:color="auto"/>
          <w:right w:val="single" w:sz="4" w:space="4" w:color="auto"/>
        </w:pBdr>
        <w:rPr>
          <w:noProof/>
        </w:rPr>
      </w:pPr>
      <w:r>
        <w:rPr>
          <w:noProof/>
        </w:rPr>
        <w:t xml:space="preserve">Betalingerne af udgifterne i forbindelse med adgang inden for rammerne af partnerskabsaftaler om bæredygtigt fiskeri kontrolleres for at sikre, at de er i overensstemmelse med bestemmelserne i internationale aftaler. Kontrollen i forbindelse med sektorstøtten har til formål at overvåge gennemførelsen af denne støtte. Overvågningen udføres af Kommissionens personale i EU-delegationerne og på møder i den blandede komité. Der anvendes en flerårlig programmeringsmatrix til evaluering af fremskridt. Hvis fremskridtene ikke er tilstrækkelige, suspenderes eller reduceres betalingen af den næste rate. De samlede omkostninger til kontrol af alle partnerskabsaftaler om bæredygtigt fiskeri anslås til ca. 1,8 % (af modydelserne i 2018). Kontrolprocedurerne for partnerskabsaftaler om bæredygtigt fiskeri er i vid udstrækning baseret på ufravigelige forskriftsmæssige krav. Hvis der ikke konstateres svagheder, som kan have en betydelig indvirkning på de finansielle transaktioners lovlighed og formelle rigtighed, anses kontrollen for at være effektiv. Den gennemsnitlige fejlprocent anslås til 0,0 %. </w:t>
      </w:r>
    </w:p>
    <w:p>
      <w:pPr>
        <w:pStyle w:val="ManualHeading2"/>
        <w:rPr>
          <w:bCs/>
          <w:noProof/>
          <w:szCs w:val="24"/>
        </w:rPr>
      </w:pPr>
      <w:r>
        <w:rPr>
          <w:noProof/>
        </w:rPr>
        <w:t>2.3.</w:t>
      </w:r>
      <w:r>
        <w:rPr>
          <w:noProof/>
        </w:rPr>
        <w:tab/>
        <w:t xml:space="preserve">Foranstaltninger til forebyggelse af svig og uregelmæssigheder </w:t>
      </w:r>
    </w:p>
    <w:p>
      <w:pPr>
        <w:pStyle w:val="Text1"/>
        <w:rPr>
          <w:i/>
          <w:noProof/>
          <w:sz w:val="20"/>
        </w:rPr>
      </w:pPr>
      <w:r>
        <w:rPr>
          <w:i/>
          <w:noProof/>
          <w:sz w:val="20"/>
        </w:rPr>
        <w:t>Angiv eksisterende eller påtænkte forebyggelses- og beskyttelsesforanstaltninger, f.eks. fra strategien til bekæmpelse af svig.</w:t>
      </w:r>
    </w:p>
    <w:p>
      <w:pPr>
        <w:pStyle w:val="Text1"/>
        <w:pBdr>
          <w:top w:val="single" w:sz="4" w:space="1" w:color="auto"/>
          <w:left w:val="single" w:sz="4" w:space="4" w:color="auto"/>
          <w:bottom w:val="single" w:sz="4" w:space="1" w:color="auto"/>
          <w:right w:val="single" w:sz="4" w:space="4" w:color="auto"/>
        </w:pBdr>
        <w:rPr>
          <w:noProof/>
        </w:rPr>
      </w:pPr>
      <w:r>
        <w:rPr>
          <w:noProof/>
        </w:rPr>
        <w:t>Kommissionen vil føre en politisk dialog og sørge for regelmæssig koordinering med Seychellerne for at forbedre forvaltningen af aftalen og protokollen og øge EU's bidrag til en bæredygtig ressourceforvaltning. Kommissionens normale budgetmæssige og finansielle regler og procedurer gælder for alle Kommissionens udbetalinger inden for rammerne af en fiskeripartnerskabsaftale om bæredygtigt fiskeri. Det betyder navnlig, at der skal foreligge fuldstændige oplysninger om de bankkonti, som den finansielle modydelse til tredjelandene indbetales på. I henhold til protokollens artikel 3, stk. 7, skal den finansielle modydelse for adgang og den del, der er beregnet til udviklingen af sektoren, indbetales på en statskassekonto.</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FORSLAGETS/INITIATIVETS ANSLÅEDE FINANSIELLE VIRKNINGER </w:t>
      </w:r>
    </w:p>
    <w:p>
      <w:pPr>
        <w:pStyle w:val="ManualHeading2"/>
        <w:rPr>
          <w:noProof/>
        </w:rPr>
      </w:pPr>
      <w:r>
        <w:rPr>
          <w:noProof/>
        </w:rPr>
        <w:t>3.1.</w:t>
      </w:r>
      <w:r>
        <w:rPr>
          <w:noProof/>
        </w:rPr>
        <w:tab/>
        <w:t xml:space="preserve">Berørt(e) udgiftspost(er) på budgettet og udgiftsområde(r) i den flerårige finansielle ramme </w:t>
      </w:r>
    </w:p>
    <w:p>
      <w:pPr>
        <w:pStyle w:val="ListBullet1"/>
        <w:rPr>
          <w:noProof/>
        </w:rPr>
      </w:pPr>
      <w:r>
        <w:rPr>
          <w:noProof/>
        </w:rPr>
        <w:t xml:space="preserve">Eksisterende udgiftsposter på budgettet </w:t>
      </w:r>
    </w:p>
    <w:p>
      <w:pPr>
        <w:pStyle w:val="Text1"/>
        <w:rPr>
          <w:i/>
          <w:noProof/>
        </w:rPr>
      </w:pPr>
      <w:r>
        <w:rPr>
          <w:i/>
          <w:noProof/>
          <w:u w:val="single"/>
        </w:rPr>
        <w:t>I samme rækkefølge</w:t>
      </w:r>
      <w:r>
        <w:rPr>
          <w:i/>
          <w:noProof/>
        </w:rPr>
        <w:t xml:space="preserve"> som udgiftsområderne i den flerårige finansielle ramme og budgetposterne.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840"/>
        <w:gridCol w:w="1080"/>
        <w:gridCol w:w="1076"/>
        <w:gridCol w:w="1080"/>
        <w:gridCol w:w="1084"/>
        <w:gridCol w:w="1320"/>
      </w:tblGrid>
      <w:tr>
        <w:tc>
          <w:tcPr>
            <w:tcW w:w="1080" w:type="dxa"/>
            <w:vMerge w:val="restart"/>
            <w:vAlign w:val="center"/>
          </w:tcPr>
          <w:p>
            <w:pPr>
              <w:spacing w:before="60" w:after="60"/>
              <w:jc w:val="center"/>
              <w:rPr>
                <w:noProof/>
              </w:rPr>
            </w:pPr>
            <w:r>
              <w:rPr>
                <w:noProof/>
                <w:sz w:val="18"/>
              </w:rPr>
              <w:t>Udgifts</w:t>
            </w:r>
            <w:r>
              <w:rPr>
                <w:noProof/>
                <w:sz w:val="18"/>
              </w:rPr>
              <w:softHyphen/>
              <w:t>område i den flerårige finansielle ramme</w:t>
            </w:r>
          </w:p>
        </w:tc>
        <w:tc>
          <w:tcPr>
            <w:tcW w:w="3840" w:type="dxa"/>
            <w:vAlign w:val="center"/>
          </w:tcPr>
          <w:p>
            <w:pPr>
              <w:spacing w:before="60" w:after="60"/>
              <w:jc w:val="center"/>
              <w:rPr>
                <w:noProof/>
              </w:rPr>
            </w:pPr>
            <w:r>
              <w:rPr>
                <w:noProof/>
                <w:sz w:val="20"/>
              </w:rPr>
              <w:t>Budgetpost</w:t>
            </w:r>
          </w:p>
        </w:tc>
        <w:tc>
          <w:tcPr>
            <w:tcW w:w="1080" w:type="dxa"/>
            <w:vAlign w:val="center"/>
          </w:tcPr>
          <w:p>
            <w:pPr>
              <w:spacing w:before="60" w:after="60"/>
              <w:jc w:val="center"/>
              <w:rPr>
                <w:noProof/>
              </w:rPr>
            </w:pPr>
            <w:r>
              <w:rPr>
                <w:noProof/>
                <w:sz w:val="18"/>
              </w:rPr>
              <w:t>Udgiftens art</w:t>
            </w:r>
          </w:p>
        </w:tc>
        <w:tc>
          <w:tcPr>
            <w:tcW w:w="4560" w:type="dxa"/>
            <w:gridSpan w:val="4"/>
            <w:vAlign w:val="center"/>
          </w:tcPr>
          <w:p>
            <w:pPr>
              <w:spacing w:before="60" w:after="60"/>
              <w:jc w:val="center"/>
              <w:rPr>
                <w:noProof/>
              </w:rPr>
            </w:pPr>
            <w:r>
              <w:rPr>
                <w:noProof/>
                <w:sz w:val="20"/>
              </w:rPr>
              <w:t xml:space="preserve">Bidrag </w:t>
            </w:r>
          </w:p>
        </w:tc>
      </w:tr>
      <w:tr>
        <w:tc>
          <w:tcPr>
            <w:tcW w:w="1080" w:type="dxa"/>
            <w:vMerge/>
            <w:vAlign w:val="center"/>
          </w:tcPr>
          <w:p>
            <w:pPr>
              <w:jc w:val="center"/>
              <w:rPr>
                <w:noProof/>
              </w:rPr>
            </w:pPr>
          </w:p>
        </w:tc>
        <w:tc>
          <w:tcPr>
            <w:tcW w:w="3840" w:type="dxa"/>
            <w:vAlign w:val="center"/>
          </w:tcPr>
          <w:p>
            <w:pPr>
              <w:rPr>
                <w:noProof/>
              </w:rPr>
            </w:pPr>
            <w:r>
              <w:rPr>
                <w:noProof/>
                <w:sz w:val="20"/>
              </w:rPr>
              <w:t xml:space="preserve">Nummer </w:t>
            </w:r>
            <w:r>
              <w:rPr>
                <w:noProof/>
                <w:sz w:val="22"/>
              </w:rPr>
              <w:br/>
            </w:r>
          </w:p>
        </w:tc>
        <w:tc>
          <w:tcPr>
            <w:tcW w:w="1080" w:type="dxa"/>
            <w:vAlign w:val="center"/>
          </w:tcPr>
          <w:p>
            <w:pPr>
              <w:jc w:val="center"/>
              <w:rPr>
                <w:noProof/>
              </w:rPr>
            </w:pPr>
            <w:r>
              <w:rPr>
                <w:noProof/>
                <w:sz w:val="18"/>
              </w:rPr>
              <w:t>OB/IOB</w:t>
            </w:r>
            <w:r>
              <w:rPr>
                <w:rStyle w:val="FootnoteReference"/>
                <w:noProof/>
                <w:sz w:val="18"/>
              </w:rPr>
              <w:footnoteReference w:id="11"/>
            </w:r>
          </w:p>
        </w:tc>
        <w:tc>
          <w:tcPr>
            <w:tcW w:w="1076" w:type="dxa"/>
            <w:vAlign w:val="center"/>
          </w:tcPr>
          <w:p>
            <w:pPr>
              <w:jc w:val="center"/>
              <w:rPr>
                <w:noProof/>
              </w:rPr>
            </w:pPr>
            <w:r>
              <w:rPr>
                <w:noProof/>
                <w:sz w:val="18"/>
              </w:rPr>
              <w:t>fra EFTA</w:t>
            </w:r>
            <w:r>
              <w:rPr>
                <w:noProof/>
                <w:sz w:val="18"/>
              </w:rPr>
              <w:softHyphen/>
              <w:t>lande</w:t>
            </w:r>
            <w:r>
              <w:rPr>
                <w:rStyle w:val="FootnoteReference"/>
                <w:noProof/>
                <w:sz w:val="18"/>
              </w:rPr>
              <w:footnoteReference w:id="12"/>
            </w:r>
          </w:p>
          <w:p>
            <w:pPr>
              <w:spacing w:before="0" w:after="0"/>
              <w:jc w:val="center"/>
              <w:rPr>
                <w:b/>
                <w:noProof/>
                <w:sz w:val="18"/>
              </w:rPr>
            </w:pPr>
          </w:p>
        </w:tc>
        <w:tc>
          <w:tcPr>
            <w:tcW w:w="1080" w:type="dxa"/>
            <w:vAlign w:val="center"/>
          </w:tcPr>
          <w:p>
            <w:pPr>
              <w:jc w:val="center"/>
              <w:rPr>
                <w:noProof/>
              </w:rPr>
            </w:pPr>
            <w:r>
              <w:rPr>
                <w:noProof/>
                <w:sz w:val="18"/>
              </w:rPr>
              <w:t>fra kandidat</w:t>
            </w:r>
            <w:r>
              <w:rPr>
                <w:noProof/>
                <w:sz w:val="18"/>
              </w:rPr>
              <w:softHyphen/>
              <w:t>lande</w:t>
            </w:r>
            <w:r>
              <w:rPr>
                <w:rStyle w:val="FootnoteReference"/>
                <w:noProof/>
                <w:sz w:val="18"/>
              </w:rPr>
              <w:footnoteReference w:id="13"/>
            </w:r>
          </w:p>
          <w:p>
            <w:pPr>
              <w:spacing w:before="0" w:after="0"/>
              <w:jc w:val="center"/>
              <w:rPr>
                <w:noProof/>
                <w:sz w:val="18"/>
              </w:rPr>
            </w:pPr>
          </w:p>
        </w:tc>
        <w:tc>
          <w:tcPr>
            <w:tcW w:w="1084" w:type="dxa"/>
            <w:vAlign w:val="center"/>
          </w:tcPr>
          <w:p>
            <w:pPr>
              <w:jc w:val="center"/>
              <w:rPr>
                <w:noProof/>
                <w:sz w:val="18"/>
              </w:rPr>
            </w:pPr>
            <w:r>
              <w:rPr>
                <w:noProof/>
                <w:sz w:val="18"/>
              </w:rPr>
              <w:t>fra tredje</w:t>
            </w:r>
            <w:r>
              <w:rPr>
                <w:noProof/>
                <w:sz w:val="18"/>
              </w:rPr>
              <w:softHyphen/>
              <w:t>lande</w:t>
            </w:r>
          </w:p>
        </w:tc>
        <w:tc>
          <w:tcPr>
            <w:tcW w:w="1320" w:type="dxa"/>
            <w:vAlign w:val="center"/>
          </w:tcPr>
          <w:p>
            <w:pPr>
              <w:jc w:val="center"/>
              <w:rPr>
                <w:noProof/>
              </w:rPr>
            </w:pPr>
            <w:r>
              <w:rPr>
                <w:noProof/>
                <w:sz w:val="16"/>
              </w:rPr>
              <w:t>iht. finans</w:t>
            </w:r>
            <w:r>
              <w:rPr>
                <w:noProof/>
                <w:sz w:val="16"/>
              </w:rPr>
              <w:softHyphen/>
              <w:t>forord</w:t>
            </w:r>
            <w:r>
              <w:rPr>
                <w:noProof/>
                <w:sz w:val="16"/>
              </w:rPr>
              <w:softHyphen/>
              <w:t xml:space="preserve">ningens artikel 21, stk. 2, litra b) </w:t>
            </w:r>
          </w:p>
        </w:tc>
      </w:tr>
      <w:tr>
        <w:tc>
          <w:tcPr>
            <w:tcW w:w="1080" w:type="dxa"/>
            <w:vAlign w:val="center"/>
          </w:tcPr>
          <w:p>
            <w:pPr>
              <w:jc w:val="center"/>
              <w:rPr>
                <w:noProof/>
                <w:color w:val="0000FF"/>
              </w:rPr>
            </w:pPr>
          </w:p>
        </w:tc>
        <w:tc>
          <w:tcPr>
            <w:tcW w:w="3840" w:type="dxa"/>
            <w:vAlign w:val="center"/>
          </w:tcPr>
          <w:p>
            <w:pPr>
              <w:spacing w:before="60"/>
              <w:rPr>
                <w:noProof/>
              </w:rPr>
            </w:pPr>
            <w:r>
              <w:rPr>
                <w:noProof/>
              </w:rPr>
              <w:t>11.03.01</w:t>
            </w:r>
          </w:p>
          <w:p>
            <w:pPr>
              <w:spacing w:before="60"/>
              <w:rPr>
                <w:noProof/>
              </w:rPr>
            </w:pPr>
            <w:r>
              <w:rPr>
                <w:noProof/>
              </w:rPr>
              <w:t>Fastsættelse af en reguleringsramme for EU-fiskerfartøjers fiskeri i tredjelandsfarvande</w:t>
            </w:r>
          </w:p>
          <w:p>
            <w:pPr>
              <w:spacing w:after="60"/>
              <w:rPr>
                <w:noProof/>
              </w:rPr>
            </w:pPr>
          </w:p>
        </w:tc>
        <w:tc>
          <w:tcPr>
            <w:tcW w:w="1080" w:type="dxa"/>
            <w:vAlign w:val="center"/>
          </w:tcPr>
          <w:p>
            <w:pPr>
              <w:jc w:val="center"/>
              <w:rPr>
                <w:noProof/>
                <w:color w:val="0000FF"/>
              </w:rPr>
            </w:pPr>
            <w:r>
              <w:rPr>
                <w:noProof/>
                <w:sz w:val="22"/>
              </w:rPr>
              <w:t>OB</w:t>
            </w:r>
          </w:p>
        </w:tc>
        <w:tc>
          <w:tcPr>
            <w:tcW w:w="1076" w:type="dxa"/>
            <w:vAlign w:val="center"/>
          </w:tcPr>
          <w:p>
            <w:pPr>
              <w:jc w:val="center"/>
              <w:rPr>
                <w:noProof/>
                <w:sz w:val="20"/>
                <w:szCs w:val="20"/>
              </w:rPr>
            </w:pPr>
            <w:r>
              <w:rPr>
                <w:noProof/>
                <w:sz w:val="20"/>
              </w:rPr>
              <w:t>NEJ</w:t>
            </w:r>
          </w:p>
        </w:tc>
        <w:tc>
          <w:tcPr>
            <w:tcW w:w="1080" w:type="dxa"/>
            <w:vAlign w:val="center"/>
          </w:tcPr>
          <w:p>
            <w:pPr>
              <w:jc w:val="center"/>
              <w:rPr>
                <w:noProof/>
                <w:sz w:val="20"/>
                <w:szCs w:val="20"/>
              </w:rPr>
            </w:pPr>
            <w:r>
              <w:rPr>
                <w:noProof/>
                <w:sz w:val="20"/>
              </w:rPr>
              <w:t>NEJ</w:t>
            </w:r>
          </w:p>
        </w:tc>
        <w:tc>
          <w:tcPr>
            <w:tcW w:w="1084" w:type="dxa"/>
            <w:vAlign w:val="center"/>
          </w:tcPr>
          <w:p>
            <w:pPr>
              <w:jc w:val="center"/>
              <w:rPr>
                <w:noProof/>
                <w:sz w:val="20"/>
                <w:szCs w:val="20"/>
              </w:rPr>
            </w:pPr>
            <w:r>
              <w:rPr>
                <w:noProof/>
                <w:sz w:val="20"/>
              </w:rPr>
              <w:t>NEJ</w:t>
            </w:r>
          </w:p>
        </w:tc>
        <w:tc>
          <w:tcPr>
            <w:tcW w:w="1320" w:type="dxa"/>
            <w:vAlign w:val="center"/>
          </w:tcPr>
          <w:p>
            <w:pPr>
              <w:jc w:val="center"/>
              <w:rPr>
                <w:noProof/>
                <w:sz w:val="20"/>
                <w:szCs w:val="20"/>
              </w:rPr>
            </w:pPr>
            <w:r>
              <w:rPr>
                <w:noProof/>
                <w:sz w:val="20"/>
              </w:rPr>
              <w:t>NEJ</w:t>
            </w:r>
          </w:p>
        </w:tc>
      </w:tr>
    </w:tbl>
    <w:p>
      <w:pPr>
        <w:pStyle w:val="ListBullet1"/>
        <w:rPr>
          <w:noProof/>
        </w:rPr>
      </w:pPr>
      <w:r>
        <w:rPr>
          <w:noProof/>
        </w:rPr>
        <w:t xml:space="preserve">Nye budgetposter, som der er søgt om. </w:t>
      </w:r>
    </w:p>
    <w:p>
      <w:pPr>
        <w:pStyle w:val="Text1"/>
        <w:rPr>
          <w:i/>
          <w:noProof/>
          <w:sz w:val="20"/>
        </w:rPr>
      </w:pPr>
      <w:r>
        <w:rPr>
          <w:i/>
          <w:noProof/>
          <w:u w:val="single"/>
        </w:rPr>
        <w:t>I samme rækkefølge</w:t>
      </w:r>
      <w:r>
        <w:rPr>
          <w:i/>
          <w:noProof/>
        </w:rPr>
        <w:t xml:space="preserve"> som udgiftsområderne i den flerårige finansielle ramme og budgetposterne.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840"/>
        <w:gridCol w:w="1080"/>
        <w:gridCol w:w="1076"/>
        <w:gridCol w:w="1080"/>
        <w:gridCol w:w="1084"/>
        <w:gridCol w:w="1320"/>
      </w:tblGrid>
      <w:tr>
        <w:tc>
          <w:tcPr>
            <w:tcW w:w="1080" w:type="dxa"/>
            <w:vMerge w:val="restart"/>
            <w:vAlign w:val="center"/>
          </w:tcPr>
          <w:p>
            <w:pPr>
              <w:spacing w:before="60" w:after="60"/>
              <w:jc w:val="center"/>
              <w:rPr>
                <w:noProof/>
                <w:sz w:val="18"/>
                <w:szCs w:val="18"/>
              </w:rPr>
            </w:pPr>
            <w:r>
              <w:rPr>
                <w:noProof/>
                <w:sz w:val="18"/>
              </w:rPr>
              <w:t>Udgiftsområde i den flerårige finansielle ramme</w:t>
            </w:r>
          </w:p>
        </w:tc>
        <w:tc>
          <w:tcPr>
            <w:tcW w:w="3840" w:type="dxa"/>
            <w:vAlign w:val="center"/>
          </w:tcPr>
          <w:p>
            <w:pPr>
              <w:spacing w:before="60" w:after="60"/>
              <w:jc w:val="center"/>
              <w:rPr>
                <w:noProof/>
              </w:rPr>
            </w:pPr>
            <w:r>
              <w:rPr>
                <w:noProof/>
                <w:sz w:val="20"/>
              </w:rPr>
              <w:t>Budgetpost</w:t>
            </w:r>
          </w:p>
        </w:tc>
        <w:tc>
          <w:tcPr>
            <w:tcW w:w="1080" w:type="dxa"/>
            <w:vAlign w:val="center"/>
          </w:tcPr>
          <w:p>
            <w:pPr>
              <w:spacing w:before="60" w:after="60"/>
              <w:jc w:val="center"/>
              <w:rPr>
                <w:noProof/>
              </w:rPr>
            </w:pPr>
            <w:r>
              <w:rPr>
                <w:noProof/>
                <w:sz w:val="18"/>
              </w:rPr>
              <w:t>Udgiftens art</w:t>
            </w:r>
          </w:p>
        </w:tc>
        <w:tc>
          <w:tcPr>
            <w:tcW w:w="4560" w:type="dxa"/>
            <w:gridSpan w:val="4"/>
            <w:vAlign w:val="center"/>
          </w:tcPr>
          <w:p>
            <w:pPr>
              <w:spacing w:before="60" w:after="60"/>
              <w:jc w:val="center"/>
              <w:rPr>
                <w:noProof/>
              </w:rPr>
            </w:pPr>
            <w:r>
              <w:rPr>
                <w:noProof/>
                <w:sz w:val="20"/>
              </w:rPr>
              <w:t xml:space="preserve">Bidrag </w:t>
            </w:r>
          </w:p>
        </w:tc>
      </w:tr>
      <w:tr>
        <w:tc>
          <w:tcPr>
            <w:tcW w:w="1080" w:type="dxa"/>
            <w:vMerge/>
            <w:vAlign w:val="center"/>
          </w:tcPr>
          <w:p>
            <w:pPr>
              <w:jc w:val="center"/>
              <w:rPr>
                <w:noProof/>
              </w:rPr>
            </w:pPr>
          </w:p>
        </w:tc>
        <w:tc>
          <w:tcPr>
            <w:tcW w:w="3840" w:type="dxa"/>
            <w:vAlign w:val="center"/>
          </w:tcPr>
          <w:p>
            <w:pPr>
              <w:rPr>
                <w:noProof/>
              </w:rPr>
            </w:pPr>
            <w:r>
              <w:rPr>
                <w:noProof/>
                <w:sz w:val="20"/>
              </w:rPr>
              <w:t xml:space="preserve">Nummer </w:t>
            </w:r>
            <w:r>
              <w:rPr>
                <w:noProof/>
                <w:sz w:val="22"/>
              </w:rPr>
              <w:br/>
            </w:r>
          </w:p>
        </w:tc>
        <w:tc>
          <w:tcPr>
            <w:tcW w:w="1080" w:type="dxa"/>
            <w:vAlign w:val="center"/>
          </w:tcPr>
          <w:p>
            <w:pPr>
              <w:jc w:val="center"/>
              <w:rPr>
                <w:noProof/>
              </w:rPr>
            </w:pPr>
            <w:r>
              <w:rPr>
                <w:noProof/>
                <w:sz w:val="18"/>
              </w:rPr>
              <w:t>OB/IOB</w:t>
            </w:r>
          </w:p>
        </w:tc>
        <w:tc>
          <w:tcPr>
            <w:tcW w:w="1076" w:type="dxa"/>
            <w:vAlign w:val="center"/>
          </w:tcPr>
          <w:p>
            <w:pPr>
              <w:jc w:val="center"/>
              <w:rPr>
                <w:noProof/>
                <w:sz w:val="18"/>
              </w:rPr>
            </w:pPr>
            <w:r>
              <w:rPr>
                <w:noProof/>
                <w:sz w:val="18"/>
              </w:rPr>
              <w:t>fra EFTA</w:t>
            </w:r>
            <w:r>
              <w:rPr>
                <w:noProof/>
                <w:sz w:val="18"/>
              </w:rPr>
              <w:softHyphen/>
              <w:t>lande</w:t>
            </w:r>
          </w:p>
        </w:tc>
        <w:tc>
          <w:tcPr>
            <w:tcW w:w="1080" w:type="dxa"/>
            <w:vAlign w:val="center"/>
          </w:tcPr>
          <w:p>
            <w:pPr>
              <w:jc w:val="center"/>
              <w:rPr>
                <w:noProof/>
                <w:sz w:val="18"/>
              </w:rPr>
            </w:pPr>
            <w:r>
              <w:rPr>
                <w:noProof/>
                <w:sz w:val="18"/>
              </w:rPr>
              <w:t>fra kandidat</w:t>
            </w:r>
            <w:r>
              <w:rPr>
                <w:noProof/>
                <w:sz w:val="18"/>
              </w:rPr>
              <w:softHyphen/>
              <w:t>lande</w:t>
            </w:r>
          </w:p>
        </w:tc>
        <w:tc>
          <w:tcPr>
            <w:tcW w:w="1084" w:type="dxa"/>
            <w:vAlign w:val="center"/>
          </w:tcPr>
          <w:p>
            <w:pPr>
              <w:jc w:val="center"/>
              <w:rPr>
                <w:noProof/>
                <w:sz w:val="18"/>
              </w:rPr>
            </w:pPr>
            <w:r>
              <w:rPr>
                <w:noProof/>
                <w:sz w:val="18"/>
              </w:rPr>
              <w:t>fra tredje</w:t>
            </w:r>
            <w:r>
              <w:rPr>
                <w:noProof/>
                <w:sz w:val="18"/>
              </w:rPr>
              <w:softHyphen/>
              <w:t>lande</w:t>
            </w:r>
          </w:p>
        </w:tc>
        <w:tc>
          <w:tcPr>
            <w:tcW w:w="1320" w:type="dxa"/>
            <w:vAlign w:val="center"/>
          </w:tcPr>
          <w:p>
            <w:pPr>
              <w:jc w:val="center"/>
              <w:rPr>
                <w:noProof/>
              </w:rPr>
            </w:pPr>
            <w:r>
              <w:rPr>
                <w:noProof/>
                <w:sz w:val="16"/>
              </w:rPr>
              <w:t xml:space="preserve">iht. finansforordningens artikel 21, stk. 2, litra b) </w:t>
            </w:r>
          </w:p>
        </w:tc>
      </w:tr>
      <w:tr>
        <w:tc>
          <w:tcPr>
            <w:tcW w:w="1080" w:type="dxa"/>
            <w:vAlign w:val="center"/>
          </w:tcPr>
          <w:p>
            <w:pPr>
              <w:jc w:val="center"/>
              <w:rPr>
                <w:noProof/>
                <w:color w:val="0000FF"/>
              </w:rPr>
            </w:pPr>
          </w:p>
        </w:tc>
        <w:tc>
          <w:tcPr>
            <w:tcW w:w="3840" w:type="dxa"/>
            <w:vAlign w:val="center"/>
          </w:tcPr>
          <w:p>
            <w:pPr>
              <w:spacing w:before="60"/>
              <w:rPr>
                <w:noProof/>
              </w:rPr>
            </w:pPr>
            <w:r>
              <w:rPr>
                <w:noProof/>
                <w:sz w:val="22"/>
              </w:rPr>
              <w:t>[XX.YY.YY.YY]</w:t>
            </w:r>
          </w:p>
          <w:p>
            <w:pPr>
              <w:spacing w:after="60"/>
              <w:rPr>
                <w:noProof/>
                <w:color w:val="0000FF"/>
              </w:rPr>
            </w:pPr>
          </w:p>
        </w:tc>
        <w:tc>
          <w:tcPr>
            <w:tcW w:w="1080" w:type="dxa"/>
            <w:vAlign w:val="center"/>
          </w:tcPr>
          <w:p>
            <w:pPr>
              <w:jc w:val="center"/>
              <w:rPr>
                <w:noProof/>
                <w:color w:val="0000FF"/>
              </w:rPr>
            </w:pPr>
          </w:p>
        </w:tc>
        <w:tc>
          <w:tcPr>
            <w:tcW w:w="1076" w:type="dxa"/>
            <w:vAlign w:val="center"/>
          </w:tcPr>
          <w:p>
            <w:pPr>
              <w:jc w:val="center"/>
              <w:rPr>
                <w:noProof/>
                <w:sz w:val="20"/>
                <w:szCs w:val="20"/>
              </w:rPr>
            </w:pPr>
            <w:r>
              <w:rPr>
                <w:noProof/>
                <w:sz w:val="20"/>
              </w:rPr>
              <w:t>JA/NEJ</w:t>
            </w:r>
          </w:p>
        </w:tc>
        <w:tc>
          <w:tcPr>
            <w:tcW w:w="1080" w:type="dxa"/>
            <w:vAlign w:val="center"/>
          </w:tcPr>
          <w:p>
            <w:pPr>
              <w:jc w:val="center"/>
              <w:rPr>
                <w:noProof/>
                <w:color w:val="0000FF"/>
                <w:sz w:val="20"/>
                <w:szCs w:val="20"/>
              </w:rPr>
            </w:pPr>
            <w:r>
              <w:rPr>
                <w:noProof/>
                <w:sz w:val="20"/>
              </w:rPr>
              <w:t>JA/NEJ</w:t>
            </w:r>
          </w:p>
        </w:tc>
        <w:tc>
          <w:tcPr>
            <w:tcW w:w="1084" w:type="dxa"/>
            <w:vAlign w:val="center"/>
          </w:tcPr>
          <w:p>
            <w:pPr>
              <w:jc w:val="center"/>
              <w:rPr>
                <w:noProof/>
                <w:color w:val="0000FF"/>
                <w:sz w:val="20"/>
                <w:szCs w:val="20"/>
              </w:rPr>
            </w:pPr>
            <w:r>
              <w:rPr>
                <w:noProof/>
                <w:sz w:val="20"/>
              </w:rPr>
              <w:t>JA/NEJ</w:t>
            </w:r>
          </w:p>
        </w:tc>
        <w:tc>
          <w:tcPr>
            <w:tcW w:w="1320" w:type="dxa"/>
            <w:vAlign w:val="center"/>
          </w:tcPr>
          <w:p>
            <w:pPr>
              <w:jc w:val="center"/>
              <w:rPr>
                <w:noProof/>
                <w:sz w:val="20"/>
                <w:szCs w:val="20"/>
              </w:rPr>
            </w:pPr>
            <w:r>
              <w:rPr>
                <w:noProof/>
                <w:sz w:val="20"/>
              </w:rPr>
              <w:t>JA/NEJ</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rPr>
          <w:noProof/>
        </w:rPr>
        <w:t>3.2.</w:t>
      </w:r>
      <w:r>
        <w:rPr>
          <w:noProof/>
        </w:rPr>
        <w:tab/>
        <w:t xml:space="preserve">Forslagets anslåede finansielle virkninger for bevillingerne </w:t>
      </w:r>
    </w:p>
    <w:p>
      <w:pPr>
        <w:pStyle w:val="ManualHeading3"/>
        <w:rPr>
          <w:noProof/>
        </w:rPr>
      </w:pPr>
      <w:r>
        <w:rPr>
          <w:noProof/>
        </w:rPr>
        <w:t>3.2.1.</w:t>
      </w:r>
      <w:r>
        <w:rPr>
          <w:noProof/>
        </w:rPr>
        <w:tab/>
        <w:t xml:space="preserve">Sammenfatning af de anslåede virkninger for aktionsbevillingerne </w:t>
      </w:r>
    </w:p>
    <w:p>
      <w:pPr>
        <w:pStyle w:val="ListDash1"/>
        <w:rPr>
          <w:noProof/>
        </w:rPr>
      </w:pPr>
      <w:r>
        <w:rPr>
          <w:noProof/>
        </w:rPr>
        <w:sym w:font="Wingdings" w:char="F0A8"/>
      </w:r>
      <w:r>
        <w:rPr>
          <w:noProof/>
        </w:rPr>
        <w:tab/>
        <w:t xml:space="preserve">Forslaget/initiativet medfører ikke anvendelse af aktionsbevillinger </w:t>
      </w:r>
    </w:p>
    <w:p>
      <w:pPr>
        <w:pStyle w:val="ListDash1"/>
        <w:rPr>
          <w:noProof/>
        </w:rPr>
      </w:pPr>
      <w:r>
        <w:rPr>
          <w:noProof/>
        </w:rPr>
        <w:t>X</w:t>
      </w:r>
      <w:r>
        <w:rPr>
          <w:noProof/>
        </w:rPr>
        <w:tab/>
        <w:t>Forslaget/initiativet medfører anvendelse af aktionsbevillinger som anført herunder:</w:t>
      </w:r>
    </w:p>
    <w:p>
      <w:pPr>
        <w:jc w:val="right"/>
        <w:rPr>
          <w:noProof/>
          <w:sz w:val="18"/>
          <w:szCs w:val="18"/>
        </w:rPr>
      </w:pPr>
      <w:r>
        <w:rPr>
          <w:noProof/>
          <w:sz w:val="18"/>
        </w:rPr>
        <w:t>i mio. EUR (tre decimaler)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Udgiftsområde i den flerårige finansielle ramme</w:t>
            </w:r>
            <w:r>
              <w:rPr>
                <w:noProof/>
                <w:sz w:val="22"/>
              </w:rPr>
              <w:br/>
            </w:r>
            <w:r>
              <w:rPr>
                <w:b/>
                <w:noProof/>
                <w:sz w:val="22"/>
              </w:rPr>
              <w:t xml:space="preserve"> </w:t>
            </w:r>
          </w:p>
        </w:tc>
        <w:tc>
          <w:tcPr>
            <w:tcW w:w="1080" w:type="dxa"/>
            <w:vAlign w:val="center"/>
          </w:tcPr>
          <w:p>
            <w:pPr>
              <w:spacing w:before="60" w:after="60"/>
              <w:jc w:val="center"/>
              <w:rPr>
                <w:noProof/>
              </w:rPr>
            </w:pPr>
            <w:r>
              <w:rPr>
                <w:noProof/>
                <w:sz w:val="22"/>
              </w:rPr>
              <w:t>Nr. 2</w:t>
            </w:r>
          </w:p>
        </w:tc>
        <w:tc>
          <w:tcPr>
            <w:tcW w:w="7817" w:type="dxa"/>
            <w:vAlign w:val="center"/>
          </w:tcPr>
          <w:p>
            <w:pPr>
              <w:spacing w:before="60" w:after="60"/>
              <w:rPr>
                <w:noProof/>
              </w:rPr>
            </w:pPr>
            <w:r>
              <w:rPr>
                <w:noProof/>
              </w:rPr>
              <w:t>Bæredygtig vækst: naturressourcer</w:t>
            </w:r>
          </w:p>
        </w:tc>
      </w:tr>
    </w:tbl>
    <w:p>
      <w:pPr>
        <w:rPr>
          <w:noProof/>
          <w:sz w:val="16"/>
        </w:rPr>
      </w:pPr>
    </w:p>
    <w:tbl>
      <w:tblPr>
        <w:tblW w:w="1240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914"/>
        <w:gridCol w:w="977"/>
        <w:gridCol w:w="992"/>
      </w:tblGrid>
      <w:tr>
        <w:tc>
          <w:tcPr>
            <w:tcW w:w="3960" w:type="dxa"/>
            <w:vAlign w:val="center"/>
          </w:tcPr>
          <w:p>
            <w:pPr>
              <w:jc w:val="center"/>
              <w:rPr>
                <w:noProof/>
              </w:rPr>
            </w:pPr>
            <w:r>
              <w:rPr>
                <w:noProof/>
                <w:sz w:val="22"/>
              </w:rPr>
              <w:t>GD: MARE</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b/>
                <w:noProof/>
                <w:sz w:val="20"/>
              </w:rPr>
              <w:t>2020</w:t>
            </w:r>
          </w:p>
        </w:tc>
        <w:tc>
          <w:tcPr>
            <w:tcW w:w="868" w:type="dxa"/>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68" w:type="dxa"/>
            <w:vAlign w:val="center"/>
          </w:tcPr>
          <w:p>
            <w:pPr>
              <w:jc w:val="center"/>
              <w:rPr>
                <w:noProof/>
                <w:sz w:val="20"/>
              </w:rPr>
            </w:pPr>
            <w:r>
              <w:rPr>
                <w:b/>
                <w:noProof/>
                <w:sz w:val="20"/>
              </w:rPr>
              <w:t>2023</w:t>
            </w:r>
          </w:p>
        </w:tc>
        <w:tc>
          <w:tcPr>
            <w:tcW w:w="914" w:type="dxa"/>
            <w:vAlign w:val="center"/>
          </w:tcPr>
          <w:p>
            <w:pPr>
              <w:jc w:val="center"/>
              <w:rPr>
                <w:noProof/>
                <w:sz w:val="20"/>
              </w:rPr>
            </w:pPr>
            <w:r>
              <w:rPr>
                <w:b/>
                <w:noProof/>
                <w:sz w:val="20"/>
              </w:rPr>
              <w:t>2024</w:t>
            </w:r>
          </w:p>
        </w:tc>
        <w:tc>
          <w:tcPr>
            <w:tcW w:w="977" w:type="dxa"/>
          </w:tcPr>
          <w:p>
            <w:pPr>
              <w:jc w:val="center"/>
              <w:rPr>
                <w:b/>
                <w:noProof/>
                <w:sz w:val="20"/>
              </w:rPr>
            </w:pPr>
            <w:r>
              <w:rPr>
                <w:b/>
                <w:noProof/>
                <w:sz w:val="20"/>
              </w:rPr>
              <w:t>2025</w:t>
            </w:r>
          </w:p>
        </w:tc>
        <w:tc>
          <w:tcPr>
            <w:tcW w:w="992" w:type="dxa"/>
            <w:vAlign w:val="center"/>
          </w:tcPr>
          <w:p>
            <w:pPr>
              <w:jc w:val="center"/>
              <w:rPr>
                <w:b/>
                <w:noProof/>
                <w:sz w:val="20"/>
              </w:rPr>
            </w:pPr>
            <w:r>
              <w:rPr>
                <w:b/>
                <w:noProof/>
                <w:sz w:val="20"/>
              </w:rPr>
              <w:t>I ALT</w:t>
            </w:r>
          </w:p>
        </w:tc>
      </w:tr>
      <w:tr>
        <w:trPr>
          <w:trHeight w:val="213"/>
        </w:trPr>
        <w:tc>
          <w:tcPr>
            <w:tcW w:w="6054" w:type="dxa"/>
            <w:gridSpan w:val="4"/>
            <w:vAlign w:val="center"/>
          </w:tcPr>
          <w:p>
            <w:pPr>
              <w:spacing w:before="20" w:after="20"/>
              <w:rPr>
                <w:noProof/>
                <w:sz w:val="21"/>
              </w:rPr>
            </w:pPr>
            <w:r>
              <w:rPr>
                <w:noProof/>
                <w:sz w:val="21"/>
              </w:rPr>
              <w:sym w:font="Wingdings" w:char="F09F"/>
            </w:r>
            <w:r>
              <w:rPr>
                <w:noProof/>
              </w:rPr>
              <w:t xml:space="preserve"> </w:t>
            </w:r>
            <w:r>
              <w:rPr>
                <w:noProof/>
                <w:sz w:val="21"/>
              </w:rPr>
              <w:t xml:space="preserve">Aktionsbevillinger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914" w:type="dxa"/>
            <w:vAlign w:val="center"/>
          </w:tcPr>
          <w:p>
            <w:pPr>
              <w:rPr>
                <w:noProof/>
                <w:sz w:val="20"/>
              </w:rPr>
            </w:pPr>
          </w:p>
        </w:tc>
        <w:tc>
          <w:tcPr>
            <w:tcW w:w="977" w:type="dxa"/>
          </w:tcPr>
          <w:p>
            <w:pPr>
              <w:rPr>
                <w:b/>
                <w:noProof/>
                <w:sz w:val="20"/>
              </w:rPr>
            </w:pPr>
          </w:p>
        </w:tc>
        <w:tc>
          <w:tcPr>
            <w:tcW w:w="992" w:type="dxa"/>
            <w:vAlign w:val="center"/>
          </w:tcPr>
          <w:p>
            <w:pPr>
              <w:rPr>
                <w:b/>
                <w:noProof/>
                <w:sz w:val="20"/>
              </w:rPr>
            </w:pPr>
          </w:p>
        </w:tc>
      </w:tr>
      <w:tr>
        <w:trPr>
          <w:trHeight w:val="277"/>
        </w:trPr>
        <w:tc>
          <w:tcPr>
            <w:tcW w:w="3960" w:type="dxa"/>
            <w:vMerge w:val="restart"/>
            <w:vAlign w:val="center"/>
          </w:tcPr>
          <w:p>
            <w:pPr>
              <w:spacing w:before="60"/>
              <w:rPr>
                <w:noProof/>
              </w:rPr>
            </w:pPr>
            <w:r>
              <w:rPr>
                <w:noProof/>
                <w:sz w:val="20"/>
              </w:rPr>
              <w:t>Budgetpost</w:t>
            </w:r>
            <w:r>
              <w:rPr>
                <w:rStyle w:val="FootnoteReference"/>
                <w:noProof/>
                <w:sz w:val="20"/>
              </w:rPr>
              <w:footnoteReference w:id="14"/>
            </w:r>
            <w:r>
              <w:rPr>
                <w:noProof/>
              </w:rPr>
              <w:t xml:space="preserve"> 11.03.01</w:t>
            </w:r>
          </w:p>
        </w:tc>
        <w:tc>
          <w:tcPr>
            <w:tcW w:w="1440" w:type="dxa"/>
            <w:vAlign w:val="center"/>
          </w:tcPr>
          <w:p>
            <w:pPr>
              <w:spacing w:before="20" w:after="20"/>
              <w:rPr>
                <w:noProof/>
                <w:sz w:val="18"/>
              </w:rPr>
            </w:pPr>
            <w:r>
              <w:rPr>
                <w:noProof/>
                <w:sz w:val="18"/>
              </w:rPr>
              <w:t>Forpligtelser</w:t>
            </w:r>
          </w:p>
        </w:tc>
        <w:tc>
          <w:tcPr>
            <w:tcW w:w="654" w:type="dxa"/>
            <w:gridSpan w:val="2"/>
            <w:vAlign w:val="center"/>
          </w:tcPr>
          <w:p>
            <w:pPr>
              <w:spacing w:before="20" w:after="20"/>
              <w:jc w:val="center"/>
              <w:rPr>
                <w:noProof/>
                <w:sz w:val="14"/>
              </w:rPr>
            </w:pPr>
            <w:r>
              <w:rPr>
                <w:noProof/>
                <w:sz w:val="14"/>
              </w:rPr>
              <w:t>(1a)</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914" w:type="dxa"/>
          </w:tcPr>
          <w:p>
            <w:pPr>
              <w:rPr>
                <w:noProof/>
              </w:rPr>
            </w:pPr>
            <w:r>
              <w:rPr>
                <w:noProof/>
                <w:sz w:val="20"/>
              </w:rPr>
              <w:t>5,30</w:t>
            </w:r>
          </w:p>
        </w:tc>
        <w:tc>
          <w:tcPr>
            <w:tcW w:w="977" w:type="dxa"/>
          </w:tcPr>
          <w:p>
            <w:pPr>
              <w:rPr>
                <w:noProof/>
              </w:rPr>
            </w:pPr>
            <w:r>
              <w:rPr>
                <w:noProof/>
                <w:sz w:val="20"/>
              </w:rPr>
              <w:t>5,30</w:t>
            </w:r>
          </w:p>
        </w:tc>
        <w:tc>
          <w:tcPr>
            <w:tcW w:w="992" w:type="dxa"/>
            <w:vAlign w:val="center"/>
          </w:tcPr>
          <w:p>
            <w:pPr>
              <w:spacing w:before="20" w:after="20"/>
              <w:jc w:val="right"/>
              <w:rPr>
                <w:b/>
                <w:noProof/>
                <w:sz w:val="20"/>
              </w:rPr>
            </w:pPr>
            <w:r>
              <w:rPr>
                <w:b/>
                <w:noProof/>
                <w:sz w:val="20"/>
              </w:rPr>
              <w:t>31,8</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Betalinger</w:t>
            </w:r>
          </w:p>
        </w:tc>
        <w:tc>
          <w:tcPr>
            <w:tcW w:w="654" w:type="dxa"/>
            <w:gridSpan w:val="2"/>
            <w:vAlign w:val="center"/>
          </w:tcPr>
          <w:p>
            <w:pPr>
              <w:spacing w:before="20" w:after="20"/>
              <w:jc w:val="center"/>
              <w:rPr>
                <w:noProof/>
                <w:sz w:val="14"/>
              </w:rPr>
            </w:pPr>
            <w:r>
              <w:rPr>
                <w:noProof/>
                <w:sz w:val="14"/>
              </w:rPr>
              <w:t>(2a)</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914" w:type="dxa"/>
          </w:tcPr>
          <w:p>
            <w:pPr>
              <w:rPr>
                <w:noProof/>
              </w:rPr>
            </w:pPr>
            <w:r>
              <w:rPr>
                <w:noProof/>
                <w:sz w:val="20"/>
              </w:rPr>
              <w:t>5,30</w:t>
            </w:r>
          </w:p>
        </w:tc>
        <w:tc>
          <w:tcPr>
            <w:tcW w:w="977" w:type="dxa"/>
          </w:tcPr>
          <w:p>
            <w:pPr>
              <w:rPr>
                <w:noProof/>
              </w:rPr>
            </w:pPr>
            <w:r>
              <w:rPr>
                <w:noProof/>
                <w:sz w:val="20"/>
              </w:rPr>
              <w:t>5,30</w:t>
            </w:r>
          </w:p>
        </w:tc>
        <w:tc>
          <w:tcPr>
            <w:tcW w:w="992" w:type="dxa"/>
            <w:vAlign w:val="center"/>
          </w:tcPr>
          <w:p>
            <w:pPr>
              <w:spacing w:before="20" w:after="20"/>
              <w:jc w:val="right"/>
              <w:rPr>
                <w:b/>
                <w:noProof/>
                <w:sz w:val="20"/>
              </w:rPr>
            </w:pPr>
            <w:r>
              <w:rPr>
                <w:b/>
                <w:noProof/>
                <w:sz w:val="20"/>
              </w:rPr>
              <w:t>31,8</w:t>
            </w:r>
          </w:p>
        </w:tc>
      </w:tr>
      <w:tr>
        <w:tc>
          <w:tcPr>
            <w:tcW w:w="3960" w:type="dxa"/>
            <w:vMerge w:val="restart"/>
            <w:vAlign w:val="center"/>
          </w:tcPr>
          <w:p>
            <w:pPr>
              <w:rPr>
                <w:noProof/>
              </w:rPr>
            </w:pPr>
            <w:r>
              <w:rPr>
                <w:noProof/>
                <w:sz w:val="20"/>
              </w:rPr>
              <w:t xml:space="preserve">Budgetpost </w:t>
            </w:r>
          </w:p>
        </w:tc>
        <w:tc>
          <w:tcPr>
            <w:tcW w:w="1440" w:type="dxa"/>
            <w:vAlign w:val="center"/>
          </w:tcPr>
          <w:p>
            <w:pPr>
              <w:spacing w:before="20" w:after="20"/>
              <w:rPr>
                <w:noProof/>
                <w:sz w:val="18"/>
              </w:rPr>
            </w:pPr>
            <w:r>
              <w:rPr>
                <w:noProof/>
                <w:sz w:val="18"/>
              </w:rPr>
              <w:t>Forpligtelser</w:t>
            </w:r>
          </w:p>
        </w:tc>
        <w:tc>
          <w:tcPr>
            <w:tcW w:w="654" w:type="dxa"/>
            <w:gridSpan w:val="2"/>
            <w:vAlign w:val="center"/>
          </w:tcPr>
          <w:p>
            <w:pPr>
              <w:spacing w:before="20" w:after="20"/>
              <w:jc w:val="center"/>
              <w:rPr>
                <w:noProof/>
                <w:sz w:val="14"/>
              </w:rPr>
            </w:pPr>
            <w:r>
              <w:rPr>
                <w:noProof/>
                <w:sz w:val="14"/>
              </w:rPr>
              <w:t>(1b)</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914" w:type="dxa"/>
            <w:vAlign w:val="center"/>
          </w:tcPr>
          <w:p>
            <w:pPr>
              <w:spacing w:before="20" w:after="20"/>
              <w:jc w:val="right"/>
              <w:rPr>
                <w:noProof/>
                <w:sz w:val="20"/>
              </w:rPr>
            </w:pPr>
          </w:p>
        </w:tc>
        <w:tc>
          <w:tcPr>
            <w:tcW w:w="977" w:type="dxa"/>
          </w:tcPr>
          <w:p>
            <w:pPr>
              <w:spacing w:before="20" w:after="20"/>
              <w:jc w:val="right"/>
              <w:rPr>
                <w:b/>
                <w:noProof/>
                <w:sz w:val="20"/>
              </w:rPr>
            </w:pPr>
          </w:p>
        </w:tc>
        <w:tc>
          <w:tcPr>
            <w:tcW w:w="992"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Betalinger</w:t>
            </w:r>
          </w:p>
        </w:tc>
        <w:tc>
          <w:tcPr>
            <w:tcW w:w="654" w:type="dxa"/>
            <w:gridSpan w:val="2"/>
            <w:vAlign w:val="center"/>
          </w:tcPr>
          <w:p>
            <w:pPr>
              <w:spacing w:before="20" w:after="20"/>
              <w:jc w:val="center"/>
              <w:rPr>
                <w:noProof/>
                <w:sz w:val="14"/>
              </w:rPr>
            </w:pPr>
            <w:r>
              <w:rPr>
                <w:noProof/>
                <w:sz w:val="14"/>
              </w:rPr>
              <w:t>(2b)</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914" w:type="dxa"/>
            <w:vAlign w:val="center"/>
          </w:tcPr>
          <w:p>
            <w:pPr>
              <w:spacing w:before="20" w:after="20"/>
              <w:jc w:val="right"/>
              <w:rPr>
                <w:noProof/>
                <w:sz w:val="20"/>
              </w:rPr>
            </w:pPr>
          </w:p>
        </w:tc>
        <w:tc>
          <w:tcPr>
            <w:tcW w:w="977" w:type="dxa"/>
          </w:tcPr>
          <w:p>
            <w:pPr>
              <w:spacing w:before="20" w:after="20"/>
              <w:jc w:val="right"/>
              <w:rPr>
                <w:b/>
                <w:noProof/>
                <w:sz w:val="20"/>
              </w:rPr>
            </w:pPr>
          </w:p>
        </w:tc>
        <w:tc>
          <w:tcPr>
            <w:tcW w:w="992"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rPr>
            </w:pPr>
            <w:r>
              <w:rPr>
                <w:noProof/>
                <w:sz w:val="21"/>
              </w:rPr>
              <w:t>Administrationsbevillinger finansieret over bevillingsrammen for særprogrammer</w:t>
            </w:r>
            <w:r>
              <w:rPr>
                <w:rStyle w:val="FootnoteReference"/>
                <w:noProof/>
                <w:sz w:val="21"/>
              </w:rPr>
              <w:footnoteReference w:id="15"/>
            </w:r>
            <w:r>
              <w:rPr>
                <w:noProof/>
                <w:sz w:val="21"/>
              </w:rPr>
              <w:t xml:space="preserve"> </w:t>
            </w:r>
          </w:p>
          <w:p>
            <w:pPr>
              <w:spacing w:before="0" w:after="0"/>
              <w:rPr>
                <w:noProof/>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914" w:type="dxa"/>
            <w:vAlign w:val="center"/>
          </w:tcPr>
          <w:p>
            <w:pPr>
              <w:rPr>
                <w:b/>
                <w:noProof/>
                <w:sz w:val="20"/>
              </w:rPr>
            </w:pPr>
          </w:p>
        </w:tc>
        <w:tc>
          <w:tcPr>
            <w:tcW w:w="977" w:type="dxa"/>
          </w:tcPr>
          <w:p>
            <w:pPr>
              <w:rPr>
                <w:b/>
                <w:noProof/>
                <w:sz w:val="20"/>
              </w:rPr>
            </w:pPr>
          </w:p>
        </w:tc>
        <w:tc>
          <w:tcPr>
            <w:tcW w:w="992" w:type="dxa"/>
            <w:vAlign w:val="center"/>
          </w:tcPr>
          <w:p>
            <w:pPr>
              <w:rPr>
                <w:b/>
                <w:noProof/>
                <w:sz w:val="20"/>
              </w:rPr>
            </w:pPr>
          </w:p>
        </w:tc>
      </w:tr>
      <w:tr>
        <w:trPr>
          <w:trHeight w:val="319"/>
        </w:trPr>
        <w:tc>
          <w:tcPr>
            <w:tcW w:w="3960" w:type="dxa"/>
            <w:vAlign w:val="center"/>
          </w:tcPr>
          <w:p>
            <w:pPr>
              <w:spacing w:before="60" w:after="60"/>
              <w:rPr>
                <w:noProof/>
              </w:rPr>
            </w:pPr>
            <w:r>
              <w:rPr>
                <w:noProof/>
                <w:sz w:val="20"/>
              </w:rPr>
              <w:t>Budgetpost</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914" w:type="dxa"/>
            <w:vAlign w:val="center"/>
          </w:tcPr>
          <w:p>
            <w:pPr>
              <w:spacing w:before="40" w:after="40"/>
              <w:jc w:val="right"/>
              <w:rPr>
                <w:b/>
                <w:noProof/>
                <w:sz w:val="20"/>
              </w:rPr>
            </w:pPr>
          </w:p>
        </w:tc>
        <w:tc>
          <w:tcPr>
            <w:tcW w:w="977" w:type="dxa"/>
          </w:tcPr>
          <w:p>
            <w:pPr>
              <w:spacing w:before="40" w:after="40"/>
              <w:jc w:val="right"/>
              <w:rPr>
                <w:b/>
                <w:noProof/>
                <w:sz w:val="20"/>
              </w:rPr>
            </w:pPr>
          </w:p>
        </w:tc>
        <w:tc>
          <w:tcPr>
            <w:tcW w:w="992" w:type="dxa"/>
            <w:vAlign w:val="center"/>
          </w:tcPr>
          <w:p>
            <w:pPr>
              <w:spacing w:before="40" w:after="40"/>
              <w:jc w:val="right"/>
              <w:rPr>
                <w:b/>
                <w:noProof/>
                <w:sz w:val="20"/>
              </w:rPr>
            </w:pPr>
          </w:p>
        </w:tc>
      </w:tr>
      <w:tr>
        <w:tc>
          <w:tcPr>
            <w:tcW w:w="3960" w:type="dxa"/>
            <w:vMerge w:val="restart"/>
            <w:vAlign w:val="center"/>
          </w:tcPr>
          <w:p>
            <w:pPr>
              <w:jc w:val="center"/>
              <w:rPr>
                <w:b/>
                <w:noProof/>
              </w:rPr>
            </w:pPr>
            <w:r>
              <w:rPr>
                <w:b/>
                <w:noProof/>
                <w:sz w:val="22"/>
              </w:rPr>
              <w:t>Bevillinger I ALT</w:t>
            </w:r>
            <w:r>
              <w:rPr>
                <w:noProof/>
                <w:sz w:val="22"/>
              </w:rPr>
              <w:br/>
            </w:r>
            <w:r>
              <w:rPr>
                <w:b/>
                <w:noProof/>
                <w:sz w:val="22"/>
              </w:rPr>
              <w:t>til GD</w:t>
            </w:r>
            <w:r>
              <w:rPr>
                <w:noProof/>
                <w:sz w:val="22"/>
              </w:rPr>
              <w:t xml:space="preserve"> MARE</w:t>
            </w:r>
          </w:p>
        </w:tc>
        <w:tc>
          <w:tcPr>
            <w:tcW w:w="1440" w:type="dxa"/>
            <w:vAlign w:val="center"/>
          </w:tcPr>
          <w:p>
            <w:pPr>
              <w:rPr>
                <w:noProof/>
                <w:sz w:val="18"/>
              </w:rPr>
            </w:pPr>
            <w:r>
              <w:rPr>
                <w:noProof/>
                <w:sz w:val="18"/>
              </w:rPr>
              <w:t>Forpligtelser</w:t>
            </w:r>
          </w:p>
        </w:tc>
        <w:tc>
          <w:tcPr>
            <w:tcW w:w="654" w:type="dxa"/>
            <w:gridSpan w:val="2"/>
            <w:vAlign w:val="center"/>
          </w:tcPr>
          <w:p>
            <w:pPr>
              <w:jc w:val="center"/>
              <w:rPr>
                <w:noProof/>
                <w:sz w:val="14"/>
              </w:rPr>
            </w:pPr>
            <w:r>
              <w:rPr>
                <w:noProof/>
                <w:sz w:val="14"/>
              </w:rPr>
              <w:t>=1a+1b +3</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914" w:type="dxa"/>
          </w:tcPr>
          <w:p>
            <w:pPr>
              <w:rPr>
                <w:noProof/>
              </w:rPr>
            </w:pPr>
            <w:r>
              <w:rPr>
                <w:noProof/>
                <w:sz w:val="20"/>
              </w:rPr>
              <w:t>5,30</w:t>
            </w:r>
          </w:p>
        </w:tc>
        <w:tc>
          <w:tcPr>
            <w:tcW w:w="977" w:type="dxa"/>
          </w:tcPr>
          <w:p>
            <w:pPr>
              <w:rPr>
                <w:noProof/>
              </w:rPr>
            </w:pPr>
            <w:r>
              <w:rPr>
                <w:noProof/>
                <w:sz w:val="20"/>
              </w:rPr>
              <w:t>5,30</w:t>
            </w:r>
          </w:p>
        </w:tc>
        <w:tc>
          <w:tcPr>
            <w:tcW w:w="992" w:type="dxa"/>
            <w:vAlign w:val="center"/>
          </w:tcPr>
          <w:p>
            <w:pPr>
              <w:spacing w:before="20" w:after="20"/>
              <w:jc w:val="right"/>
              <w:rPr>
                <w:b/>
                <w:noProof/>
                <w:sz w:val="20"/>
              </w:rPr>
            </w:pPr>
            <w:r>
              <w:rPr>
                <w:b/>
                <w:noProof/>
                <w:sz w:val="20"/>
              </w:rPr>
              <w:t>31,8</w:t>
            </w:r>
          </w:p>
        </w:tc>
      </w:tr>
      <w:tr>
        <w:tc>
          <w:tcPr>
            <w:tcW w:w="3960" w:type="dxa"/>
            <w:vMerge/>
          </w:tcPr>
          <w:p>
            <w:pPr>
              <w:rPr>
                <w:noProof/>
                <w:sz w:val="20"/>
              </w:rPr>
            </w:pPr>
          </w:p>
        </w:tc>
        <w:tc>
          <w:tcPr>
            <w:tcW w:w="1440" w:type="dxa"/>
            <w:vAlign w:val="center"/>
          </w:tcPr>
          <w:p>
            <w:pPr>
              <w:rPr>
                <w:noProof/>
                <w:sz w:val="18"/>
              </w:rPr>
            </w:pPr>
            <w:r>
              <w:rPr>
                <w:noProof/>
                <w:sz w:val="18"/>
              </w:rPr>
              <w:t>Betalinger</w:t>
            </w:r>
          </w:p>
        </w:tc>
        <w:tc>
          <w:tcPr>
            <w:tcW w:w="654" w:type="dxa"/>
            <w:gridSpan w:val="2"/>
            <w:vAlign w:val="center"/>
          </w:tcPr>
          <w:p>
            <w:pPr>
              <w:jc w:val="center"/>
              <w:rPr>
                <w:noProof/>
                <w:sz w:val="14"/>
              </w:rPr>
            </w:pPr>
            <w:r>
              <w:rPr>
                <w:noProof/>
                <w:sz w:val="14"/>
              </w:rPr>
              <w:t>=2a+2b</w:t>
            </w:r>
          </w:p>
          <w:p>
            <w:pPr>
              <w:jc w:val="center"/>
              <w:rPr>
                <w:noProof/>
                <w:sz w:val="14"/>
              </w:rPr>
            </w:pPr>
            <w:r>
              <w:rPr>
                <w:noProof/>
                <w:sz w:val="14"/>
              </w:rPr>
              <w:t>+3</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914" w:type="dxa"/>
          </w:tcPr>
          <w:p>
            <w:pPr>
              <w:rPr>
                <w:noProof/>
              </w:rPr>
            </w:pPr>
            <w:r>
              <w:rPr>
                <w:noProof/>
                <w:sz w:val="20"/>
              </w:rPr>
              <w:t>5,30</w:t>
            </w:r>
          </w:p>
        </w:tc>
        <w:tc>
          <w:tcPr>
            <w:tcW w:w="977" w:type="dxa"/>
          </w:tcPr>
          <w:p>
            <w:pPr>
              <w:rPr>
                <w:noProof/>
              </w:rPr>
            </w:pPr>
            <w:r>
              <w:rPr>
                <w:noProof/>
                <w:sz w:val="20"/>
              </w:rPr>
              <w:t>5,30</w:t>
            </w:r>
          </w:p>
        </w:tc>
        <w:tc>
          <w:tcPr>
            <w:tcW w:w="992" w:type="dxa"/>
            <w:vAlign w:val="center"/>
          </w:tcPr>
          <w:p>
            <w:pPr>
              <w:spacing w:before="20" w:after="20"/>
              <w:jc w:val="right"/>
              <w:rPr>
                <w:b/>
                <w:noProof/>
                <w:sz w:val="20"/>
              </w:rPr>
            </w:pPr>
            <w:r>
              <w:rPr>
                <w:b/>
                <w:noProof/>
                <w:sz w:val="20"/>
              </w:rPr>
              <w:t>31,8</w:t>
            </w:r>
          </w:p>
          <w:p>
            <w:pPr>
              <w:spacing w:before="20" w:after="20"/>
              <w:jc w:val="center"/>
              <w:rPr>
                <w:b/>
                <w:noProof/>
                <w:sz w:val="20"/>
              </w:rPr>
            </w:pPr>
          </w:p>
        </w:tc>
      </w:tr>
    </w:tbl>
    <w:p>
      <w:pPr>
        <w:rPr>
          <w:noProof/>
        </w:rPr>
      </w:pP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Aktionsbevillinger I ALT </w:t>
            </w:r>
          </w:p>
        </w:tc>
        <w:tc>
          <w:tcPr>
            <w:tcW w:w="1440" w:type="dxa"/>
            <w:vAlign w:val="center"/>
          </w:tcPr>
          <w:p>
            <w:pPr>
              <w:spacing w:beforeLines="20" w:before="48" w:afterLines="20" w:after="48"/>
              <w:rPr>
                <w:noProof/>
                <w:sz w:val="18"/>
              </w:rPr>
            </w:pPr>
            <w:r>
              <w:rPr>
                <w:noProof/>
                <w:sz w:val="18"/>
              </w:rPr>
              <w:t>Forpligtelser</w:t>
            </w:r>
          </w:p>
        </w:tc>
        <w:tc>
          <w:tcPr>
            <w:tcW w:w="654" w:type="dxa"/>
            <w:vAlign w:val="center"/>
          </w:tcPr>
          <w:p>
            <w:pPr>
              <w:spacing w:beforeLines="20" w:before="48" w:afterLines="20" w:after="48"/>
              <w:jc w:val="center"/>
              <w:rPr>
                <w:noProof/>
                <w:sz w:val="14"/>
              </w:rPr>
            </w:pPr>
            <w:r>
              <w:rPr>
                <w:noProof/>
                <w:sz w:val="14"/>
              </w:rPr>
              <w:t>(4)</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vAlign w:val="center"/>
          </w:tcPr>
          <w:p>
            <w:pPr>
              <w:spacing w:before="20" w:after="20"/>
              <w:jc w:val="right"/>
              <w:rPr>
                <w:b/>
                <w:noProof/>
                <w:sz w:val="20"/>
              </w:rPr>
            </w:pPr>
            <w:r>
              <w:rPr>
                <w:b/>
                <w:noProof/>
                <w:sz w:val="20"/>
              </w:rPr>
              <w:t>31,8</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Betalinger</w:t>
            </w:r>
          </w:p>
        </w:tc>
        <w:tc>
          <w:tcPr>
            <w:tcW w:w="654" w:type="dxa"/>
            <w:vAlign w:val="center"/>
          </w:tcPr>
          <w:p>
            <w:pPr>
              <w:spacing w:beforeLines="20" w:before="48" w:afterLines="20" w:after="48"/>
              <w:jc w:val="center"/>
              <w:rPr>
                <w:noProof/>
                <w:sz w:val="14"/>
              </w:rPr>
            </w:pPr>
            <w:r>
              <w:rPr>
                <w:noProof/>
                <w:sz w:val="14"/>
              </w:rPr>
              <w:t>(5)</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vAlign w:val="center"/>
          </w:tcPr>
          <w:p>
            <w:pPr>
              <w:spacing w:before="20" w:after="20"/>
              <w:jc w:val="right"/>
              <w:rPr>
                <w:b/>
                <w:noProof/>
                <w:sz w:val="20"/>
              </w:rPr>
            </w:pPr>
            <w:r>
              <w:rPr>
                <w:b/>
                <w:noProof/>
                <w:sz w:val="20"/>
              </w:rPr>
              <w:t>31,8</w:t>
            </w: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 Administrationsbevillinger finansieret over bevillingsrammen for særprogrammer I ALT</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tcPr>
          <w:p>
            <w:pPr>
              <w:spacing w:before="20" w:after="20"/>
              <w:jc w:val="right"/>
              <w:rPr>
                <w:b/>
                <w:noProof/>
                <w:sz w:val="20"/>
              </w:rPr>
            </w:pPr>
          </w:p>
        </w:tc>
        <w:tc>
          <w:tcPr>
            <w:tcW w:w="868"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b/>
                <w:noProof/>
                <w:sz w:val="22"/>
              </w:rPr>
              <w:t>Bevillinger I ALT</w:t>
            </w:r>
            <w:r>
              <w:rPr>
                <w:noProof/>
                <w:sz w:val="22"/>
              </w:rPr>
              <w:br/>
            </w:r>
            <w:r>
              <w:rPr>
                <w:b/>
                <w:noProof/>
                <w:sz w:val="22"/>
              </w:rPr>
              <w:t>under UDGIFTSOMRÅDE 2</w:t>
            </w:r>
            <w:r>
              <w:rPr>
                <w:noProof/>
                <w:sz w:val="22"/>
              </w:rPr>
              <w:br/>
              <w:t>i den flerårige finansielle ramme</w:t>
            </w:r>
          </w:p>
        </w:tc>
        <w:tc>
          <w:tcPr>
            <w:tcW w:w="1440" w:type="dxa"/>
            <w:vAlign w:val="center"/>
          </w:tcPr>
          <w:p>
            <w:pPr>
              <w:rPr>
                <w:noProof/>
                <w:sz w:val="18"/>
              </w:rPr>
            </w:pPr>
            <w:r>
              <w:rPr>
                <w:noProof/>
                <w:sz w:val="18"/>
              </w:rPr>
              <w:t>Forpligtelser</w:t>
            </w:r>
          </w:p>
        </w:tc>
        <w:tc>
          <w:tcPr>
            <w:tcW w:w="654" w:type="dxa"/>
            <w:vAlign w:val="center"/>
          </w:tcPr>
          <w:p>
            <w:pPr>
              <w:jc w:val="center"/>
              <w:rPr>
                <w:noProof/>
                <w:sz w:val="14"/>
              </w:rPr>
            </w:pPr>
            <w:r>
              <w:rPr>
                <w:noProof/>
                <w:sz w:val="14"/>
              </w:rPr>
              <w:t>=4+6</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vAlign w:val="center"/>
          </w:tcPr>
          <w:p>
            <w:pPr>
              <w:spacing w:before="20" w:after="20"/>
              <w:jc w:val="right"/>
              <w:rPr>
                <w:b/>
                <w:noProof/>
                <w:sz w:val="20"/>
              </w:rPr>
            </w:pPr>
            <w:r>
              <w:rPr>
                <w:b/>
                <w:noProof/>
                <w:sz w:val="20"/>
              </w:rPr>
              <w:t>31,8</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Betalinger</w:t>
            </w:r>
          </w:p>
        </w:tc>
        <w:tc>
          <w:tcPr>
            <w:tcW w:w="654" w:type="dxa"/>
            <w:vAlign w:val="center"/>
          </w:tcPr>
          <w:p>
            <w:pPr>
              <w:jc w:val="center"/>
              <w:rPr>
                <w:noProof/>
                <w:sz w:val="14"/>
              </w:rPr>
            </w:pPr>
            <w:r>
              <w:rPr>
                <w:noProof/>
                <w:sz w:val="14"/>
              </w:rPr>
              <w:t>=5+6</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vAlign w:val="center"/>
          </w:tcPr>
          <w:p>
            <w:pPr>
              <w:spacing w:before="20" w:after="20"/>
              <w:jc w:val="right"/>
              <w:rPr>
                <w:b/>
                <w:noProof/>
                <w:sz w:val="20"/>
              </w:rPr>
            </w:pPr>
            <w:r>
              <w:rPr>
                <w:b/>
                <w:noProof/>
                <w:sz w:val="20"/>
              </w:rPr>
              <w:t>31,8</w:t>
            </w:r>
          </w:p>
        </w:tc>
      </w:tr>
    </w:tbl>
    <w:p>
      <w:pPr>
        <w:spacing w:after="40"/>
        <w:rPr>
          <w:b/>
          <w:noProof/>
          <w:sz w:val="22"/>
          <w:u w:val="single"/>
        </w:rPr>
      </w:pPr>
      <w:r>
        <w:rPr>
          <w:b/>
          <w:noProof/>
          <w:sz w:val="22"/>
          <w:u w:val="single"/>
        </w:rPr>
        <w:t>Hvis flere driftsmæssige udgiftsområder påvirkes af forslaget/initiativet, indsættes der et tilsvarende afsnit for hvert udgiftsområde</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81"/>
        <w:gridCol w:w="851"/>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rPr>
            </w:pPr>
            <w:r>
              <w:rPr>
                <w:noProof/>
                <w:sz w:val="21"/>
              </w:rPr>
              <w:sym w:font="Wingdings" w:char="F09F"/>
            </w:r>
            <w:r>
              <w:rPr>
                <w:noProof/>
              </w:rPr>
              <w:t>Aktionsbevillinger I ALT (alle driftsmæssige udgiftsområder)</w:t>
            </w:r>
          </w:p>
        </w:tc>
        <w:tc>
          <w:tcPr>
            <w:tcW w:w="1440" w:type="dxa"/>
            <w:tcBorders>
              <w:top w:val="single" w:sz="4" w:space="0" w:color="auto"/>
            </w:tcBorders>
            <w:vAlign w:val="center"/>
          </w:tcPr>
          <w:p>
            <w:pPr>
              <w:spacing w:beforeLines="20" w:before="48" w:afterLines="20" w:after="48"/>
              <w:rPr>
                <w:noProof/>
                <w:sz w:val="18"/>
              </w:rPr>
            </w:pPr>
            <w:r>
              <w:rPr>
                <w:noProof/>
                <w:sz w:val="18"/>
              </w:rPr>
              <w:t>Forpligtelser</w:t>
            </w:r>
          </w:p>
        </w:tc>
        <w:tc>
          <w:tcPr>
            <w:tcW w:w="654" w:type="dxa"/>
            <w:tcBorders>
              <w:top w:val="single" w:sz="4" w:space="0" w:color="auto"/>
            </w:tcBorders>
            <w:vAlign w:val="center"/>
          </w:tcPr>
          <w:p>
            <w:pPr>
              <w:spacing w:beforeLines="20" w:before="48" w:afterLines="20" w:after="48"/>
              <w:jc w:val="center"/>
              <w:rPr>
                <w:noProof/>
                <w:sz w:val="14"/>
              </w:rPr>
            </w:pPr>
            <w:r>
              <w:rPr>
                <w:noProof/>
                <w:sz w:val="14"/>
              </w:rPr>
              <w:t>(4)</w:t>
            </w:r>
          </w:p>
        </w:tc>
        <w:tc>
          <w:tcPr>
            <w:tcW w:w="868" w:type="dxa"/>
            <w:tcBorders>
              <w:top w:val="single" w:sz="4" w:space="0" w:color="auto"/>
            </w:tcBorders>
            <w:vAlign w:val="center"/>
          </w:tcPr>
          <w:p>
            <w:pPr>
              <w:spacing w:before="20" w:after="20"/>
              <w:jc w:val="right"/>
              <w:rPr>
                <w:noProof/>
                <w:sz w:val="20"/>
              </w:rPr>
            </w:pPr>
            <w:r>
              <w:rPr>
                <w:noProof/>
                <w:sz w:val="20"/>
              </w:rPr>
              <w:t>5,30</w:t>
            </w:r>
          </w:p>
        </w:tc>
        <w:tc>
          <w:tcPr>
            <w:tcW w:w="868" w:type="dxa"/>
            <w:tcBorders>
              <w:top w:val="single" w:sz="4" w:space="0" w:color="auto"/>
            </w:tcBorders>
            <w:vAlign w:val="center"/>
          </w:tcPr>
          <w:p>
            <w:pPr>
              <w:spacing w:before="20" w:after="20"/>
              <w:jc w:val="right"/>
              <w:rPr>
                <w:noProof/>
                <w:sz w:val="20"/>
              </w:rPr>
            </w:pPr>
            <w:r>
              <w:rPr>
                <w:noProof/>
                <w:sz w:val="20"/>
              </w:rPr>
              <w:t>5,30</w:t>
            </w:r>
          </w:p>
        </w:tc>
        <w:tc>
          <w:tcPr>
            <w:tcW w:w="868" w:type="dxa"/>
            <w:tcBorders>
              <w:top w:val="single" w:sz="4" w:space="0" w:color="auto"/>
            </w:tcBorders>
            <w:vAlign w:val="center"/>
          </w:tcPr>
          <w:p>
            <w:pPr>
              <w:spacing w:before="20" w:after="20"/>
              <w:jc w:val="right"/>
              <w:rPr>
                <w:noProof/>
                <w:sz w:val="20"/>
              </w:rPr>
            </w:pPr>
            <w:r>
              <w:rPr>
                <w:noProof/>
                <w:sz w:val="20"/>
              </w:rPr>
              <w:t>5,30</w:t>
            </w:r>
          </w:p>
        </w:tc>
        <w:tc>
          <w:tcPr>
            <w:tcW w:w="868" w:type="dxa"/>
            <w:tcBorders>
              <w:top w:val="single" w:sz="4" w:space="0" w:color="auto"/>
            </w:tcBorders>
            <w:vAlign w:val="center"/>
          </w:tcPr>
          <w:p>
            <w:pPr>
              <w:spacing w:before="20" w:after="20"/>
              <w:jc w:val="right"/>
              <w:rPr>
                <w:noProof/>
                <w:sz w:val="20"/>
              </w:rPr>
            </w:pPr>
            <w:r>
              <w:rPr>
                <w:noProof/>
                <w:sz w:val="20"/>
              </w:rPr>
              <w:t>5,30</w:t>
            </w:r>
          </w:p>
        </w:tc>
        <w:tc>
          <w:tcPr>
            <w:tcW w:w="868" w:type="dxa"/>
            <w:tcBorders>
              <w:top w:val="single" w:sz="4" w:space="0" w:color="auto"/>
            </w:tcBorders>
            <w:vAlign w:val="center"/>
          </w:tcPr>
          <w:p>
            <w:pPr>
              <w:spacing w:before="20" w:after="20"/>
              <w:jc w:val="right"/>
              <w:rPr>
                <w:noProof/>
                <w:sz w:val="20"/>
              </w:rPr>
            </w:pPr>
            <w:r>
              <w:rPr>
                <w:noProof/>
                <w:sz w:val="20"/>
              </w:rPr>
              <w:t>5,30</w:t>
            </w:r>
          </w:p>
        </w:tc>
        <w:tc>
          <w:tcPr>
            <w:tcW w:w="881" w:type="dxa"/>
            <w:tcBorders>
              <w:top w:val="single" w:sz="4" w:space="0" w:color="auto"/>
            </w:tcBorders>
          </w:tcPr>
          <w:p>
            <w:pPr>
              <w:spacing w:before="20" w:after="20"/>
              <w:jc w:val="right"/>
              <w:rPr>
                <w:b/>
                <w:noProof/>
                <w:sz w:val="20"/>
              </w:rPr>
            </w:pPr>
            <w:r>
              <w:rPr>
                <w:noProof/>
                <w:sz w:val="20"/>
              </w:rPr>
              <w:t>5,30</w:t>
            </w:r>
          </w:p>
        </w:tc>
        <w:tc>
          <w:tcPr>
            <w:tcW w:w="851" w:type="dxa"/>
            <w:tcBorders>
              <w:top w:val="single" w:sz="4" w:space="0" w:color="auto"/>
              <w:right w:val="single" w:sz="4" w:space="0" w:color="auto"/>
            </w:tcBorders>
            <w:vAlign w:val="center"/>
          </w:tcPr>
          <w:p>
            <w:pPr>
              <w:spacing w:before="20" w:after="20"/>
              <w:jc w:val="right"/>
              <w:rPr>
                <w:b/>
                <w:noProof/>
                <w:sz w:val="20"/>
              </w:rPr>
            </w:pPr>
            <w:r>
              <w:rPr>
                <w:b/>
                <w:noProof/>
                <w:sz w:val="20"/>
              </w:rPr>
              <w:t>31,8</w:t>
            </w: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Betalinger</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5,30</w:t>
            </w:r>
          </w:p>
        </w:tc>
        <w:tc>
          <w:tcPr>
            <w:tcW w:w="868" w:type="dxa"/>
            <w:vAlign w:val="center"/>
          </w:tcPr>
          <w:p>
            <w:pPr>
              <w:spacing w:before="20" w:after="20"/>
              <w:jc w:val="right"/>
              <w:rPr>
                <w:noProof/>
                <w:sz w:val="20"/>
              </w:rPr>
            </w:pPr>
            <w:r>
              <w:rPr>
                <w:noProof/>
                <w:sz w:val="20"/>
              </w:rPr>
              <w:t>5,30</w:t>
            </w:r>
          </w:p>
        </w:tc>
        <w:tc>
          <w:tcPr>
            <w:tcW w:w="868" w:type="dxa"/>
            <w:vAlign w:val="center"/>
          </w:tcPr>
          <w:p>
            <w:pPr>
              <w:spacing w:before="20" w:after="20"/>
              <w:jc w:val="right"/>
              <w:rPr>
                <w:noProof/>
                <w:sz w:val="20"/>
              </w:rPr>
            </w:pPr>
            <w:r>
              <w:rPr>
                <w:noProof/>
                <w:sz w:val="20"/>
              </w:rPr>
              <w:t>5,30</w:t>
            </w:r>
          </w:p>
        </w:tc>
        <w:tc>
          <w:tcPr>
            <w:tcW w:w="868" w:type="dxa"/>
            <w:vAlign w:val="center"/>
          </w:tcPr>
          <w:p>
            <w:pPr>
              <w:spacing w:before="20" w:after="20"/>
              <w:jc w:val="right"/>
              <w:rPr>
                <w:noProof/>
                <w:sz w:val="20"/>
              </w:rPr>
            </w:pPr>
            <w:r>
              <w:rPr>
                <w:noProof/>
                <w:sz w:val="20"/>
              </w:rPr>
              <w:t>5,30</w:t>
            </w:r>
          </w:p>
        </w:tc>
        <w:tc>
          <w:tcPr>
            <w:tcW w:w="868" w:type="dxa"/>
            <w:vAlign w:val="center"/>
          </w:tcPr>
          <w:p>
            <w:pPr>
              <w:spacing w:before="20" w:after="20"/>
              <w:jc w:val="right"/>
              <w:rPr>
                <w:noProof/>
                <w:sz w:val="20"/>
              </w:rPr>
            </w:pPr>
            <w:r>
              <w:rPr>
                <w:noProof/>
                <w:sz w:val="20"/>
              </w:rPr>
              <w:t>5,30</w:t>
            </w:r>
          </w:p>
        </w:tc>
        <w:tc>
          <w:tcPr>
            <w:tcW w:w="881" w:type="dxa"/>
          </w:tcPr>
          <w:p>
            <w:pPr>
              <w:spacing w:before="20" w:after="20"/>
              <w:jc w:val="right"/>
              <w:rPr>
                <w:b/>
                <w:noProof/>
                <w:sz w:val="20"/>
              </w:rPr>
            </w:pPr>
            <w:r>
              <w:rPr>
                <w:noProof/>
                <w:sz w:val="20"/>
              </w:rPr>
              <w:t>5,30</w:t>
            </w:r>
          </w:p>
        </w:tc>
        <w:tc>
          <w:tcPr>
            <w:tcW w:w="851" w:type="dxa"/>
            <w:tcBorders>
              <w:right w:val="single" w:sz="4" w:space="0" w:color="auto"/>
            </w:tcBorders>
            <w:vAlign w:val="center"/>
          </w:tcPr>
          <w:p>
            <w:pPr>
              <w:spacing w:before="20" w:after="20"/>
              <w:jc w:val="right"/>
              <w:rPr>
                <w:b/>
                <w:noProof/>
                <w:sz w:val="20"/>
              </w:rPr>
            </w:pPr>
            <w:r>
              <w:rPr>
                <w:b/>
                <w:noProof/>
                <w:sz w:val="20"/>
              </w:rPr>
              <w:t>31,8</w:t>
            </w: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t xml:space="preserve"> Administrationsbevillinger finansieret over bevillingsrammen for særprogrammer I ALT (alle driftsmæssige udgiftsområder)</w:t>
            </w:r>
          </w:p>
        </w:tc>
        <w:tc>
          <w:tcPr>
            <w:tcW w:w="654" w:type="dxa"/>
            <w:vAlign w:val="center"/>
          </w:tcPr>
          <w:p>
            <w:pPr>
              <w:rPr>
                <w:noProof/>
              </w:rPr>
            </w:pPr>
          </w:p>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81" w:type="dxa"/>
          </w:tcPr>
          <w:p>
            <w:pPr>
              <w:spacing w:before="20" w:after="20"/>
              <w:jc w:val="right"/>
              <w:rPr>
                <w:b/>
                <w:noProof/>
                <w:sz w:val="20"/>
              </w:rPr>
            </w:pPr>
          </w:p>
        </w:tc>
        <w:tc>
          <w:tcPr>
            <w:tcW w:w="851"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sz w:val="22"/>
              </w:rPr>
              <w:t>Bevillinger I ALT</w:t>
            </w:r>
            <w:r>
              <w:rPr>
                <w:noProof/>
                <w:sz w:val="22"/>
              </w:rPr>
              <w:br/>
            </w:r>
            <w:r>
              <w:rPr>
                <w:b/>
                <w:noProof/>
                <w:sz w:val="22"/>
              </w:rPr>
              <w:t>under UDGIFTSOMRÅDE 1-4</w:t>
            </w:r>
            <w:r>
              <w:rPr>
                <w:noProof/>
                <w:sz w:val="22"/>
              </w:rPr>
              <w:br/>
              <w:t>i den flerårige finansielle ramme</w:t>
            </w:r>
            <w:r>
              <w:rPr>
                <w:noProof/>
                <w:sz w:val="22"/>
              </w:rPr>
              <w:br/>
            </w:r>
            <w:r>
              <w:rPr>
                <w:noProof/>
                <w:sz w:val="20"/>
              </w:rPr>
              <w:t>(referencebeløb)</w:t>
            </w:r>
          </w:p>
        </w:tc>
        <w:tc>
          <w:tcPr>
            <w:tcW w:w="1440" w:type="dxa"/>
            <w:vAlign w:val="center"/>
          </w:tcPr>
          <w:p>
            <w:pPr>
              <w:rPr>
                <w:noProof/>
                <w:sz w:val="18"/>
              </w:rPr>
            </w:pPr>
            <w:r>
              <w:rPr>
                <w:noProof/>
                <w:sz w:val="18"/>
              </w:rPr>
              <w:t>Forpligtelser</w:t>
            </w:r>
          </w:p>
        </w:tc>
        <w:tc>
          <w:tcPr>
            <w:tcW w:w="654" w:type="dxa"/>
            <w:vAlign w:val="center"/>
          </w:tcPr>
          <w:p>
            <w:pPr>
              <w:jc w:val="center"/>
              <w:rPr>
                <w:noProof/>
                <w:sz w:val="14"/>
              </w:rPr>
            </w:pPr>
            <w:r>
              <w:rPr>
                <w:noProof/>
                <w:sz w:val="14"/>
              </w:rPr>
              <w:t>=4+6</w:t>
            </w:r>
          </w:p>
        </w:tc>
        <w:tc>
          <w:tcPr>
            <w:tcW w:w="868" w:type="dxa"/>
            <w:vAlign w:val="center"/>
          </w:tcPr>
          <w:p>
            <w:pPr>
              <w:spacing w:before="20" w:after="20"/>
              <w:jc w:val="right"/>
              <w:rPr>
                <w:noProof/>
                <w:sz w:val="20"/>
              </w:rPr>
            </w:pPr>
            <w:r>
              <w:rPr>
                <w:noProof/>
                <w:sz w:val="20"/>
              </w:rPr>
              <w:t>5,30</w:t>
            </w:r>
          </w:p>
        </w:tc>
        <w:tc>
          <w:tcPr>
            <w:tcW w:w="868" w:type="dxa"/>
            <w:vAlign w:val="center"/>
          </w:tcPr>
          <w:p>
            <w:pPr>
              <w:spacing w:before="20" w:after="20"/>
              <w:jc w:val="right"/>
              <w:rPr>
                <w:noProof/>
                <w:sz w:val="20"/>
              </w:rPr>
            </w:pPr>
            <w:r>
              <w:rPr>
                <w:noProof/>
                <w:sz w:val="20"/>
              </w:rPr>
              <w:t>5,30</w:t>
            </w:r>
          </w:p>
        </w:tc>
        <w:tc>
          <w:tcPr>
            <w:tcW w:w="868" w:type="dxa"/>
            <w:vAlign w:val="center"/>
          </w:tcPr>
          <w:p>
            <w:pPr>
              <w:spacing w:before="20" w:after="20"/>
              <w:jc w:val="right"/>
              <w:rPr>
                <w:noProof/>
                <w:sz w:val="20"/>
              </w:rPr>
            </w:pPr>
            <w:r>
              <w:rPr>
                <w:noProof/>
                <w:sz w:val="20"/>
              </w:rPr>
              <w:t>5,30</w:t>
            </w:r>
          </w:p>
        </w:tc>
        <w:tc>
          <w:tcPr>
            <w:tcW w:w="868" w:type="dxa"/>
            <w:vAlign w:val="center"/>
          </w:tcPr>
          <w:p>
            <w:pPr>
              <w:spacing w:before="20" w:after="20"/>
              <w:jc w:val="right"/>
              <w:rPr>
                <w:noProof/>
                <w:sz w:val="20"/>
              </w:rPr>
            </w:pPr>
            <w:r>
              <w:rPr>
                <w:noProof/>
                <w:sz w:val="20"/>
              </w:rPr>
              <w:t>5,30</w:t>
            </w:r>
          </w:p>
        </w:tc>
        <w:tc>
          <w:tcPr>
            <w:tcW w:w="868" w:type="dxa"/>
            <w:vAlign w:val="center"/>
          </w:tcPr>
          <w:p>
            <w:pPr>
              <w:spacing w:before="20" w:after="20"/>
              <w:jc w:val="right"/>
              <w:rPr>
                <w:noProof/>
                <w:sz w:val="20"/>
              </w:rPr>
            </w:pPr>
            <w:r>
              <w:rPr>
                <w:noProof/>
                <w:sz w:val="20"/>
              </w:rPr>
              <w:t>5,30</w:t>
            </w:r>
          </w:p>
        </w:tc>
        <w:tc>
          <w:tcPr>
            <w:tcW w:w="881" w:type="dxa"/>
          </w:tcPr>
          <w:p>
            <w:pPr>
              <w:spacing w:before="20" w:after="20"/>
              <w:jc w:val="right"/>
              <w:rPr>
                <w:b/>
                <w:noProof/>
                <w:sz w:val="20"/>
              </w:rPr>
            </w:pPr>
            <w:r>
              <w:rPr>
                <w:noProof/>
                <w:sz w:val="20"/>
              </w:rPr>
              <w:t>5,30</w:t>
            </w:r>
          </w:p>
        </w:tc>
        <w:tc>
          <w:tcPr>
            <w:tcW w:w="851" w:type="dxa"/>
            <w:tcBorders>
              <w:right w:val="single" w:sz="4" w:space="0" w:color="auto"/>
            </w:tcBorders>
            <w:vAlign w:val="center"/>
          </w:tcPr>
          <w:p>
            <w:pPr>
              <w:spacing w:before="20" w:after="20"/>
              <w:jc w:val="right"/>
              <w:rPr>
                <w:b/>
                <w:noProof/>
                <w:sz w:val="20"/>
              </w:rPr>
            </w:pPr>
            <w:r>
              <w:rPr>
                <w:b/>
                <w:noProof/>
                <w:sz w:val="20"/>
              </w:rPr>
              <w:t>31,8</w:t>
            </w:r>
          </w:p>
        </w:tc>
      </w:tr>
      <w:tr>
        <w:tc>
          <w:tcPr>
            <w:tcW w:w="3960"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1440" w:type="dxa"/>
            <w:tcBorders>
              <w:bottom w:val="single" w:sz="4" w:space="0" w:color="auto"/>
            </w:tcBorders>
            <w:vAlign w:val="center"/>
          </w:tcPr>
          <w:p>
            <w:pPr>
              <w:rPr>
                <w:noProof/>
                <w:sz w:val="18"/>
              </w:rPr>
            </w:pPr>
            <w:r>
              <w:rPr>
                <w:noProof/>
                <w:sz w:val="18"/>
              </w:rPr>
              <w:t>Betalinger</w:t>
            </w:r>
          </w:p>
        </w:tc>
        <w:tc>
          <w:tcPr>
            <w:tcW w:w="654" w:type="dxa"/>
            <w:tcBorders>
              <w:bottom w:val="single" w:sz="4" w:space="0" w:color="auto"/>
            </w:tcBorders>
            <w:vAlign w:val="center"/>
          </w:tcPr>
          <w:p>
            <w:pPr>
              <w:jc w:val="center"/>
              <w:rPr>
                <w:noProof/>
                <w:sz w:val="14"/>
              </w:rPr>
            </w:pPr>
            <w:r>
              <w:rPr>
                <w:noProof/>
                <w:sz w:val="14"/>
              </w:rPr>
              <w:t>=5+6</w:t>
            </w:r>
          </w:p>
        </w:tc>
        <w:tc>
          <w:tcPr>
            <w:tcW w:w="868" w:type="dxa"/>
            <w:tcBorders>
              <w:bottom w:val="single" w:sz="4" w:space="0" w:color="auto"/>
            </w:tcBorders>
            <w:vAlign w:val="center"/>
          </w:tcPr>
          <w:p>
            <w:pPr>
              <w:spacing w:before="20" w:after="20"/>
              <w:jc w:val="right"/>
              <w:rPr>
                <w:noProof/>
                <w:sz w:val="20"/>
              </w:rPr>
            </w:pPr>
            <w:r>
              <w:rPr>
                <w:noProof/>
                <w:sz w:val="20"/>
              </w:rPr>
              <w:t>5,30</w:t>
            </w:r>
          </w:p>
        </w:tc>
        <w:tc>
          <w:tcPr>
            <w:tcW w:w="868" w:type="dxa"/>
            <w:tcBorders>
              <w:bottom w:val="single" w:sz="4" w:space="0" w:color="auto"/>
            </w:tcBorders>
            <w:vAlign w:val="center"/>
          </w:tcPr>
          <w:p>
            <w:pPr>
              <w:spacing w:before="20" w:after="20"/>
              <w:jc w:val="right"/>
              <w:rPr>
                <w:noProof/>
                <w:sz w:val="20"/>
              </w:rPr>
            </w:pPr>
            <w:r>
              <w:rPr>
                <w:noProof/>
                <w:sz w:val="20"/>
              </w:rPr>
              <w:t>5,30</w:t>
            </w:r>
          </w:p>
        </w:tc>
        <w:tc>
          <w:tcPr>
            <w:tcW w:w="868" w:type="dxa"/>
            <w:tcBorders>
              <w:bottom w:val="single" w:sz="4" w:space="0" w:color="auto"/>
            </w:tcBorders>
            <w:vAlign w:val="center"/>
          </w:tcPr>
          <w:p>
            <w:pPr>
              <w:spacing w:before="20" w:after="20"/>
              <w:jc w:val="right"/>
              <w:rPr>
                <w:noProof/>
                <w:sz w:val="20"/>
              </w:rPr>
            </w:pPr>
            <w:r>
              <w:rPr>
                <w:noProof/>
                <w:sz w:val="20"/>
              </w:rPr>
              <w:t>5,30</w:t>
            </w:r>
          </w:p>
        </w:tc>
        <w:tc>
          <w:tcPr>
            <w:tcW w:w="868" w:type="dxa"/>
            <w:tcBorders>
              <w:bottom w:val="single" w:sz="4" w:space="0" w:color="auto"/>
            </w:tcBorders>
            <w:vAlign w:val="center"/>
          </w:tcPr>
          <w:p>
            <w:pPr>
              <w:spacing w:before="20" w:after="20"/>
              <w:jc w:val="right"/>
              <w:rPr>
                <w:noProof/>
                <w:sz w:val="20"/>
              </w:rPr>
            </w:pPr>
            <w:r>
              <w:rPr>
                <w:noProof/>
                <w:sz w:val="20"/>
              </w:rPr>
              <w:t>5,30</w:t>
            </w:r>
          </w:p>
        </w:tc>
        <w:tc>
          <w:tcPr>
            <w:tcW w:w="868" w:type="dxa"/>
            <w:tcBorders>
              <w:bottom w:val="single" w:sz="4" w:space="0" w:color="auto"/>
            </w:tcBorders>
            <w:vAlign w:val="center"/>
          </w:tcPr>
          <w:p>
            <w:pPr>
              <w:spacing w:before="20" w:after="20"/>
              <w:jc w:val="right"/>
              <w:rPr>
                <w:noProof/>
                <w:sz w:val="20"/>
              </w:rPr>
            </w:pPr>
            <w:r>
              <w:rPr>
                <w:noProof/>
                <w:sz w:val="20"/>
              </w:rPr>
              <w:t>5,30</w:t>
            </w:r>
          </w:p>
        </w:tc>
        <w:tc>
          <w:tcPr>
            <w:tcW w:w="881" w:type="dxa"/>
            <w:tcBorders>
              <w:bottom w:val="single" w:sz="4" w:space="0" w:color="auto"/>
            </w:tcBorders>
          </w:tcPr>
          <w:p>
            <w:pPr>
              <w:spacing w:before="20" w:after="20"/>
              <w:jc w:val="right"/>
              <w:rPr>
                <w:b/>
                <w:noProof/>
                <w:sz w:val="20"/>
              </w:rPr>
            </w:pPr>
            <w:r>
              <w:rPr>
                <w:noProof/>
                <w:sz w:val="20"/>
              </w:rPr>
              <w:t>5,30</w:t>
            </w:r>
          </w:p>
        </w:tc>
        <w:tc>
          <w:tcPr>
            <w:tcW w:w="851" w:type="dxa"/>
            <w:tcBorders>
              <w:bottom w:val="single" w:sz="4" w:space="0" w:color="auto"/>
              <w:right w:val="single" w:sz="4" w:space="0" w:color="auto"/>
            </w:tcBorders>
            <w:vAlign w:val="center"/>
          </w:tcPr>
          <w:p>
            <w:pPr>
              <w:spacing w:before="20" w:after="20"/>
              <w:jc w:val="right"/>
              <w:rPr>
                <w:b/>
                <w:noProof/>
                <w:sz w:val="20"/>
              </w:rPr>
            </w:pPr>
            <w:r>
              <w:rPr>
                <w:b/>
                <w:noProof/>
                <w:sz w:val="20"/>
              </w:rPr>
              <w:t>31,8</w:t>
            </w:r>
          </w:p>
        </w:tc>
      </w:tr>
    </w:tbl>
    <w:p>
      <w:pPr>
        <w:rPr>
          <w:noProof/>
        </w:rPr>
      </w:pPr>
    </w:p>
    <w:p>
      <w:pPr>
        <w:spacing w:before="0" w:after="0"/>
        <w:jc w:val="left"/>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Udgiftsområde i den flerårige finansielle ramme</w:t>
            </w:r>
            <w:r>
              <w:rPr>
                <w:noProof/>
                <w:sz w:val="22"/>
              </w:rPr>
              <w:br/>
            </w:r>
            <w:r>
              <w:rPr>
                <w:b/>
                <w:noProof/>
                <w:sz w:val="22"/>
              </w:rPr>
              <w:t xml:space="preserve">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Administration</w:t>
            </w:r>
          </w:p>
        </w:tc>
      </w:tr>
    </w:tbl>
    <w:p>
      <w:pPr>
        <w:jc w:val="left"/>
        <w:rPr>
          <w:noProof/>
          <w:sz w:val="20"/>
        </w:rPr>
      </w:pPr>
      <w:r>
        <w:rPr>
          <w:noProof/>
        </w:rPr>
        <w:t xml:space="preserve">Dette afsnit skal udfyldes ved hjælp af arket vedrørende administrative budgetoplysninger, der først skal indføres i </w:t>
      </w:r>
      <w:hyperlink r:id="rId13">
        <w:r>
          <w:rPr>
            <w:rStyle w:val="Hyperlink"/>
            <w:noProof/>
          </w:rPr>
          <w:t>bilaget til finansieringsoversigten</w:t>
        </w:r>
      </w:hyperlink>
      <w:r>
        <w:rPr>
          <w:noProof/>
        </w:rPr>
        <w:t xml:space="preserve"> (bilag V til de interne regler), som uploades til DECIDE med henblik på høring af andre tjenestegrene.</w:t>
      </w:r>
    </w:p>
    <w:p>
      <w:pPr>
        <w:jc w:val="right"/>
        <w:rPr>
          <w:noProof/>
          <w:sz w:val="20"/>
        </w:rPr>
      </w:pPr>
      <w:r>
        <w:rPr>
          <w:noProof/>
          <w:sz w:val="20"/>
        </w:rPr>
        <w:t>i mio. EUR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217"/>
        <w:gridCol w:w="317"/>
        <w:gridCol w:w="868"/>
        <w:gridCol w:w="868"/>
        <w:gridCol w:w="868"/>
        <w:gridCol w:w="868"/>
        <w:gridCol w:w="868"/>
        <w:gridCol w:w="881"/>
        <w:gridCol w:w="2673"/>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gridSpan w:val="2"/>
            <w:tcBorders>
              <w:top w:val="nil"/>
              <w:left w:val="nil"/>
            </w:tcBorders>
          </w:tcPr>
          <w:p>
            <w:pPr>
              <w:jc w:val="center"/>
              <w:rPr>
                <w:noProof/>
                <w:sz w:val="20"/>
              </w:rPr>
            </w:pPr>
          </w:p>
        </w:tc>
        <w:tc>
          <w:tcPr>
            <w:tcW w:w="868" w:type="dxa"/>
            <w:vAlign w:val="center"/>
          </w:tcPr>
          <w:p>
            <w:pPr>
              <w:jc w:val="center"/>
              <w:rPr>
                <w:noProof/>
                <w:sz w:val="20"/>
              </w:rPr>
            </w:pPr>
            <w:r>
              <w:rPr>
                <w:b/>
                <w:noProof/>
                <w:sz w:val="20"/>
              </w:rPr>
              <w:t>2020</w:t>
            </w:r>
          </w:p>
        </w:tc>
        <w:tc>
          <w:tcPr>
            <w:tcW w:w="868" w:type="dxa"/>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68" w:type="dxa"/>
            <w:vAlign w:val="center"/>
          </w:tcPr>
          <w:p>
            <w:pPr>
              <w:jc w:val="center"/>
              <w:rPr>
                <w:noProof/>
                <w:sz w:val="20"/>
              </w:rPr>
            </w:pPr>
            <w:r>
              <w:rPr>
                <w:b/>
                <w:noProof/>
                <w:sz w:val="20"/>
              </w:rPr>
              <w:t>2023</w:t>
            </w:r>
          </w:p>
        </w:tc>
        <w:tc>
          <w:tcPr>
            <w:tcW w:w="868" w:type="dxa"/>
            <w:vAlign w:val="center"/>
          </w:tcPr>
          <w:p>
            <w:pPr>
              <w:jc w:val="center"/>
              <w:rPr>
                <w:b/>
                <w:noProof/>
                <w:sz w:val="18"/>
              </w:rPr>
            </w:pPr>
            <w:r>
              <w:rPr>
                <w:b/>
                <w:noProof/>
                <w:sz w:val="20"/>
              </w:rPr>
              <w:t>2024</w:t>
            </w:r>
          </w:p>
        </w:tc>
        <w:tc>
          <w:tcPr>
            <w:tcW w:w="881" w:type="dxa"/>
          </w:tcPr>
          <w:p>
            <w:pPr>
              <w:jc w:val="center"/>
              <w:rPr>
                <w:b/>
                <w:noProof/>
                <w:sz w:val="20"/>
              </w:rPr>
            </w:pPr>
            <w:r>
              <w:rPr>
                <w:b/>
                <w:noProof/>
                <w:sz w:val="20"/>
              </w:rPr>
              <w:t>2025</w:t>
            </w:r>
          </w:p>
        </w:tc>
        <w:tc>
          <w:tcPr>
            <w:tcW w:w="2673" w:type="dxa"/>
            <w:vAlign w:val="center"/>
          </w:tcPr>
          <w:p>
            <w:pPr>
              <w:jc w:val="center"/>
              <w:rPr>
                <w:b/>
                <w:noProof/>
                <w:sz w:val="20"/>
              </w:rPr>
            </w:pPr>
            <w:r>
              <w:rPr>
                <w:b/>
                <w:noProof/>
                <w:sz w:val="20"/>
              </w:rPr>
              <w:t>I ALT</w:t>
            </w:r>
          </w:p>
        </w:tc>
      </w:tr>
      <w:tr>
        <w:trPr>
          <w:gridAfter w:val="8"/>
          <w:wAfter w:w="8211" w:type="dxa"/>
        </w:trPr>
        <w:tc>
          <w:tcPr>
            <w:tcW w:w="3960" w:type="dxa"/>
            <w:vAlign w:val="center"/>
          </w:tcPr>
          <w:p>
            <w:pPr>
              <w:spacing w:before="60" w:after="60"/>
              <w:jc w:val="center"/>
              <w:rPr>
                <w:noProof/>
              </w:rPr>
            </w:pPr>
            <w:r>
              <w:rPr>
                <w:noProof/>
                <w:sz w:val="22"/>
              </w:rPr>
              <w:t>GD: MARE</w:t>
            </w:r>
          </w:p>
        </w:tc>
        <w:tc>
          <w:tcPr>
            <w:tcW w:w="1777" w:type="dxa"/>
            <w:gridSpan w:val="2"/>
          </w:tcPr>
          <w:p>
            <w:pPr>
              <w:spacing w:before="60" w:after="60"/>
              <w:jc w:val="center"/>
              <w:rPr>
                <w:noProof/>
                <w:sz w:val="22"/>
              </w:rPr>
            </w:pPr>
          </w:p>
        </w:tc>
      </w:tr>
      <w:tr>
        <w:trPr>
          <w:trHeight w:val="313"/>
        </w:trPr>
        <w:tc>
          <w:tcPr>
            <w:tcW w:w="6054" w:type="dxa"/>
            <w:gridSpan w:val="4"/>
            <w:vAlign w:val="center"/>
          </w:tcPr>
          <w:p>
            <w:pPr>
              <w:spacing w:before="20" w:after="20"/>
              <w:rPr>
                <w:noProof/>
              </w:rPr>
            </w:pPr>
            <w:r>
              <w:rPr>
                <w:noProof/>
                <w:sz w:val="22"/>
              </w:rPr>
              <w:sym w:font="Wingdings" w:char="F09F"/>
            </w:r>
            <w:r>
              <w:rPr>
                <w:noProof/>
                <w:sz w:val="22"/>
              </w:rPr>
              <w:t xml:space="preserve"> Menneskelige ressourcer</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881" w:type="dxa"/>
          </w:tcPr>
          <w:p>
            <w:pPr>
              <w:spacing w:before="20" w:after="20"/>
              <w:jc w:val="right"/>
              <w:rPr>
                <w:b/>
                <w:noProof/>
                <w:sz w:val="20"/>
              </w:rPr>
            </w:pPr>
          </w:p>
        </w:tc>
        <w:tc>
          <w:tcPr>
            <w:tcW w:w="2673" w:type="dxa"/>
            <w:vAlign w:val="center"/>
          </w:tcPr>
          <w:p>
            <w:pPr>
              <w:spacing w:before="20" w:after="20"/>
              <w:jc w:val="right"/>
              <w:rPr>
                <w:b/>
                <w:noProof/>
                <w:sz w:val="20"/>
              </w:rPr>
            </w:pPr>
          </w:p>
        </w:tc>
      </w:tr>
      <w:tr>
        <w:trPr>
          <w:trHeight w:val="351"/>
        </w:trPr>
        <w:tc>
          <w:tcPr>
            <w:tcW w:w="6054" w:type="dxa"/>
            <w:gridSpan w:val="4"/>
            <w:vAlign w:val="center"/>
          </w:tcPr>
          <w:p>
            <w:pPr>
              <w:spacing w:before="20" w:after="20"/>
              <w:rPr>
                <w:noProof/>
              </w:rPr>
            </w:pPr>
            <w:r>
              <w:rPr>
                <w:noProof/>
                <w:sz w:val="22"/>
              </w:rPr>
              <w:sym w:font="Wingdings" w:char="F09F"/>
            </w:r>
            <w:r>
              <w:rPr>
                <w:noProof/>
                <w:sz w:val="22"/>
              </w:rPr>
              <w:t xml:space="preserve"> Andre administrationsudgifter</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81" w:type="dxa"/>
          </w:tcPr>
          <w:p>
            <w:pPr>
              <w:spacing w:before="20" w:after="20"/>
              <w:jc w:val="right"/>
              <w:rPr>
                <w:b/>
                <w:noProof/>
                <w:sz w:val="20"/>
              </w:rPr>
            </w:pPr>
          </w:p>
        </w:tc>
        <w:tc>
          <w:tcPr>
            <w:tcW w:w="2673"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I ALT GD</w:t>
            </w:r>
            <w:r>
              <w:rPr>
                <w:noProof/>
                <w:sz w:val="22"/>
              </w:rPr>
              <w:t xml:space="preserve"> MARE</w:t>
            </w:r>
          </w:p>
        </w:tc>
        <w:tc>
          <w:tcPr>
            <w:tcW w:w="2094" w:type="dxa"/>
            <w:gridSpan w:val="3"/>
            <w:vAlign w:val="center"/>
          </w:tcPr>
          <w:p>
            <w:pPr>
              <w:rPr>
                <w:noProof/>
                <w:sz w:val="14"/>
              </w:rPr>
            </w:pPr>
            <w:r>
              <w:rPr>
                <w:noProof/>
                <w:sz w:val="18"/>
              </w:rPr>
              <w:t xml:space="preserve">Bevillinger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881" w:type="dxa"/>
          </w:tcPr>
          <w:p>
            <w:pPr>
              <w:spacing w:before="20" w:after="20"/>
              <w:jc w:val="right"/>
              <w:rPr>
                <w:b/>
                <w:noProof/>
                <w:sz w:val="20"/>
              </w:rPr>
            </w:pPr>
          </w:p>
        </w:tc>
        <w:tc>
          <w:tcPr>
            <w:tcW w:w="2673"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81"/>
      </w:tblGrid>
      <w:tr>
        <w:tc>
          <w:tcPr>
            <w:tcW w:w="3960" w:type="dxa"/>
            <w:shd w:val="thinDiagStripe" w:color="C0C0C0" w:fill="auto"/>
            <w:vAlign w:val="center"/>
          </w:tcPr>
          <w:p>
            <w:pPr>
              <w:jc w:val="center"/>
              <w:rPr>
                <w:b/>
                <w:noProof/>
              </w:rPr>
            </w:pPr>
            <w:r>
              <w:rPr>
                <w:b/>
                <w:noProof/>
                <w:sz w:val="22"/>
              </w:rPr>
              <w:t>Bevillinger I ALT</w:t>
            </w:r>
            <w:r>
              <w:rPr>
                <w:noProof/>
                <w:sz w:val="22"/>
              </w:rPr>
              <w:br/>
            </w:r>
            <w:r>
              <w:rPr>
                <w:b/>
                <w:noProof/>
                <w:sz w:val="22"/>
              </w:rPr>
              <w:t>under UDGIFTSOMRÅDE 5</w:t>
            </w:r>
            <w:r>
              <w:rPr>
                <w:noProof/>
                <w:sz w:val="22"/>
              </w:rPr>
              <w:br/>
              <w:t>i den flerårige finansielle ramme</w:t>
            </w:r>
            <w:r>
              <w:rPr>
                <w:b/>
                <w:noProof/>
                <w:sz w:val="22"/>
              </w:rPr>
              <w:t xml:space="preserve"> </w:t>
            </w:r>
          </w:p>
        </w:tc>
        <w:tc>
          <w:tcPr>
            <w:tcW w:w="2094" w:type="dxa"/>
            <w:vAlign w:val="center"/>
          </w:tcPr>
          <w:p>
            <w:pPr>
              <w:spacing w:before="40" w:after="40"/>
              <w:rPr>
                <w:noProof/>
              </w:rPr>
            </w:pPr>
            <w:r>
              <w:rPr>
                <w:noProof/>
                <w:sz w:val="18"/>
              </w:rPr>
              <w:t>(Forpligtelser i alt = betalinger i alt)</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81" w:type="dxa"/>
            <w:vAlign w:val="center"/>
          </w:tcPr>
          <w:p>
            <w:pPr>
              <w:spacing w:before="20" w:after="20"/>
              <w:jc w:val="right"/>
              <w:rPr>
                <w:b/>
                <w:noProof/>
                <w:sz w:val="20"/>
              </w:rPr>
            </w:pPr>
          </w:p>
        </w:tc>
      </w:tr>
    </w:tbl>
    <w:p>
      <w:pPr>
        <w:jc w:val="right"/>
        <w:rPr>
          <w:noProof/>
          <w:sz w:val="20"/>
        </w:rPr>
      </w:pPr>
      <w:r>
        <w:rPr>
          <w:noProof/>
          <w:sz w:val="20"/>
        </w:rPr>
        <w:t>i mio. EUR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81"/>
        <w:gridCol w:w="2673"/>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2020</w:t>
            </w:r>
          </w:p>
        </w:tc>
        <w:tc>
          <w:tcPr>
            <w:tcW w:w="868" w:type="dxa"/>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68" w:type="dxa"/>
            <w:vAlign w:val="center"/>
          </w:tcPr>
          <w:p>
            <w:pPr>
              <w:jc w:val="center"/>
              <w:rPr>
                <w:noProof/>
                <w:sz w:val="20"/>
              </w:rPr>
            </w:pPr>
            <w:r>
              <w:rPr>
                <w:b/>
                <w:noProof/>
                <w:sz w:val="20"/>
              </w:rPr>
              <w:t>2023</w:t>
            </w:r>
          </w:p>
        </w:tc>
        <w:tc>
          <w:tcPr>
            <w:tcW w:w="868" w:type="dxa"/>
            <w:vAlign w:val="center"/>
          </w:tcPr>
          <w:p>
            <w:pPr>
              <w:jc w:val="center"/>
              <w:rPr>
                <w:b/>
                <w:noProof/>
                <w:sz w:val="18"/>
              </w:rPr>
            </w:pPr>
            <w:r>
              <w:rPr>
                <w:b/>
                <w:noProof/>
                <w:sz w:val="20"/>
              </w:rPr>
              <w:t>2024</w:t>
            </w:r>
          </w:p>
        </w:tc>
        <w:tc>
          <w:tcPr>
            <w:tcW w:w="881" w:type="dxa"/>
          </w:tcPr>
          <w:p>
            <w:pPr>
              <w:jc w:val="center"/>
              <w:rPr>
                <w:b/>
                <w:noProof/>
                <w:sz w:val="20"/>
              </w:rPr>
            </w:pPr>
            <w:r>
              <w:rPr>
                <w:b/>
                <w:noProof/>
                <w:sz w:val="20"/>
              </w:rPr>
              <w:t>2025</w:t>
            </w:r>
          </w:p>
        </w:tc>
        <w:tc>
          <w:tcPr>
            <w:tcW w:w="2673" w:type="dxa"/>
            <w:vAlign w:val="center"/>
          </w:tcPr>
          <w:p>
            <w:pPr>
              <w:jc w:val="center"/>
              <w:rPr>
                <w:b/>
                <w:noProof/>
                <w:sz w:val="20"/>
              </w:rPr>
            </w:pPr>
            <w:r>
              <w:rPr>
                <w:b/>
                <w:noProof/>
                <w:sz w:val="20"/>
              </w:rPr>
              <w:t>I ALT</w:t>
            </w:r>
          </w:p>
        </w:tc>
      </w:tr>
      <w:tr>
        <w:tc>
          <w:tcPr>
            <w:tcW w:w="3960" w:type="dxa"/>
            <w:vMerge w:val="restart"/>
            <w:shd w:val="clear" w:color="auto" w:fill="C0C0C0"/>
            <w:vAlign w:val="center"/>
          </w:tcPr>
          <w:p>
            <w:pPr>
              <w:jc w:val="center"/>
              <w:rPr>
                <w:b/>
                <w:noProof/>
              </w:rPr>
            </w:pPr>
            <w:r>
              <w:rPr>
                <w:b/>
                <w:noProof/>
                <w:sz w:val="22"/>
              </w:rPr>
              <w:t>Bevillinger I ALT</w:t>
            </w:r>
            <w:r>
              <w:rPr>
                <w:noProof/>
                <w:sz w:val="22"/>
              </w:rPr>
              <w:br/>
            </w:r>
            <w:r>
              <w:rPr>
                <w:b/>
                <w:noProof/>
                <w:sz w:val="22"/>
              </w:rPr>
              <w:t>under UDGIFTSOMRÅDE 1-5</w:t>
            </w:r>
            <w:r>
              <w:rPr>
                <w:noProof/>
                <w:sz w:val="22"/>
              </w:rPr>
              <w:br/>
              <w:t>i den flerårige finansielle ramme</w:t>
            </w:r>
            <w:r>
              <w:rPr>
                <w:b/>
                <w:noProof/>
                <w:sz w:val="22"/>
              </w:rPr>
              <w:t xml:space="preserve"> </w:t>
            </w:r>
          </w:p>
        </w:tc>
        <w:tc>
          <w:tcPr>
            <w:tcW w:w="2094" w:type="dxa"/>
            <w:gridSpan w:val="2"/>
            <w:vAlign w:val="center"/>
          </w:tcPr>
          <w:p>
            <w:pPr>
              <w:rPr>
                <w:noProof/>
                <w:sz w:val="14"/>
              </w:rPr>
            </w:pPr>
            <w:r>
              <w:rPr>
                <w:noProof/>
                <w:sz w:val="18"/>
              </w:rPr>
              <w:t>Forpligtelser</w:t>
            </w:r>
          </w:p>
        </w:tc>
        <w:tc>
          <w:tcPr>
            <w:tcW w:w="868" w:type="dxa"/>
            <w:vAlign w:val="center"/>
          </w:tcPr>
          <w:p>
            <w:pPr>
              <w:spacing w:before="60" w:after="60"/>
              <w:jc w:val="right"/>
              <w:rPr>
                <w:noProof/>
                <w:sz w:val="20"/>
              </w:rPr>
            </w:pPr>
            <w:r>
              <w:rPr>
                <w:noProof/>
                <w:sz w:val="20"/>
              </w:rPr>
              <w:t>5,30</w:t>
            </w:r>
          </w:p>
        </w:tc>
        <w:tc>
          <w:tcPr>
            <w:tcW w:w="868" w:type="dxa"/>
            <w:vAlign w:val="center"/>
          </w:tcPr>
          <w:p>
            <w:pPr>
              <w:spacing w:before="60" w:after="60"/>
              <w:jc w:val="right"/>
              <w:rPr>
                <w:noProof/>
                <w:sz w:val="20"/>
              </w:rPr>
            </w:pPr>
            <w:r>
              <w:rPr>
                <w:noProof/>
                <w:sz w:val="20"/>
              </w:rPr>
              <w:t>5,30</w:t>
            </w:r>
          </w:p>
        </w:tc>
        <w:tc>
          <w:tcPr>
            <w:tcW w:w="868" w:type="dxa"/>
            <w:vAlign w:val="center"/>
          </w:tcPr>
          <w:p>
            <w:pPr>
              <w:spacing w:before="60" w:after="60"/>
              <w:jc w:val="right"/>
              <w:rPr>
                <w:noProof/>
                <w:sz w:val="20"/>
              </w:rPr>
            </w:pPr>
            <w:r>
              <w:rPr>
                <w:noProof/>
                <w:sz w:val="20"/>
              </w:rPr>
              <w:t>5,30</w:t>
            </w:r>
          </w:p>
        </w:tc>
        <w:tc>
          <w:tcPr>
            <w:tcW w:w="868" w:type="dxa"/>
            <w:vAlign w:val="center"/>
          </w:tcPr>
          <w:p>
            <w:pPr>
              <w:spacing w:before="60" w:after="60"/>
              <w:jc w:val="right"/>
              <w:rPr>
                <w:noProof/>
                <w:sz w:val="20"/>
              </w:rPr>
            </w:pPr>
            <w:r>
              <w:rPr>
                <w:noProof/>
                <w:sz w:val="20"/>
              </w:rPr>
              <w:t>5,30</w:t>
            </w:r>
          </w:p>
        </w:tc>
        <w:tc>
          <w:tcPr>
            <w:tcW w:w="868" w:type="dxa"/>
            <w:vAlign w:val="center"/>
          </w:tcPr>
          <w:p>
            <w:pPr>
              <w:spacing w:before="60" w:after="60"/>
              <w:jc w:val="right"/>
              <w:rPr>
                <w:b/>
                <w:noProof/>
                <w:sz w:val="20"/>
              </w:rPr>
            </w:pPr>
            <w:r>
              <w:rPr>
                <w:noProof/>
                <w:sz w:val="20"/>
              </w:rPr>
              <w:t>5,30</w:t>
            </w:r>
          </w:p>
        </w:tc>
        <w:tc>
          <w:tcPr>
            <w:tcW w:w="881" w:type="dxa"/>
          </w:tcPr>
          <w:p>
            <w:pPr>
              <w:spacing w:before="60" w:after="60"/>
              <w:jc w:val="right"/>
              <w:rPr>
                <w:b/>
                <w:noProof/>
                <w:sz w:val="20"/>
              </w:rPr>
            </w:pPr>
            <w:r>
              <w:rPr>
                <w:noProof/>
                <w:sz w:val="20"/>
              </w:rPr>
              <w:t>5,30</w:t>
            </w:r>
          </w:p>
        </w:tc>
        <w:tc>
          <w:tcPr>
            <w:tcW w:w="2673" w:type="dxa"/>
            <w:vAlign w:val="center"/>
          </w:tcPr>
          <w:p>
            <w:pPr>
              <w:spacing w:before="60" w:after="60"/>
              <w:jc w:val="right"/>
              <w:rPr>
                <w:b/>
                <w:noProof/>
                <w:sz w:val="20"/>
              </w:rPr>
            </w:pPr>
            <w:r>
              <w:rPr>
                <w:b/>
                <w:noProof/>
                <w:sz w:val="20"/>
              </w:rPr>
              <w:t>31,8</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Betalinger</w:t>
            </w:r>
          </w:p>
        </w:tc>
        <w:tc>
          <w:tcPr>
            <w:tcW w:w="868" w:type="dxa"/>
            <w:vAlign w:val="center"/>
          </w:tcPr>
          <w:p>
            <w:pPr>
              <w:spacing w:before="60" w:after="60"/>
              <w:jc w:val="right"/>
              <w:rPr>
                <w:noProof/>
                <w:sz w:val="20"/>
              </w:rPr>
            </w:pPr>
            <w:r>
              <w:rPr>
                <w:noProof/>
                <w:sz w:val="20"/>
              </w:rPr>
              <w:t>5,30</w:t>
            </w:r>
          </w:p>
        </w:tc>
        <w:tc>
          <w:tcPr>
            <w:tcW w:w="868" w:type="dxa"/>
            <w:vAlign w:val="center"/>
          </w:tcPr>
          <w:p>
            <w:pPr>
              <w:spacing w:before="60" w:after="60"/>
              <w:jc w:val="right"/>
              <w:rPr>
                <w:noProof/>
                <w:sz w:val="20"/>
              </w:rPr>
            </w:pPr>
            <w:r>
              <w:rPr>
                <w:noProof/>
                <w:sz w:val="20"/>
              </w:rPr>
              <w:t>5,30</w:t>
            </w:r>
          </w:p>
        </w:tc>
        <w:tc>
          <w:tcPr>
            <w:tcW w:w="868" w:type="dxa"/>
            <w:vAlign w:val="center"/>
          </w:tcPr>
          <w:p>
            <w:pPr>
              <w:spacing w:before="60" w:after="60"/>
              <w:jc w:val="right"/>
              <w:rPr>
                <w:noProof/>
                <w:sz w:val="20"/>
              </w:rPr>
            </w:pPr>
            <w:r>
              <w:rPr>
                <w:noProof/>
                <w:sz w:val="20"/>
              </w:rPr>
              <w:t>5,30</w:t>
            </w:r>
          </w:p>
        </w:tc>
        <w:tc>
          <w:tcPr>
            <w:tcW w:w="868" w:type="dxa"/>
            <w:vAlign w:val="center"/>
          </w:tcPr>
          <w:p>
            <w:pPr>
              <w:spacing w:before="60" w:after="60"/>
              <w:jc w:val="right"/>
              <w:rPr>
                <w:noProof/>
                <w:sz w:val="20"/>
              </w:rPr>
            </w:pPr>
            <w:r>
              <w:rPr>
                <w:noProof/>
                <w:sz w:val="20"/>
              </w:rPr>
              <w:t>5,30</w:t>
            </w:r>
          </w:p>
        </w:tc>
        <w:tc>
          <w:tcPr>
            <w:tcW w:w="868" w:type="dxa"/>
            <w:vAlign w:val="center"/>
          </w:tcPr>
          <w:p>
            <w:pPr>
              <w:spacing w:before="60" w:after="60"/>
              <w:jc w:val="right"/>
              <w:rPr>
                <w:b/>
                <w:noProof/>
                <w:sz w:val="20"/>
              </w:rPr>
            </w:pPr>
            <w:r>
              <w:rPr>
                <w:noProof/>
                <w:sz w:val="20"/>
              </w:rPr>
              <w:t>5,30</w:t>
            </w:r>
          </w:p>
        </w:tc>
        <w:tc>
          <w:tcPr>
            <w:tcW w:w="881" w:type="dxa"/>
          </w:tcPr>
          <w:p>
            <w:pPr>
              <w:spacing w:before="60" w:after="60"/>
              <w:jc w:val="right"/>
              <w:rPr>
                <w:b/>
                <w:noProof/>
                <w:sz w:val="20"/>
              </w:rPr>
            </w:pPr>
            <w:r>
              <w:rPr>
                <w:noProof/>
                <w:sz w:val="20"/>
              </w:rPr>
              <w:t>5,30</w:t>
            </w:r>
          </w:p>
        </w:tc>
        <w:tc>
          <w:tcPr>
            <w:tcW w:w="2673" w:type="dxa"/>
            <w:vAlign w:val="center"/>
          </w:tcPr>
          <w:p>
            <w:pPr>
              <w:spacing w:before="60" w:after="60"/>
              <w:jc w:val="right"/>
              <w:rPr>
                <w:b/>
                <w:noProof/>
                <w:sz w:val="20"/>
              </w:rPr>
            </w:pPr>
            <w:r>
              <w:rPr>
                <w:b/>
                <w:noProof/>
                <w:sz w:val="20"/>
              </w:rPr>
              <w:t>31,8</w:t>
            </w:r>
          </w:p>
        </w:tc>
      </w:tr>
    </w:tbl>
    <w:p>
      <w:pPr>
        <w:rPr>
          <w:noProof/>
        </w:rPr>
      </w:pPr>
    </w:p>
    <w:p>
      <w:pPr>
        <w:pStyle w:val="ManualHeading3"/>
        <w:rPr>
          <w:bCs/>
          <w:noProof/>
          <w:szCs w:val="24"/>
        </w:rPr>
      </w:pPr>
      <w:r>
        <w:rPr>
          <w:noProof/>
        </w:rPr>
        <w:t>3.2.2.</w:t>
      </w:r>
      <w:r>
        <w:rPr>
          <w:noProof/>
        </w:rPr>
        <w:tab/>
        <w:t xml:space="preserve">Anslåede resultater finansieret med aktionsbevillinger </w:t>
      </w:r>
    </w:p>
    <w:p>
      <w:pPr>
        <w:jc w:val="right"/>
        <w:rPr>
          <w:noProof/>
          <w:sz w:val="20"/>
        </w:rPr>
      </w:pPr>
      <w:r>
        <w:rPr>
          <w:noProof/>
          <w:sz w:val="20"/>
        </w:rPr>
        <w:t>Forpligtelsesbevillinger i mio. EUR (tre decimaler)</w:t>
      </w:r>
    </w:p>
    <w:tbl>
      <w:tblPr>
        <w:tblW w:w="12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1416"/>
        <w:gridCol w:w="6"/>
        <w:gridCol w:w="888"/>
        <w:gridCol w:w="12"/>
        <w:gridCol w:w="513"/>
        <w:gridCol w:w="6"/>
        <w:gridCol w:w="147"/>
        <w:gridCol w:w="351"/>
        <w:gridCol w:w="6"/>
        <w:gridCol w:w="714"/>
        <w:gridCol w:w="6"/>
        <w:gridCol w:w="534"/>
        <w:gridCol w:w="6"/>
        <w:gridCol w:w="714"/>
        <w:gridCol w:w="6"/>
        <w:gridCol w:w="714"/>
        <w:gridCol w:w="6"/>
        <w:gridCol w:w="714"/>
        <w:gridCol w:w="6"/>
        <w:gridCol w:w="894"/>
        <w:gridCol w:w="6"/>
        <w:gridCol w:w="717"/>
        <w:gridCol w:w="6"/>
        <w:gridCol w:w="534"/>
        <w:gridCol w:w="6"/>
        <w:gridCol w:w="702"/>
        <w:gridCol w:w="12"/>
        <w:gridCol w:w="930"/>
        <w:gridCol w:w="12"/>
        <w:gridCol w:w="1272"/>
        <w:gridCol w:w="6"/>
        <w:gridCol w:w="894"/>
        <w:gridCol w:w="6"/>
        <w:gridCol w:w="12"/>
      </w:tblGrid>
      <w:tr>
        <w:trPr>
          <w:gridBefore w:val="1"/>
          <w:wBefore w:w="6" w:type="dxa"/>
          <w:jc w:val="center"/>
        </w:trPr>
        <w:tc>
          <w:tcPr>
            <w:tcW w:w="1422" w:type="dxa"/>
            <w:gridSpan w:val="2"/>
            <w:vMerge w:val="restart"/>
            <w:vAlign w:val="center"/>
          </w:tcPr>
          <w:p>
            <w:pPr>
              <w:ind w:right="-29"/>
              <w:jc w:val="center"/>
              <w:rPr>
                <w:b/>
                <w:noProof/>
                <w:sz w:val="18"/>
                <w:szCs w:val="18"/>
              </w:rPr>
            </w:pPr>
            <w:r>
              <w:rPr>
                <w:b/>
                <w:noProof/>
                <w:sz w:val="18"/>
              </w:rPr>
              <w:t xml:space="preserve">Der angives mål og resultater </w:t>
            </w:r>
          </w:p>
          <w:p>
            <w:pPr>
              <w:ind w:right="-29"/>
              <w:jc w:val="center"/>
              <w:rPr>
                <w:b/>
                <w:noProof/>
                <w:sz w:val="18"/>
                <w:szCs w:val="18"/>
              </w:rPr>
            </w:pPr>
          </w:p>
          <w:p>
            <w:pPr>
              <w:ind w:right="-29"/>
              <w:jc w:val="center"/>
              <w:rPr>
                <w:noProof/>
                <w:sz w:val="18"/>
                <w:szCs w:val="18"/>
              </w:rPr>
            </w:pPr>
            <w:r>
              <w:rPr>
                <w:noProof/>
                <w:sz w:val="18"/>
              </w:rPr>
              <w:sym w:font="Wingdings" w:char="F0F2"/>
            </w:r>
          </w:p>
        </w:tc>
        <w:tc>
          <w:tcPr>
            <w:tcW w:w="900" w:type="dxa"/>
            <w:gridSpan w:val="2"/>
            <w:vAlign w:val="center"/>
          </w:tcPr>
          <w:p>
            <w:pPr>
              <w:ind w:right="-29"/>
              <w:jc w:val="center"/>
              <w:rPr>
                <w:noProof/>
                <w:sz w:val="18"/>
                <w:szCs w:val="18"/>
              </w:rPr>
            </w:pPr>
          </w:p>
        </w:tc>
        <w:tc>
          <w:tcPr>
            <w:tcW w:w="519" w:type="dxa"/>
            <w:gridSpan w:val="2"/>
            <w:vAlign w:val="center"/>
          </w:tcPr>
          <w:p>
            <w:pPr>
              <w:ind w:right="-29"/>
              <w:jc w:val="center"/>
              <w:rPr>
                <w:noProof/>
                <w:sz w:val="18"/>
                <w:szCs w:val="18"/>
              </w:rPr>
            </w:pPr>
          </w:p>
        </w:tc>
        <w:tc>
          <w:tcPr>
            <w:tcW w:w="1224" w:type="dxa"/>
            <w:gridSpan w:val="5"/>
            <w:tcBorders>
              <w:left w:val="nil"/>
            </w:tcBorders>
            <w:vAlign w:val="center"/>
          </w:tcPr>
          <w:p>
            <w:pPr>
              <w:ind w:right="-29"/>
              <w:jc w:val="center"/>
              <w:rPr>
                <w:noProof/>
                <w:sz w:val="18"/>
                <w:szCs w:val="18"/>
              </w:rPr>
            </w:pPr>
            <w:r>
              <w:rPr>
                <w:b/>
                <w:noProof/>
                <w:sz w:val="18"/>
              </w:rPr>
              <w:t>2020</w:t>
            </w:r>
          </w:p>
        </w:tc>
        <w:tc>
          <w:tcPr>
            <w:tcW w:w="1260" w:type="dxa"/>
            <w:gridSpan w:val="4"/>
            <w:vAlign w:val="center"/>
          </w:tcPr>
          <w:p>
            <w:pPr>
              <w:ind w:right="-29"/>
              <w:jc w:val="center"/>
              <w:rPr>
                <w:noProof/>
                <w:sz w:val="18"/>
                <w:szCs w:val="18"/>
              </w:rPr>
            </w:pPr>
            <w:r>
              <w:rPr>
                <w:b/>
                <w:noProof/>
                <w:sz w:val="18"/>
              </w:rPr>
              <w:t>2021</w:t>
            </w:r>
          </w:p>
        </w:tc>
        <w:tc>
          <w:tcPr>
            <w:tcW w:w="1440" w:type="dxa"/>
            <w:gridSpan w:val="4"/>
            <w:vAlign w:val="center"/>
          </w:tcPr>
          <w:p>
            <w:pPr>
              <w:ind w:right="-29"/>
              <w:jc w:val="center"/>
              <w:rPr>
                <w:noProof/>
                <w:sz w:val="18"/>
                <w:szCs w:val="18"/>
              </w:rPr>
            </w:pPr>
            <w:r>
              <w:rPr>
                <w:b/>
                <w:noProof/>
                <w:sz w:val="18"/>
              </w:rPr>
              <w:t>2022</w:t>
            </w:r>
          </w:p>
        </w:tc>
        <w:tc>
          <w:tcPr>
            <w:tcW w:w="1623" w:type="dxa"/>
            <w:gridSpan w:val="4"/>
            <w:vAlign w:val="center"/>
          </w:tcPr>
          <w:p>
            <w:pPr>
              <w:ind w:right="-29"/>
              <w:jc w:val="center"/>
              <w:rPr>
                <w:noProof/>
                <w:sz w:val="18"/>
                <w:szCs w:val="18"/>
              </w:rPr>
            </w:pPr>
            <w:r>
              <w:rPr>
                <w:b/>
                <w:noProof/>
                <w:sz w:val="18"/>
              </w:rPr>
              <w:t>2023</w:t>
            </w:r>
          </w:p>
        </w:tc>
        <w:tc>
          <w:tcPr>
            <w:tcW w:w="1254" w:type="dxa"/>
            <w:gridSpan w:val="4"/>
            <w:vAlign w:val="center"/>
          </w:tcPr>
          <w:p>
            <w:pPr>
              <w:jc w:val="center"/>
              <w:rPr>
                <w:noProof/>
                <w:sz w:val="18"/>
                <w:szCs w:val="18"/>
              </w:rPr>
            </w:pPr>
            <w:r>
              <w:rPr>
                <w:b/>
                <w:noProof/>
                <w:sz w:val="18"/>
              </w:rPr>
              <w:t>2024</w:t>
            </w:r>
          </w:p>
        </w:tc>
        <w:tc>
          <w:tcPr>
            <w:tcW w:w="942" w:type="dxa"/>
            <w:gridSpan w:val="2"/>
            <w:tcBorders>
              <w:right w:val="nil"/>
            </w:tcBorders>
          </w:tcPr>
          <w:p>
            <w:pPr>
              <w:ind w:right="-29"/>
              <w:jc w:val="center"/>
              <w:rPr>
                <w:b/>
                <w:noProof/>
                <w:sz w:val="18"/>
              </w:rPr>
            </w:pPr>
            <w:r>
              <w:rPr>
                <w:b/>
                <w:noProof/>
                <w:sz w:val="18"/>
              </w:rPr>
              <w:t>2025</w:t>
            </w:r>
          </w:p>
        </w:tc>
        <w:tc>
          <w:tcPr>
            <w:tcW w:w="2190" w:type="dxa"/>
            <w:gridSpan w:val="5"/>
            <w:tcBorders>
              <w:left w:val="nil"/>
              <w:bottom w:val="nil"/>
            </w:tcBorders>
            <w:vAlign w:val="center"/>
          </w:tcPr>
          <w:p>
            <w:pPr>
              <w:ind w:right="-29"/>
              <w:jc w:val="center"/>
              <w:rPr>
                <w:noProof/>
                <w:sz w:val="18"/>
                <w:szCs w:val="18"/>
              </w:rPr>
            </w:pPr>
            <w:r>
              <w:rPr>
                <w:b/>
                <w:noProof/>
                <w:sz w:val="18"/>
              </w:rPr>
              <w:t>I ALT</w:t>
            </w:r>
          </w:p>
        </w:tc>
      </w:tr>
      <w:tr>
        <w:trPr>
          <w:gridBefore w:val="1"/>
          <w:gridAfter w:val="27"/>
          <w:wBefore w:w="6" w:type="dxa"/>
          <w:wAfter w:w="9786" w:type="dxa"/>
          <w:trHeight w:val="465"/>
          <w:jc w:val="center"/>
        </w:trPr>
        <w:tc>
          <w:tcPr>
            <w:tcW w:w="1422" w:type="dxa"/>
            <w:gridSpan w:val="2"/>
            <w:vMerge/>
            <w:vAlign w:val="center"/>
          </w:tcPr>
          <w:p>
            <w:pPr>
              <w:ind w:right="-29"/>
              <w:jc w:val="center"/>
              <w:rPr>
                <w:noProof/>
                <w:sz w:val="18"/>
                <w:szCs w:val="18"/>
              </w:rPr>
            </w:pPr>
          </w:p>
        </w:tc>
        <w:tc>
          <w:tcPr>
            <w:tcW w:w="1566" w:type="dxa"/>
            <w:gridSpan w:val="5"/>
          </w:tcPr>
          <w:p>
            <w:pPr>
              <w:ind w:right="-29"/>
              <w:jc w:val="center"/>
              <w:rPr>
                <w:noProof/>
                <w:sz w:val="18"/>
                <w:szCs w:val="18"/>
              </w:rPr>
            </w:pPr>
          </w:p>
        </w:tc>
      </w:tr>
      <w:tr>
        <w:trPr>
          <w:gridBefore w:val="1"/>
          <w:gridAfter w:val="1"/>
          <w:wBefore w:w="6" w:type="dxa"/>
          <w:wAfter w:w="12" w:type="dxa"/>
          <w:cantSplit/>
          <w:trHeight w:val="1134"/>
          <w:jc w:val="center"/>
        </w:trPr>
        <w:tc>
          <w:tcPr>
            <w:tcW w:w="1422" w:type="dxa"/>
            <w:gridSpan w:val="2"/>
            <w:vMerge/>
            <w:vAlign w:val="center"/>
          </w:tcPr>
          <w:p>
            <w:pPr>
              <w:rPr>
                <w:noProof/>
                <w:sz w:val="18"/>
                <w:szCs w:val="18"/>
              </w:rPr>
            </w:pPr>
          </w:p>
        </w:tc>
        <w:tc>
          <w:tcPr>
            <w:tcW w:w="900" w:type="dxa"/>
            <w:gridSpan w:val="2"/>
            <w:vAlign w:val="center"/>
          </w:tcPr>
          <w:p>
            <w:pPr>
              <w:jc w:val="center"/>
              <w:rPr>
                <w:noProof/>
                <w:sz w:val="18"/>
                <w:szCs w:val="18"/>
              </w:rPr>
            </w:pPr>
            <w:r>
              <w:rPr>
                <w:noProof/>
                <w:sz w:val="18"/>
              </w:rPr>
              <w:t>Type</w:t>
            </w:r>
            <w:r>
              <w:rPr>
                <w:rStyle w:val="FootnoteReference"/>
                <w:noProof/>
                <w:sz w:val="18"/>
              </w:rPr>
              <w:footnoteReference w:id="16"/>
            </w:r>
          </w:p>
          <w:p>
            <w:pPr>
              <w:spacing w:before="0" w:after="0"/>
              <w:jc w:val="center"/>
              <w:rPr>
                <w:noProof/>
                <w:sz w:val="18"/>
                <w:szCs w:val="18"/>
              </w:rPr>
            </w:pPr>
          </w:p>
        </w:tc>
        <w:tc>
          <w:tcPr>
            <w:tcW w:w="519" w:type="dxa"/>
            <w:gridSpan w:val="2"/>
            <w:vAlign w:val="center"/>
          </w:tcPr>
          <w:p>
            <w:pPr>
              <w:jc w:val="center"/>
              <w:rPr>
                <w:noProof/>
                <w:sz w:val="18"/>
                <w:szCs w:val="18"/>
              </w:rPr>
            </w:pPr>
            <w:r>
              <w:rPr>
                <w:noProof/>
                <w:sz w:val="18"/>
              </w:rPr>
              <w:t>Resul</w:t>
            </w:r>
            <w:r>
              <w:rPr>
                <w:noProof/>
                <w:sz w:val="18"/>
              </w:rPr>
              <w:softHyphen/>
              <w:t>taternes gnsntl. om</w:t>
            </w:r>
            <w:r>
              <w:rPr>
                <w:noProof/>
                <w:sz w:val="18"/>
              </w:rPr>
              <w:softHyphen/>
              <w:t>kost</w:t>
            </w:r>
            <w:r>
              <w:rPr>
                <w:noProof/>
                <w:sz w:val="18"/>
              </w:rPr>
              <w:softHyphen/>
              <w:t>ninger</w:t>
            </w:r>
          </w:p>
        </w:tc>
        <w:tc>
          <w:tcPr>
            <w:tcW w:w="504" w:type="dxa"/>
            <w:gridSpan w:val="3"/>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Om</w:t>
            </w:r>
            <w:r>
              <w:rPr>
                <w:noProof/>
                <w:sz w:val="18"/>
              </w:rPr>
              <w:softHyphen/>
              <w:t>kost</w:t>
            </w:r>
            <w:r>
              <w:rPr>
                <w:noProof/>
                <w:sz w:val="18"/>
              </w:rPr>
              <w:softHyphen/>
              <w:t>ninger</w:t>
            </w:r>
          </w:p>
        </w:tc>
        <w:tc>
          <w:tcPr>
            <w:tcW w:w="54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Om</w:t>
            </w:r>
            <w:r>
              <w:rPr>
                <w:noProof/>
                <w:sz w:val="18"/>
              </w:rPr>
              <w:softHyphen/>
              <w:t>kost</w:t>
            </w:r>
            <w:r>
              <w:rPr>
                <w:noProof/>
                <w:sz w:val="18"/>
              </w:rPr>
              <w:softHyphen/>
              <w:t>ninger</w:t>
            </w:r>
          </w:p>
        </w:tc>
        <w:tc>
          <w:tcPr>
            <w:tcW w:w="72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Om</w:t>
            </w:r>
            <w:r>
              <w:rPr>
                <w:noProof/>
                <w:sz w:val="18"/>
              </w:rPr>
              <w:softHyphen/>
              <w:t>kost</w:t>
            </w:r>
            <w:r>
              <w:rPr>
                <w:noProof/>
                <w:sz w:val="18"/>
              </w:rPr>
              <w:softHyphen/>
              <w:t>ninger</w:t>
            </w:r>
          </w:p>
        </w:tc>
        <w:tc>
          <w:tcPr>
            <w:tcW w:w="90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3" w:type="dxa"/>
            <w:gridSpan w:val="2"/>
            <w:tcBorders>
              <w:left w:val="dashSmallGap" w:sz="4" w:space="0" w:color="auto"/>
            </w:tcBorders>
            <w:shd w:val="pct10" w:color="auto" w:fill="auto"/>
            <w:vAlign w:val="center"/>
          </w:tcPr>
          <w:p>
            <w:pPr>
              <w:jc w:val="center"/>
              <w:rPr>
                <w:noProof/>
                <w:sz w:val="18"/>
                <w:szCs w:val="18"/>
              </w:rPr>
            </w:pPr>
            <w:r>
              <w:rPr>
                <w:noProof/>
                <w:sz w:val="18"/>
              </w:rPr>
              <w:t>Om</w:t>
            </w:r>
            <w:r>
              <w:rPr>
                <w:noProof/>
                <w:sz w:val="18"/>
              </w:rPr>
              <w:softHyphen/>
              <w:t>kost</w:t>
            </w:r>
            <w:r>
              <w:rPr>
                <w:noProof/>
                <w:sz w:val="18"/>
              </w:rPr>
              <w:softHyphen/>
              <w:t>ninger</w:t>
            </w:r>
          </w:p>
        </w:tc>
        <w:tc>
          <w:tcPr>
            <w:tcW w:w="54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14" w:type="dxa"/>
            <w:gridSpan w:val="2"/>
            <w:tcBorders>
              <w:left w:val="dashSmallGap" w:sz="4" w:space="0" w:color="auto"/>
            </w:tcBorders>
            <w:shd w:val="pct10" w:color="auto" w:fill="auto"/>
            <w:vAlign w:val="center"/>
          </w:tcPr>
          <w:p>
            <w:pPr>
              <w:jc w:val="center"/>
              <w:rPr>
                <w:noProof/>
                <w:sz w:val="18"/>
                <w:szCs w:val="18"/>
              </w:rPr>
            </w:pPr>
            <w:r>
              <w:rPr>
                <w:noProof/>
                <w:sz w:val="18"/>
              </w:rPr>
              <w:t>Om</w:t>
            </w:r>
            <w:r>
              <w:rPr>
                <w:noProof/>
                <w:sz w:val="18"/>
              </w:rPr>
              <w:softHyphen/>
              <w:t>kost</w:t>
            </w:r>
            <w:r>
              <w:rPr>
                <w:noProof/>
                <w:sz w:val="18"/>
              </w:rPr>
              <w:softHyphen/>
              <w:t>ninger</w:t>
            </w:r>
          </w:p>
        </w:tc>
        <w:tc>
          <w:tcPr>
            <w:tcW w:w="942" w:type="dxa"/>
            <w:gridSpan w:val="2"/>
            <w:shd w:val="pct10" w:color="auto" w:fill="auto"/>
          </w:tcPr>
          <w:p>
            <w:pPr>
              <w:jc w:val="center"/>
              <w:rPr>
                <w:noProof/>
                <w:sz w:val="18"/>
              </w:rPr>
            </w:pPr>
          </w:p>
        </w:tc>
        <w:tc>
          <w:tcPr>
            <w:tcW w:w="1278" w:type="dxa"/>
            <w:gridSpan w:val="2"/>
            <w:tcBorders>
              <w:right w:val="dashSmallGap" w:sz="4" w:space="0" w:color="auto"/>
            </w:tcBorders>
            <w:shd w:val="pct10" w:color="auto" w:fill="auto"/>
            <w:vAlign w:val="center"/>
          </w:tcPr>
          <w:p>
            <w:pPr>
              <w:jc w:val="center"/>
              <w:rPr>
                <w:noProof/>
                <w:sz w:val="18"/>
                <w:szCs w:val="18"/>
              </w:rPr>
            </w:pPr>
            <w:r>
              <w:rPr>
                <w:noProof/>
                <w:sz w:val="18"/>
              </w:rPr>
              <w:t>Antal resultater i alt</w:t>
            </w:r>
          </w:p>
        </w:tc>
        <w:tc>
          <w:tcPr>
            <w:tcW w:w="900" w:type="dxa"/>
            <w:gridSpan w:val="2"/>
            <w:tcBorders>
              <w:left w:val="dashSmallGap" w:sz="4" w:space="0" w:color="auto"/>
            </w:tcBorders>
            <w:shd w:val="pct10" w:color="auto" w:fill="auto"/>
            <w:vAlign w:val="center"/>
          </w:tcPr>
          <w:p>
            <w:pPr>
              <w:jc w:val="center"/>
              <w:rPr>
                <w:noProof/>
                <w:sz w:val="18"/>
                <w:szCs w:val="18"/>
              </w:rPr>
            </w:pPr>
            <w:r>
              <w:rPr>
                <w:noProof/>
                <w:sz w:val="18"/>
              </w:rPr>
              <w:t>Om</w:t>
            </w:r>
            <w:r>
              <w:rPr>
                <w:noProof/>
                <w:sz w:val="18"/>
              </w:rPr>
              <w:softHyphen/>
              <w:t>kost</w:t>
            </w:r>
            <w:r>
              <w:rPr>
                <w:noProof/>
                <w:sz w:val="18"/>
              </w:rPr>
              <w:softHyphen/>
              <w:t>ninger i alt</w:t>
            </w:r>
          </w:p>
        </w:tc>
      </w:tr>
      <w:tr>
        <w:trPr>
          <w:gridAfter w:val="2"/>
          <w:wAfter w:w="18" w:type="dxa"/>
          <w:jc w:val="center"/>
        </w:trPr>
        <w:tc>
          <w:tcPr>
            <w:tcW w:w="2841" w:type="dxa"/>
            <w:gridSpan w:val="6"/>
            <w:vAlign w:val="center"/>
          </w:tcPr>
          <w:p>
            <w:pPr>
              <w:spacing w:before="60" w:after="60"/>
              <w:ind w:right="-29"/>
              <w:jc w:val="center"/>
              <w:rPr>
                <w:noProof/>
                <w:sz w:val="18"/>
                <w:szCs w:val="18"/>
              </w:rPr>
            </w:pPr>
            <w:r>
              <w:rPr>
                <w:noProof/>
                <w:sz w:val="18"/>
              </w:rPr>
              <w:t>SPECIFIKT MÅL NR. 1</w:t>
            </w:r>
            <w:r>
              <w:rPr>
                <w:rStyle w:val="FootnoteReference"/>
                <w:noProof/>
                <w:sz w:val="18"/>
              </w:rPr>
              <w:footnoteReference w:id="17"/>
            </w:r>
            <w:r>
              <w:rPr>
                <w:noProof/>
                <w:sz w:val="18"/>
              </w:rPr>
              <w:t>...</w:t>
            </w:r>
          </w:p>
        </w:tc>
        <w:tc>
          <w:tcPr>
            <w:tcW w:w="504" w:type="dxa"/>
            <w:gridSpan w:val="3"/>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gridSpan w:val="2"/>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900" w:type="dxa"/>
            <w:gridSpan w:val="2"/>
            <w:tcBorders>
              <w:top w:val="nil"/>
              <w:left w:val="nil"/>
              <w:bottom w:val="nil"/>
              <w:right w:val="nil"/>
            </w:tcBorders>
          </w:tcPr>
          <w:p>
            <w:pPr>
              <w:spacing w:before="60" w:after="60"/>
              <w:ind w:right="-29"/>
              <w:jc w:val="center"/>
              <w:rPr>
                <w:noProof/>
                <w:sz w:val="18"/>
                <w:szCs w:val="18"/>
              </w:rPr>
            </w:pPr>
          </w:p>
        </w:tc>
        <w:tc>
          <w:tcPr>
            <w:tcW w:w="723" w:type="dxa"/>
            <w:gridSpan w:val="2"/>
            <w:tcBorders>
              <w:top w:val="nil"/>
              <w:left w:val="nil"/>
              <w:bottom w:val="nil"/>
              <w:right w:val="nil"/>
            </w:tcBorders>
          </w:tcPr>
          <w:p>
            <w:pPr>
              <w:spacing w:before="60" w:after="60"/>
              <w:ind w:right="-29"/>
              <w:jc w:val="center"/>
              <w:rPr>
                <w:noProof/>
                <w:sz w:val="18"/>
                <w:szCs w:val="18"/>
              </w:rPr>
            </w:pPr>
          </w:p>
        </w:tc>
        <w:tc>
          <w:tcPr>
            <w:tcW w:w="540" w:type="dxa"/>
            <w:gridSpan w:val="2"/>
            <w:tcBorders>
              <w:top w:val="nil"/>
              <w:left w:val="nil"/>
              <w:bottom w:val="nil"/>
              <w:right w:val="nil"/>
            </w:tcBorders>
          </w:tcPr>
          <w:p>
            <w:pPr>
              <w:spacing w:before="60" w:after="60"/>
              <w:ind w:right="-29"/>
              <w:jc w:val="center"/>
              <w:rPr>
                <w:noProof/>
                <w:sz w:val="18"/>
                <w:szCs w:val="18"/>
              </w:rPr>
            </w:pPr>
          </w:p>
        </w:tc>
        <w:tc>
          <w:tcPr>
            <w:tcW w:w="708" w:type="dxa"/>
            <w:gridSpan w:val="2"/>
            <w:tcBorders>
              <w:top w:val="nil"/>
              <w:left w:val="nil"/>
              <w:bottom w:val="nil"/>
              <w:right w:val="nil"/>
            </w:tcBorders>
          </w:tcPr>
          <w:p>
            <w:pPr>
              <w:spacing w:before="60" w:after="60"/>
              <w:ind w:right="-29"/>
              <w:jc w:val="center"/>
              <w:rPr>
                <w:noProof/>
                <w:sz w:val="18"/>
                <w:szCs w:val="18"/>
              </w:rPr>
            </w:pPr>
          </w:p>
        </w:tc>
        <w:tc>
          <w:tcPr>
            <w:tcW w:w="942" w:type="dxa"/>
            <w:gridSpan w:val="2"/>
            <w:tcBorders>
              <w:top w:val="nil"/>
              <w:left w:val="nil"/>
              <w:bottom w:val="nil"/>
              <w:right w:val="nil"/>
            </w:tcBorders>
          </w:tcPr>
          <w:p>
            <w:pPr>
              <w:spacing w:before="60" w:after="60"/>
              <w:ind w:right="-29"/>
              <w:jc w:val="center"/>
              <w:rPr>
                <w:noProof/>
                <w:sz w:val="18"/>
                <w:szCs w:val="18"/>
              </w:rPr>
            </w:pPr>
          </w:p>
        </w:tc>
        <w:tc>
          <w:tcPr>
            <w:tcW w:w="1284" w:type="dxa"/>
            <w:gridSpan w:val="2"/>
            <w:tcBorders>
              <w:top w:val="nil"/>
              <w:left w:val="nil"/>
              <w:bottom w:val="nil"/>
              <w:right w:val="nil"/>
            </w:tcBorders>
          </w:tcPr>
          <w:p>
            <w:pPr>
              <w:spacing w:before="60" w:after="60"/>
              <w:ind w:right="-29"/>
              <w:jc w:val="center"/>
              <w:rPr>
                <w:noProof/>
                <w:sz w:val="18"/>
                <w:szCs w:val="18"/>
              </w:rPr>
            </w:pPr>
          </w:p>
        </w:tc>
        <w:tc>
          <w:tcPr>
            <w:tcW w:w="900" w:type="dxa"/>
            <w:gridSpan w:val="2"/>
            <w:tcBorders>
              <w:top w:val="nil"/>
              <w:left w:val="nil"/>
              <w:bottom w:val="nil"/>
              <w:right w:val="nil"/>
            </w:tcBorders>
          </w:tcPr>
          <w:p>
            <w:pPr>
              <w:spacing w:before="60" w:after="60"/>
              <w:ind w:right="-29"/>
              <w:jc w:val="center"/>
              <w:rPr>
                <w:noProof/>
                <w:sz w:val="18"/>
                <w:szCs w:val="18"/>
              </w:rPr>
            </w:pPr>
          </w:p>
        </w:tc>
      </w:tr>
      <w:tr>
        <w:trPr>
          <w:gridAfter w:val="2"/>
          <w:wAfter w:w="18" w:type="dxa"/>
          <w:trHeight w:hRule="exact" w:val="369"/>
          <w:jc w:val="center"/>
        </w:trPr>
        <w:tc>
          <w:tcPr>
            <w:tcW w:w="1422" w:type="dxa"/>
            <w:gridSpan w:val="2"/>
          </w:tcPr>
          <w:p>
            <w:pPr>
              <w:ind w:right="-29"/>
              <w:jc w:val="center"/>
              <w:rPr>
                <w:noProof/>
                <w:sz w:val="18"/>
                <w:szCs w:val="18"/>
              </w:rPr>
            </w:pPr>
            <w:r>
              <w:rPr>
                <w:noProof/>
                <w:sz w:val="18"/>
              </w:rPr>
              <w:t xml:space="preserve">— Adgang </w:t>
            </w:r>
          </w:p>
        </w:tc>
        <w:tc>
          <w:tcPr>
            <w:tcW w:w="894" w:type="dxa"/>
            <w:gridSpan w:val="2"/>
          </w:tcPr>
          <w:p>
            <w:pPr>
              <w:ind w:right="-29"/>
              <w:jc w:val="center"/>
              <w:rPr>
                <w:noProof/>
                <w:sz w:val="18"/>
                <w:szCs w:val="18"/>
              </w:rPr>
            </w:pPr>
            <w:r>
              <w:rPr>
                <w:noProof/>
                <w:sz w:val="18"/>
                <w:szCs w:val="18"/>
              </w:rPr>
              <w:t>Årligt</w:t>
            </w:r>
          </w:p>
        </w:tc>
        <w:tc>
          <w:tcPr>
            <w:tcW w:w="525" w:type="dxa"/>
            <w:gridSpan w:val="2"/>
          </w:tcPr>
          <w:p>
            <w:pPr>
              <w:ind w:right="-29"/>
              <w:jc w:val="center"/>
              <w:rPr>
                <w:noProof/>
                <w:sz w:val="18"/>
                <w:szCs w:val="18"/>
              </w:rPr>
            </w:pPr>
          </w:p>
        </w:tc>
        <w:tc>
          <w:tcPr>
            <w:tcW w:w="504" w:type="dxa"/>
            <w:gridSpan w:val="3"/>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2,5</w:t>
            </w:r>
          </w:p>
        </w:tc>
        <w:tc>
          <w:tcPr>
            <w:tcW w:w="540"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2,5</w:t>
            </w:r>
          </w:p>
        </w:tc>
        <w:tc>
          <w:tcPr>
            <w:tcW w:w="720"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2,5</w:t>
            </w:r>
          </w:p>
        </w:tc>
        <w:tc>
          <w:tcPr>
            <w:tcW w:w="900" w:type="dxa"/>
            <w:gridSpan w:val="2"/>
            <w:tcBorders>
              <w:right w:val="dashSmallGap" w:sz="4" w:space="0" w:color="auto"/>
            </w:tcBorders>
          </w:tcPr>
          <w:p>
            <w:pPr>
              <w:ind w:right="-29"/>
              <w:jc w:val="center"/>
              <w:rPr>
                <w:noProof/>
                <w:sz w:val="18"/>
                <w:szCs w:val="18"/>
              </w:rPr>
            </w:pPr>
          </w:p>
        </w:tc>
        <w:tc>
          <w:tcPr>
            <w:tcW w:w="723" w:type="dxa"/>
            <w:gridSpan w:val="2"/>
            <w:tcBorders>
              <w:left w:val="dashSmallGap" w:sz="4" w:space="0" w:color="auto"/>
            </w:tcBorders>
          </w:tcPr>
          <w:p>
            <w:pPr>
              <w:ind w:right="-29"/>
              <w:jc w:val="center"/>
              <w:rPr>
                <w:noProof/>
                <w:sz w:val="18"/>
                <w:szCs w:val="18"/>
              </w:rPr>
            </w:pPr>
            <w:r>
              <w:rPr>
                <w:noProof/>
                <w:sz w:val="18"/>
                <w:szCs w:val="18"/>
              </w:rPr>
              <w:t>2,5</w:t>
            </w:r>
          </w:p>
        </w:tc>
        <w:tc>
          <w:tcPr>
            <w:tcW w:w="540" w:type="dxa"/>
            <w:gridSpan w:val="2"/>
            <w:tcBorders>
              <w:right w:val="dashSmallGap" w:sz="4" w:space="0" w:color="auto"/>
            </w:tcBorders>
          </w:tcPr>
          <w:p>
            <w:pPr>
              <w:ind w:right="-29"/>
              <w:jc w:val="center"/>
              <w:rPr>
                <w:noProof/>
                <w:sz w:val="18"/>
                <w:szCs w:val="18"/>
              </w:rPr>
            </w:pPr>
          </w:p>
        </w:tc>
        <w:tc>
          <w:tcPr>
            <w:tcW w:w="708" w:type="dxa"/>
            <w:gridSpan w:val="2"/>
            <w:tcBorders>
              <w:left w:val="dashSmallGap" w:sz="4" w:space="0" w:color="auto"/>
            </w:tcBorders>
          </w:tcPr>
          <w:p>
            <w:pPr>
              <w:ind w:right="-29"/>
              <w:jc w:val="center"/>
              <w:rPr>
                <w:noProof/>
                <w:sz w:val="18"/>
                <w:szCs w:val="18"/>
              </w:rPr>
            </w:pPr>
            <w:r>
              <w:rPr>
                <w:noProof/>
                <w:sz w:val="18"/>
                <w:szCs w:val="18"/>
              </w:rPr>
              <w:t>2,5</w:t>
            </w:r>
          </w:p>
        </w:tc>
        <w:tc>
          <w:tcPr>
            <w:tcW w:w="942" w:type="dxa"/>
            <w:gridSpan w:val="2"/>
          </w:tcPr>
          <w:p>
            <w:pPr>
              <w:ind w:right="-29"/>
              <w:jc w:val="center"/>
              <w:rPr>
                <w:noProof/>
                <w:sz w:val="18"/>
                <w:szCs w:val="18"/>
              </w:rPr>
            </w:pPr>
            <w:r>
              <w:rPr>
                <w:noProof/>
                <w:sz w:val="18"/>
                <w:szCs w:val="18"/>
              </w:rPr>
              <w:t>2,5</w:t>
            </w:r>
          </w:p>
        </w:tc>
        <w:tc>
          <w:tcPr>
            <w:tcW w:w="1284" w:type="dxa"/>
            <w:gridSpan w:val="2"/>
          </w:tcPr>
          <w:p>
            <w:pPr>
              <w:ind w:right="-29"/>
              <w:jc w:val="center"/>
              <w:rPr>
                <w:noProof/>
                <w:sz w:val="18"/>
                <w:szCs w:val="18"/>
              </w:rPr>
            </w:pPr>
          </w:p>
        </w:tc>
        <w:tc>
          <w:tcPr>
            <w:tcW w:w="900" w:type="dxa"/>
            <w:gridSpan w:val="2"/>
          </w:tcPr>
          <w:p>
            <w:pPr>
              <w:ind w:right="-29"/>
              <w:jc w:val="center"/>
              <w:rPr>
                <w:noProof/>
                <w:sz w:val="18"/>
                <w:szCs w:val="18"/>
              </w:rPr>
            </w:pPr>
            <w:r>
              <w:rPr>
                <w:noProof/>
                <w:sz w:val="18"/>
                <w:szCs w:val="18"/>
              </w:rPr>
              <w:t>15,00</w:t>
            </w:r>
          </w:p>
        </w:tc>
      </w:tr>
      <w:tr>
        <w:trPr>
          <w:gridAfter w:val="2"/>
          <w:wAfter w:w="18" w:type="dxa"/>
          <w:trHeight w:hRule="exact" w:val="369"/>
          <w:jc w:val="center"/>
        </w:trPr>
        <w:tc>
          <w:tcPr>
            <w:tcW w:w="1422" w:type="dxa"/>
            <w:gridSpan w:val="2"/>
          </w:tcPr>
          <w:p>
            <w:pPr>
              <w:ind w:right="-29"/>
              <w:jc w:val="center"/>
              <w:rPr>
                <w:noProof/>
                <w:sz w:val="18"/>
                <w:szCs w:val="18"/>
              </w:rPr>
            </w:pPr>
            <w:r>
              <w:rPr>
                <w:noProof/>
                <w:sz w:val="18"/>
              </w:rPr>
              <w:t>— Sektorstøtte</w:t>
            </w:r>
          </w:p>
        </w:tc>
        <w:tc>
          <w:tcPr>
            <w:tcW w:w="894" w:type="dxa"/>
            <w:gridSpan w:val="2"/>
          </w:tcPr>
          <w:p>
            <w:pPr>
              <w:ind w:right="-29"/>
              <w:jc w:val="center"/>
              <w:rPr>
                <w:noProof/>
                <w:sz w:val="18"/>
                <w:szCs w:val="18"/>
              </w:rPr>
            </w:pPr>
            <w:r>
              <w:rPr>
                <w:noProof/>
                <w:sz w:val="18"/>
                <w:szCs w:val="18"/>
              </w:rPr>
              <w:t>Årligt</w:t>
            </w:r>
          </w:p>
        </w:tc>
        <w:tc>
          <w:tcPr>
            <w:tcW w:w="525" w:type="dxa"/>
            <w:gridSpan w:val="2"/>
          </w:tcPr>
          <w:p>
            <w:pPr>
              <w:ind w:right="-29"/>
              <w:jc w:val="center"/>
              <w:rPr>
                <w:noProof/>
                <w:sz w:val="18"/>
                <w:szCs w:val="18"/>
              </w:rPr>
            </w:pPr>
          </w:p>
        </w:tc>
        <w:tc>
          <w:tcPr>
            <w:tcW w:w="504" w:type="dxa"/>
            <w:gridSpan w:val="3"/>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2,8</w:t>
            </w:r>
          </w:p>
        </w:tc>
        <w:tc>
          <w:tcPr>
            <w:tcW w:w="540"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2,8</w:t>
            </w:r>
          </w:p>
        </w:tc>
        <w:tc>
          <w:tcPr>
            <w:tcW w:w="720"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2,8</w:t>
            </w:r>
          </w:p>
        </w:tc>
        <w:tc>
          <w:tcPr>
            <w:tcW w:w="900" w:type="dxa"/>
            <w:gridSpan w:val="2"/>
            <w:tcBorders>
              <w:right w:val="dashSmallGap" w:sz="4" w:space="0" w:color="auto"/>
            </w:tcBorders>
          </w:tcPr>
          <w:p>
            <w:pPr>
              <w:ind w:right="-29"/>
              <w:jc w:val="center"/>
              <w:rPr>
                <w:noProof/>
                <w:sz w:val="18"/>
                <w:szCs w:val="18"/>
              </w:rPr>
            </w:pPr>
          </w:p>
        </w:tc>
        <w:tc>
          <w:tcPr>
            <w:tcW w:w="723" w:type="dxa"/>
            <w:gridSpan w:val="2"/>
            <w:tcBorders>
              <w:left w:val="dashSmallGap" w:sz="4" w:space="0" w:color="auto"/>
            </w:tcBorders>
          </w:tcPr>
          <w:p>
            <w:pPr>
              <w:ind w:right="-29"/>
              <w:jc w:val="center"/>
              <w:rPr>
                <w:noProof/>
                <w:sz w:val="18"/>
                <w:szCs w:val="18"/>
              </w:rPr>
            </w:pPr>
            <w:r>
              <w:rPr>
                <w:noProof/>
                <w:sz w:val="18"/>
                <w:szCs w:val="18"/>
              </w:rPr>
              <w:t>2,8</w:t>
            </w:r>
          </w:p>
        </w:tc>
        <w:tc>
          <w:tcPr>
            <w:tcW w:w="540" w:type="dxa"/>
            <w:gridSpan w:val="2"/>
            <w:tcBorders>
              <w:right w:val="dashSmallGap" w:sz="4" w:space="0" w:color="auto"/>
            </w:tcBorders>
          </w:tcPr>
          <w:p>
            <w:pPr>
              <w:ind w:right="-29"/>
              <w:jc w:val="center"/>
              <w:rPr>
                <w:noProof/>
                <w:sz w:val="18"/>
                <w:szCs w:val="18"/>
              </w:rPr>
            </w:pPr>
          </w:p>
        </w:tc>
        <w:tc>
          <w:tcPr>
            <w:tcW w:w="708" w:type="dxa"/>
            <w:gridSpan w:val="2"/>
            <w:tcBorders>
              <w:left w:val="dashSmallGap" w:sz="4" w:space="0" w:color="auto"/>
            </w:tcBorders>
          </w:tcPr>
          <w:p>
            <w:pPr>
              <w:ind w:right="-29"/>
              <w:jc w:val="center"/>
              <w:rPr>
                <w:noProof/>
                <w:sz w:val="18"/>
                <w:szCs w:val="18"/>
              </w:rPr>
            </w:pPr>
            <w:r>
              <w:rPr>
                <w:noProof/>
                <w:sz w:val="18"/>
                <w:szCs w:val="18"/>
              </w:rPr>
              <w:t>2,8</w:t>
            </w:r>
          </w:p>
        </w:tc>
        <w:tc>
          <w:tcPr>
            <w:tcW w:w="942" w:type="dxa"/>
            <w:gridSpan w:val="2"/>
          </w:tcPr>
          <w:p>
            <w:pPr>
              <w:ind w:right="-29"/>
              <w:jc w:val="center"/>
              <w:rPr>
                <w:noProof/>
                <w:sz w:val="18"/>
                <w:szCs w:val="18"/>
              </w:rPr>
            </w:pPr>
            <w:r>
              <w:rPr>
                <w:noProof/>
                <w:sz w:val="18"/>
                <w:szCs w:val="18"/>
              </w:rPr>
              <w:t>2,8</w:t>
            </w:r>
          </w:p>
        </w:tc>
        <w:tc>
          <w:tcPr>
            <w:tcW w:w="1284" w:type="dxa"/>
            <w:gridSpan w:val="2"/>
          </w:tcPr>
          <w:p>
            <w:pPr>
              <w:ind w:right="-29"/>
              <w:jc w:val="center"/>
              <w:rPr>
                <w:noProof/>
                <w:sz w:val="18"/>
                <w:szCs w:val="18"/>
              </w:rPr>
            </w:pPr>
          </w:p>
        </w:tc>
        <w:tc>
          <w:tcPr>
            <w:tcW w:w="900" w:type="dxa"/>
            <w:gridSpan w:val="2"/>
          </w:tcPr>
          <w:p>
            <w:pPr>
              <w:ind w:right="-29"/>
              <w:jc w:val="center"/>
              <w:rPr>
                <w:noProof/>
                <w:sz w:val="18"/>
                <w:szCs w:val="18"/>
              </w:rPr>
            </w:pPr>
            <w:r>
              <w:rPr>
                <w:noProof/>
                <w:sz w:val="18"/>
                <w:szCs w:val="18"/>
              </w:rPr>
              <w:t>16,80</w:t>
            </w:r>
          </w:p>
        </w:tc>
      </w:tr>
      <w:tr>
        <w:trPr>
          <w:gridAfter w:val="2"/>
          <w:wAfter w:w="18" w:type="dxa"/>
          <w:trHeight w:hRule="exact" w:val="369"/>
          <w:jc w:val="center"/>
        </w:trPr>
        <w:tc>
          <w:tcPr>
            <w:tcW w:w="1422" w:type="dxa"/>
            <w:gridSpan w:val="2"/>
          </w:tcPr>
          <w:p>
            <w:pPr>
              <w:ind w:right="-29"/>
              <w:jc w:val="center"/>
              <w:rPr>
                <w:noProof/>
                <w:sz w:val="18"/>
                <w:szCs w:val="18"/>
              </w:rPr>
            </w:pPr>
            <w:r>
              <w:rPr>
                <w:noProof/>
                <w:sz w:val="18"/>
              </w:rPr>
              <w:t>— Resultat</w:t>
            </w:r>
          </w:p>
        </w:tc>
        <w:tc>
          <w:tcPr>
            <w:tcW w:w="894" w:type="dxa"/>
            <w:gridSpan w:val="2"/>
          </w:tcPr>
          <w:p>
            <w:pPr>
              <w:ind w:right="-29"/>
              <w:jc w:val="center"/>
              <w:rPr>
                <w:noProof/>
                <w:sz w:val="18"/>
                <w:szCs w:val="18"/>
              </w:rPr>
            </w:pPr>
          </w:p>
        </w:tc>
        <w:tc>
          <w:tcPr>
            <w:tcW w:w="525" w:type="dxa"/>
            <w:gridSpan w:val="2"/>
          </w:tcPr>
          <w:p>
            <w:pPr>
              <w:ind w:right="-29"/>
              <w:jc w:val="center"/>
              <w:rPr>
                <w:noProof/>
                <w:sz w:val="18"/>
                <w:szCs w:val="18"/>
              </w:rPr>
            </w:pPr>
          </w:p>
        </w:tc>
        <w:tc>
          <w:tcPr>
            <w:tcW w:w="504" w:type="dxa"/>
            <w:gridSpan w:val="3"/>
          </w:tcPr>
          <w:p>
            <w:pPr>
              <w:ind w:right="-29"/>
              <w:jc w:val="center"/>
              <w:rPr>
                <w:noProof/>
                <w:sz w:val="18"/>
                <w:szCs w:val="18"/>
              </w:rPr>
            </w:pPr>
          </w:p>
        </w:tc>
        <w:tc>
          <w:tcPr>
            <w:tcW w:w="720" w:type="dxa"/>
            <w:gridSpan w:val="2"/>
          </w:tcPr>
          <w:p>
            <w:pPr>
              <w:ind w:right="-29"/>
              <w:jc w:val="center"/>
              <w:rPr>
                <w:noProof/>
                <w:sz w:val="18"/>
                <w:szCs w:val="18"/>
              </w:rPr>
            </w:pPr>
          </w:p>
        </w:tc>
        <w:tc>
          <w:tcPr>
            <w:tcW w:w="540" w:type="dxa"/>
            <w:gridSpan w:val="2"/>
          </w:tcPr>
          <w:p>
            <w:pPr>
              <w:ind w:right="-29"/>
              <w:jc w:val="center"/>
              <w:rPr>
                <w:noProof/>
                <w:sz w:val="18"/>
                <w:szCs w:val="18"/>
              </w:rPr>
            </w:pPr>
          </w:p>
        </w:tc>
        <w:tc>
          <w:tcPr>
            <w:tcW w:w="720" w:type="dxa"/>
            <w:gridSpan w:val="2"/>
          </w:tcPr>
          <w:p>
            <w:pPr>
              <w:ind w:right="-29"/>
              <w:jc w:val="center"/>
              <w:rPr>
                <w:noProof/>
                <w:sz w:val="18"/>
                <w:szCs w:val="18"/>
              </w:rPr>
            </w:pPr>
          </w:p>
        </w:tc>
        <w:tc>
          <w:tcPr>
            <w:tcW w:w="720" w:type="dxa"/>
            <w:gridSpan w:val="2"/>
          </w:tcPr>
          <w:p>
            <w:pPr>
              <w:ind w:right="-29"/>
              <w:jc w:val="center"/>
              <w:rPr>
                <w:noProof/>
                <w:sz w:val="18"/>
                <w:szCs w:val="18"/>
              </w:rPr>
            </w:pPr>
          </w:p>
        </w:tc>
        <w:tc>
          <w:tcPr>
            <w:tcW w:w="720" w:type="dxa"/>
            <w:gridSpan w:val="2"/>
          </w:tcPr>
          <w:p>
            <w:pPr>
              <w:ind w:right="-29"/>
              <w:jc w:val="center"/>
              <w:rPr>
                <w:noProof/>
                <w:sz w:val="18"/>
                <w:szCs w:val="18"/>
              </w:rPr>
            </w:pPr>
          </w:p>
        </w:tc>
        <w:tc>
          <w:tcPr>
            <w:tcW w:w="900" w:type="dxa"/>
            <w:gridSpan w:val="2"/>
          </w:tcPr>
          <w:p>
            <w:pPr>
              <w:ind w:right="-29"/>
              <w:jc w:val="center"/>
              <w:rPr>
                <w:noProof/>
                <w:sz w:val="18"/>
                <w:szCs w:val="18"/>
              </w:rPr>
            </w:pPr>
          </w:p>
        </w:tc>
        <w:tc>
          <w:tcPr>
            <w:tcW w:w="723" w:type="dxa"/>
            <w:gridSpan w:val="2"/>
          </w:tcPr>
          <w:p>
            <w:pPr>
              <w:ind w:right="-29"/>
              <w:jc w:val="center"/>
              <w:rPr>
                <w:noProof/>
                <w:sz w:val="18"/>
                <w:szCs w:val="18"/>
              </w:rPr>
            </w:pPr>
          </w:p>
        </w:tc>
        <w:tc>
          <w:tcPr>
            <w:tcW w:w="540" w:type="dxa"/>
            <w:gridSpan w:val="2"/>
          </w:tcPr>
          <w:p>
            <w:pPr>
              <w:ind w:right="-29"/>
              <w:jc w:val="center"/>
              <w:rPr>
                <w:noProof/>
                <w:sz w:val="18"/>
                <w:szCs w:val="18"/>
              </w:rPr>
            </w:pPr>
          </w:p>
        </w:tc>
        <w:tc>
          <w:tcPr>
            <w:tcW w:w="708" w:type="dxa"/>
            <w:gridSpan w:val="2"/>
          </w:tcPr>
          <w:p>
            <w:pPr>
              <w:ind w:right="-29"/>
              <w:jc w:val="center"/>
              <w:rPr>
                <w:noProof/>
                <w:sz w:val="18"/>
                <w:szCs w:val="18"/>
              </w:rPr>
            </w:pPr>
          </w:p>
        </w:tc>
        <w:tc>
          <w:tcPr>
            <w:tcW w:w="942" w:type="dxa"/>
            <w:gridSpan w:val="2"/>
          </w:tcPr>
          <w:p>
            <w:pPr>
              <w:ind w:right="-29"/>
              <w:jc w:val="center"/>
              <w:rPr>
                <w:noProof/>
                <w:sz w:val="18"/>
                <w:szCs w:val="18"/>
              </w:rPr>
            </w:pPr>
          </w:p>
        </w:tc>
        <w:tc>
          <w:tcPr>
            <w:tcW w:w="1284" w:type="dxa"/>
            <w:gridSpan w:val="2"/>
          </w:tcPr>
          <w:p>
            <w:pPr>
              <w:ind w:right="-29"/>
              <w:jc w:val="center"/>
              <w:rPr>
                <w:noProof/>
                <w:sz w:val="18"/>
                <w:szCs w:val="18"/>
              </w:rPr>
            </w:pPr>
          </w:p>
        </w:tc>
        <w:tc>
          <w:tcPr>
            <w:tcW w:w="900" w:type="dxa"/>
            <w:gridSpan w:val="2"/>
          </w:tcPr>
          <w:p>
            <w:pPr>
              <w:ind w:right="-29"/>
              <w:jc w:val="center"/>
              <w:rPr>
                <w:noProof/>
                <w:sz w:val="18"/>
                <w:szCs w:val="18"/>
              </w:rPr>
            </w:pPr>
          </w:p>
        </w:tc>
      </w:tr>
      <w:tr>
        <w:trPr>
          <w:gridAfter w:val="2"/>
          <w:wAfter w:w="18" w:type="dxa"/>
          <w:trHeight w:val="77"/>
          <w:jc w:val="center"/>
        </w:trPr>
        <w:tc>
          <w:tcPr>
            <w:tcW w:w="2841" w:type="dxa"/>
            <w:gridSpan w:val="6"/>
            <w:tcBorders>
              <w:bottom w:val="single" w:sz="12" w:space="0" w:color="auto"/>
            </w:tcBorders>
            <w:vAlign w:val="center"/>
          </w:tcPr>
          <w:p>
            <w:pPr>
              <w:ind w:right="-29"/>
              <w:jc w:val="center"/>
              <w:rPr>
                <w:noProof/>
                <w:sz w:val="18"/>
                <w:szCs w:val="18"/>
              </w:rPr>
            </w:pPr>
            <w:r>
              <w:rPr>
                <w:noProof/>
                <w:sz w:val="18"/>
              </w:rPr>
              <w:t>Subtotal for specifikt mål nr. 1</w:t>
            </w:r>
          </w:p>
        </w:tc>
        <w:tc>
          <w:tcPr>
            <w:tcW w:w="504" w:type="dxa"/>
            <w:gridSpan w:val="3"/>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gridSpan w:val="2"/>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900" w:type="dxa"/>
            <w:gridSpan w:val="2"/>
            <w:tcBorders>
              <w:bottom w:val="single" w:sz="12" w:space="0" w:color="auto"/>
            </w:tcBorders>
          </w:tcPr>
          <w:p>
            <w:pPr>
              <w:ind w:right="-29"/>
              <w:jc w:val="center"/>
              <w:rPr>
                <w:noProof/>
                <w:sz w:val="18"/>
                <w:szCs w:val="18"/>
              </w:rPr>
            </w:pPr>
          </w:p>
        </w:tc>
        <w:tc>
          <w:tcPr>
            <w:tcW w:w="723" w:type="dxa"/>
            <w:gridSpan w:val="2"/>
            <w:tcBorders>
              <w:bottom w:val="single" w:sz="12" w:space="0" w:color="auto"/>
            </w:tcBorders>
          </w:tcPr>
          <w:p>
            <w:pPr>
              <w:ind w:right="-29"/>
              <w:jc w:val="center"/>
              <w:rPr>
                <w:noProof/>
                <w:sz w:val="18"/>
                <w:szCs w:val="18"/>
              </w:rPr>
            </w:pPr>
          </w:p>
        </w:tc>
        <w:tc>
          <w:tcPr>
            <w:tcW w:w="540" w:type="dxa"/>
            <w:gridSpan w:val="2"/>
            <w:tcBorders>
              <w:bottom w:val="single" w:sz="12" w:space="0" w:color="auto"/>
            </w:tcBorders>
          </w:tcPr>
          <w:p>
            <w:pPr>
              <w:ind w:right="-29"/>
              <w:jc w:val="center"/>
              <w:rPr>
                <w:noProof/>
                <w:sz w:val="18"/>
                <w:szCs w:val="18"/>
              </w:rPr>
            </w:pPr>
          </w:p>
        </w:tc>
        <w:tc>
          <w:tcPr>
            <w:tcW w:w="708" w:type="dxa"/>
            <w:gridSpan w:val="2"/>
            <w:tcBorders>
              <w:bottom w:val="single" w:sz="12" w:space="0" w:color="auto"/>
            </w:tcBorders>
          </w:tcPr>
          <w:p>
            <w:pPr>
              <w:ind w:right="-29"/>
              <w:jc w:val="center"/>
              <w:rPr>
                <w:noProof/>
                <w:sz w:val="18"/>
                <w:szCs w:val="18"/>
              </w:rPr>
            </w:pPr>
          </w:p>
        </w:tc>
        <w:tc>
          <w:tcPr>
            <w:tcW w:w="942" w:type="dxa"/>
            <w:gridSpan w:val="2"/>
            <w:tcBorders>
              <w:bottom w:val="single" w:sz="12" w:space="0" w:color="auto"/>
            </w:tcBorders>
          </w:tcPr>
          <w:p>
            <w:pPr>
              <w:ind w:right="-29"/>
              <w:jc w:val="center"/>
              <w:rPr>
                <w:noProof/>
                <w:sz w:val="18"/>
                <w:szCs w:val="18"/>
              </w:rPr>
            </w:pPr>
          </w:p>
        </w:tc>
        <w:tc>
          <w:tcPr>
            <w:tcW w:w="1284" w:type="dxa"/>
            <w:gridSpan w:val="2"/>
            <w:tcBorders>
              <w:bottom w:val="single" w:sz="12" w:space="0" w:color="auto"/>
            </w:tcBorders>
          </w:tcPr>
          <w:p>
            <w:pPr>
              <w:ind w:right="-29"/>
              <w:jc w:val="center"/>
              <w:rPr>
                <w:noProof/>
                <w:sz w:val="18"/>
                <w:szCs w:val="18"/>
              </w:rPr>
            </w:pPr>
          </w:p>
        </w:tc>
        <w:tc>
          <w:tcPr>
            <w:tcW w:w="900" w:type="dxa"/>
            <w:gridSpan w:val="2"/>
            <w:tcBorders>
              <w:bottom w:val="single" w:sz="12" w:space="0" w:color="auto"/>
            </w:tcBorders>
          </w:tcPr>
          <w:p>
            <w:pPr>
              <w:ind w:right="-29"/>
              <w:jc w:val="center"/>
              <w:rPr>
                <w:noProof/>
                <w:sz w:val="18"/>
                <w:szCs w:val="18"/>
              </w:rPr>
            </w:pPr>
          </w:p>
        </w:tc>
      </w:tr>
      <w:tr>
        <w:trPr>
          <w:gridAfter w:val="2"/>
          <w:wAfter w:w="18" w:type="dxa"/>
          <w:jc w:val="center"/>
        </w:trPr>
        <w:tc>
          <w:tcPr>
            <w:tcW w:w="2841" w:type="dxa"/>
            <w:gridSpan w:val="6"/>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I ALT</w:t>
            </w:r>
          </w:p>
        </w:tc>
        <w:tc>
          <w:tcPr>
            <w:tcW w:w="504" w:type="dxa"/>
            <w:gridSpan w:val="3"/>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rPr>
                <w:noProof/>
                <w:sz w:val="18"/>
                <w:szCs w:val="18"/>
              </w:rPr>
            </w:pPr>
            <w:r>
              <w:rPr>
                <w:noProof/>
                <w:sz w:val="20"/>
              </w:rPr>
              <w:t>5,300</w:t>
            </w:r>
          </w:p>
        </w:tc>
        <w:tc>
          <w:tcPr>
            <w:tcW w:w="54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20"/>
              </w:rPr>
              <w:t>5,300</w:t>
            </w: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20"/>
              </w:rPr>
              <w:t>5,300</w:t>
            </w:r>
          </w:p>
        </w:tc>
        <w:tc>
          <w:tcPr>
            <w:tcW w:w="90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23" w:type="dxa"/>
            <w:gridSpan w:val="2"/>
            <w:tcBorders>
              <w:top w:val="single" w:sz="12" w:space="0" w:color="auto"/>
              <w:bottom w:val="single" w:sz="12" w:space="0" w:color="auto"/>
            </w:tcBorders>
          </w:tcPr>
          <w:p>
            <w:pPr>
              <w:spacing w:before="180" w:after="180"/>
              <w:ind w:right="-29"/>
              <w:jc w:val="center"/>
              <w:rPr>
                <w:noProof/>
                <w:sz w:val="18"/>
                <w:szCs w:val="18"/>
              </w:rPr>
            </w:pPr>
            <w:r>
              <w:rPr>
                <w:noProof/>
                <w:sz w:val="20"/>
              </w:rPr>
              <w:t>5,300</w:t>
            </w:r>
          </w:p>
        </w:tc>
        <w:tc>
          <w:tcPr>
            <w:tcW w:w="54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08" w:type="dxa"/>
            <w:gridSpan w:val="2"/>
            <w:tcBorders>
              <w:top w:val="single" w:sz="12" w:space="0" w:color="auto"/>
              <w:bottom w:val="single" w:sz="12" w:space="0" w:color="auto"/>
            </w:tcBorders>
          </w:tcPr>
          <w:p>
            <w:pPr>
              <w:spacing w:before="180" w:after="180"/>
              <w:ind w:right="-29"/>
              <w:jc w:val="center"/>
              <w:rPr>
                <w:noProof/>
                <w:sz w:val="18"/>
                <w:szCs w:val="18"/>
              </w:rPr>
            </w:pPr>
            <w:r>
              <w:rPr>
                <w:noProof/>
                <w:sz w:val="20"/>
              </w:rPr>
              <w:t>5,300</w:t>
            </w:r>
          </w:p>
        </w:tc>
        <w:tc>
          <w:tcPr>
            <w:tcW w:w="942" w:type="dxa"/>
            <w:gridSpan w:val="2"/>
            <w:tcBorders>
              <w:top w:val="single" w:sz="12" w:space="0" w:color="auto"/>
              <w:bottom w:val="single" w:sz="12" w:space="0" w:color="auto"/>
            </w:tcBorders>
          </w:tcPr>
          <w:p>
            <w:pPr>
              <w:spacing w:before="180" w:after="180"/>
              <w:ind w:right="-29"/>
              <w:jc w:val="center"/>
              <w:rPr>
                <w:noProof/>
                <w:sz w:val="18"/>
                <w:szCs w:val="18"/>
              </w:rPr>
            </w:pPr>
            <w:r>
              <w:rPr>
                <w:noProof/>
                <w:sz w:val="18"/>
                <w:szCs w:val="18"/>
              </w:rPr>
              <w:t>5,300</w:t>
            </w:r>
          </w:p>
        </w:tc>
        <w:tc>
          <w:tcPr>
            <w:tcW w:w="1284" w:type="dxa"/>
            <w:gridSpan w:val="2"/>
            <w:tcBorders>
              <w:top w:val="single" w:sz="12" w:space="0" w:color="auto"/>
              <w:bottom w:val="single" w:sz="12" w:space="0" w:color="auto"/>
            </w:tcBorders>
          </w:tcPr>
          <w:p>
            <w:pPr>
              <w:spacing w:before="180" w:after="180"/>
              <w:ind w:right="-29"/>
              <w:jc w:val="center"/>
              <w:rPr>
                <w:noProof/>
                <w:sz w:val="18"/>
                <w:szCs w:val="18"/>
              </w:rPr>
            </w:pPr>
          </w:p>
        </w:tc>
        <w:tc>
          <w:tcPr>
            <w:tcW w:w="900" w:type="dxa"/>
            <w:gridSpan w:val="2"/>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noProof/>
                <w:sz w:val="18"/>
                <w:szCs w:val="18"/>
              </w:rPr>
              <w:t>31,800</w:t>
            </w:r>
          </w:p>
        </w:tc>
      </w:tr>
    </w:tbl>
    <w:p>
      <w:pPr>
        <w:rPr>
          <w:noProof/>
        </w:rPr>
        <w:sectPr>
          <w:headerReference w:type="default" r:id="rId14"/>
          <w:footerReference w:type="default" r:id="rId15"/>
          <w:headerReference w:type="first" r:id="rId16"/>
          <w:footerReference w:type="first" r:id="rId17"/>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 xml:space="preserve">Sammenfatning af de anslåede virkninger for administrationsbevillingerne </w:t>
      </w:r>
    </w:p>
    <w:p>
      <w:pPr>
        <w:pStyle w:val="ListDash1"/>
        <w:rPr>
          <w:noProof/>
        </w:rPr>
      </w:pPr>
      <w:r>
        <w:rPr>
          <w:noProof/>
        </w:rPr>
        <w:t>X</w:t>
      </w:r>
      <w:r>
        <w:rPr>
          <w:noProof/>
        </w:rPr>
        <w:tab/>
        <w:t xml:space="preserve">Forslaget/initiativet medfører ikke anvendelse af administrationsbevillinger </w:t>
      </w:r>
    </w:p>
    <w:p>
      <w:pPr>
        <w:pStyle w:val="ListDash1"/>
        <w:rPr>
          <w:noProof/>
        </w:rPr>
      </w:pPr>
      <w:r>
        <w:rPr>
          <w:noProof/>
        </w:rPr>
        <w:sym w:font="Wingdings" w:char="F0A8"/>
      </w:r>
      <w:r>
        <w:rPr>
          <w:noProof/>
        </w:rPr>
        <w:tab/>
        <w:t>Forslaget/initiativet medfører anvendelse af administrationsbevillinger som anført herunder:</w:t>
      </w:r>
    </w:p>
    <w:p>
      <w:pPr>
        <w:jc w:val="right"/>
        <w:rPr>
          <w:noProof/>
          <w:sz w:val="20"/>
        </w:rPr>
      </w:pPr>
      <w:r>
        <w:rPr>
          <w:noProof/>
          <w:sz w:val="20"/>
        </w:rPr>
        <w:t>i mio. EUR (tre decimaler)</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b/>
                <w:noProof/>
                <w:sz w:val="16"/>
              </w:rPr>
              <w:t xml:space="preserve">År n </w:t>
            </w:r>
            <w:r>
              <w:rPr>
                <w:rStyle w:val="FootnoteReference"/>
                <w:b/>
                <w:noProof/>
                <w:sz w:val="16"/>
              </w:rPr>
              <w:footnoteReference w:id="18"/>
            </w:r>
          </w:p>
        </w:tc>
        <w:tc>
          <w:tcPr>
            <w:tcW w:w="1080" w:type="dxa"/>
            <w:vAlign w:val="center"/>
          </w:tcPr>
          <w:p>
            <w:pPr>
              <w:spacing w:before="60" w:after="60" w:line="200" w:lineRule="exact"/>
              <w:jc w:val="center"/>
              <w:rPr>
                <w:noProof/>
                <w:sz w:val="16"/>
                <w:szCs w:val="16"/>
              </w:rPr>
            </w:pPr>
            <w:r>
              <w:rPr>
                <w:b/>
                <w:noProof/>
                <w:sz w:val="16"/>
              </w:rPr>
              <w:t>År n+1</w:t>
            </w:r>
          </w:p>
        </w:tc>
        <w:tc>
          <w:tcPr>
            <w:tcW w:w="1080" w:type="dxa"/>
            <w:vAlign w:val="center"/>
          </w:tcPr>
          <w:p>
            <w:pPr>
              <w:spacing w:before="60" w:after="60" w:line="200" w:lineRule="exact"/>
              <w:jc w:val="center"/>
              <w:rPr>
                <w:noProof/>
                <w:sz w:val="16"/>
                <w:szCs w:val="16"/>
              </w:rPr>
            </w:pPr>
            <w:r>
              <w:rPr>
                <w:b/>
                <w:noProof/>
                <w:sz w:val="16"/>
              </w:rPr>
              <w:t>År n+2</w:t>
            </w:r>
          </w:p>
        </w:tc>
        <w:tc>
          <w:tcPr>
            <w:tcW w:w="1080" w:type="dxa"/>
            <w:vAlign w:val="center"/>
          </w:tcPr>
          <w:p>
            <w:pPr>
              <w:spacing w:before="60" w:after="60" w:line="200" w:lineRule="exact"/>
              <w:jc w:val="center"/>
              <w:rPr>
                <w:noProof/>
                <w:sz w:val="16"/>
                <w:szCs w:val="16"/>
              </w:rPr>
            </w:pPr>
            <w:r>
              <w:rPr>
                <w:b/>
                <w:noProof/>
                <w:sz w:val="16"/>
              </w:rPr>
              <w:t>År n+3</w:t>
            </w:r>
          </w:p>
        </w:tc>
        <w:tc>
          <w:tcPr>
            <w:tcW w:w="3240" w:type="dxa"/>
            <w:vAlign w:val="center"/>
          </w:tcPr>
          <w:p>
            <w:pPr>
              <w:spacing w:line="200" w:lineRule="exact"/>
              <w:jc w:val="center"/>
              <w:rPr>
                <w:b/>
                <w:noProof/>
                <w:sz w:val="16"/>
                <w:szCs w:val="16"/>
              </w:rPr>
            </w:pPr>
            <w:r>
              <w:rPr>
                <w:noProof/>
                <w:sz w:val="16"/>
              </w:rPr>
              <w:t>Der indsættes flere år, hvis virkningerne varer længere (jf. punkt 1.6)</w:t>
            </w:r>
          </w:p>
        </w:tc>
        <w:tc>
          <w:tcPr>
            <w:tcW w:w="1080" w:type="dxa"/>
            <w:vAlign w:val="center"/>
          </w:tcPr>
          <w:p>
            <w:pPr>
              <w:spacing w:before="60" w:after="60" w:line="200" w:lineRule="exact"/>
              <w:jc w:val="center"/>
              <w:rPr>
                <w:b/>
                <w:noProof/>
                <w:sz w:val="16"/>
                <w:szCs w:val="16"/>
              </w:rPr>
            </w:pPr>
            <w:r>
              <w:rPr>
                <w:b/>
                <w:noProof/>
                <w:sz w:val="16"/>
              </w:rPr>
              <w:t>I ALT</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UDGIFTSOMRÅDE 5 i den flerårige finansielle ramme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Menneskelige ressourcer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Andre administrationsudgifter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Subtotal UDGIFTSOMRÅDE 5 i den flerårige finansielle ramme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Uden for UDGIFTSOMRÅDE</w:t>
            </w:r>
            <w:r>
              <w:rPr>
                <w:rStyle w:val="FootnoteReference"/>
                <w:b/>
                <w:noProof/>
                <w:sz w:val="16"/>
              </w:rPr>
              <w:footnoteReference w:id="19"/>
            </w:r>
            <w:r>
              <w:rPr>
                <w:b/>
                <w:noProof/>
                <w:sz w:val="16"/>
              </w:rPr>
              <w:t xml:space="preserve"> i den flerårige finansielle ramme</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Menneskelige ressourcer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Andre udgifter af administrativ art</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Subtotal uden for UDGIFTSOMRÅDE 5 i den flerårige finansielle ramme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I ALT</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pPr>
      <w:r>
        <w:rPr>
          <w:noProof/>
          <w:sz w:val="18"/>
        </w:rPr>
        <w:t>Bevillingerne til menneskelige ressourcer og andre administrationsudgifter vil blive dækket ved hjælp af de bevillinger, der i forvejen er afsat til generaldirektoratets forvaltning af aktionen, og/eller ved intern omfordeling i generaldirektoratet, eventuelt suppleret med yderligere bevillinger, som tildeles det ansvarlige generaldirektorat i forbindelse med den årlige tildelingsprocedure under hensyntagen til de budgetmæssige begrænsninger.</w:t>
      </w:r>
    </w:p>
    <w:p>
      <w:pPr>
        <w:rPr>
          <w:noProof/>
          <w:sz w:val="18"/>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p>
    <w:p>
      <w:pPr>
        <w:pStyle w:val="ManualHeading4"/>
        <w:rPr>
          <w:bCs/>
          <w:noProof/>
          <w:szCs w:val="24"/>
        </w:rPr>
      </w:pPr>
      <w:r>
        <w:rPr>
          <w:noProof/>
        </w:rPr>
        <w:t>3.2.3.1.</w:t>
      </w:r>
      <w:r>
        <w:rPr>
          <w:noProof/>
        </w:rPr>
        <w:tab/>
        <w:t xml:space="preserve">Anslået behov for menneskelige ressourcer </w:t>
      </w:r>
    </w:p>
    <w:p>
      <w:pPr>
        <w:pStyle w:val="ListDash1"/>
        <w:rPr>
          <w:noProof/>
        </w:rPr>
      </w:pPr>
      <w:r>
        <w:rPr>
          <w:noProof/>
        </w:rPr>
        <w:t>X</w:t>
      </w:r>
      <w:r>
        <w:rPr>
          <w:noProof/>
        </w:rPr>
        <w:tab/>
        <w:t xml:space="preserve">Forslaget/initiativet medfører ikke anvendelse af menneskelige ressourcer </w:t>
      </w:r>
    </w:p>
    <w:p>
      <w:pPr>
        <w:pStyle w:val="ListDash1"/>
        <w:rPr>
          <w:noProof/>
        </w:rPr>
      </w:pPr>
      <w:r>
        <w:rPr>
          <w:noProof/>
        </w:rPr>
        <w:sym w:font="Wingdings" w:char="F0A8"/>
      </w:r>
      <w:r>
        <w:rPr>
          <w:noProof/>
        </w:rPr>
        <w:tab/>
        <w:t>Forslaget/initiativet medfører anvendelse af menneskelige ressourcer som anført herunder:</w:t>
      </w:r>
    </w:p>
    <w:p>
      <w:pPr>
        <w:spacing w:after="60"/>
        <w:jc w:val="right"/>
        <w:rPr>
          <w:i/>
          <w:noProof/>
          <w:sz w:val="20"/>
        </w:rPr>
      </w:pPr>
      <w:r>
        <w:rPr>
          <w:i/>
          <w:noProof/>
          <w:sz w:val="20"/>
        </w:rPr>
        <w:t>Overslag angives i årsværk</w:t>
      </w:r>
    </w:p>
    <w:tbl>
      <w:tblPr>
        <w:tblW w:w="9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
        <w:gridCol w:w="2376"/>
        <w:gridCol w:w="2378"/>
        <w:gridCol w:w="731"/>
        <w:gridCol w:w="731"/>
        <w:gridCol w:w="731"/>
        <w:gridCol w:w="731"/>
        <w:gridCol w:w="731"/>
        <w:gridCol w:w="731"/>
        <w:gridCol w:w="731"/>
      </w:tblGrid>
      <w:tr>
        <w:trPr>
          <w:gridBefore w:val="1"/>
          <w:wBefore w:w="13" w:type="dxa"/>
          <w:trHeight w:val="289"/>
          <w:jc w:val="center"/>
        </w:trPr>
        <w:tc>
          <w:tcPr>
            <w:tcW w:w="3906" w:type="dxa"/>
            <w:gridSpan w:val="2"/>
            <w:shd w:val="clear" w:color="auto" w:fill="auto"/>
          </w:tcPr>
          <w:p>
            <w:pPr>
              <w:pStyle w:val="Text1"/>
              <w:spacing w:before="40" w:after="40"/>
              <w:ind w:left="0"/>
              <w:jc w:val="center"/>
              <w:rPr>
                <w:i/>
                <w:noProof/>
                <w:sz w:val="16"/>
                <w:szCs w:val="16"/>
              </w:rPr>
            </w:pPr>
          </w:p>
        </w:tc>
        <w:tc>
          <w:tcPr>
            <w:tcW w:w="600" w:type="dxa"/>
            <w:shd w:val="clear" w:color="auto" w:fill="auto"/>
            <w:vAlign w:val="center"/>
          </w:tcPr>
          <w:p>
            <w:pPr>
              <w:spacing w:before="20" w:after="20"/>
              <w:jc w:val="center"/>
              <w:rPr>
                <w:noProof/>
                <w:sz w:val="16"/>
                <w:szCs w:val="16"/>
              </w:rPr>
            </w:pPr>
            <w:r>
              <w:rPr>
                <w:b/>
                <w:noProof/>
                <w:sz w:val="16"/>
              </w:rPr>
              <w:t>År n</w:t>
            </w:r>
          </w:p>
        </w:tc>
        <w:tc>
          <w:tcPr>
            <w:tcW w:w="600" w:type="dxa"/>
            <w:shd w:val="clear" w:color="auto" w:fill="auto"/>
            <w:vAlign w:val="center"/>
          </w:tcPr>
          <w:p>
            <w:pPr>
              <w:spacing w:before="20" w:after="20"/>
              <w:jc w:val="center"/>
              <w:rPr>
                <w:noProof/>
                <w:sz w:val="16"/>
                <w:szCs w:val="16"/>
              </w:rPr>
            </w:pPr>
            <w:r>
              <w:rPr>
                <w:b/>
                <w:noProof/>
                <w:sz w:val="16"/>
              </w:rPr>
              <w:t>År n+1</w:t>
            </w:r>
          </w:p>
        </w:tc>
        <w:tc>
          <w:tcPr>
            <w:tcW w:w="600" w:type="dxa"/>
            <w:shd w:val="clear" w:color="auto" w:fill="auto"/>
            <w:vAlign w:val="center"/>
          </w:tcPr>
          <w:p>
            <w:pPr>
              <w:spacing w:before="20" w:after="20"/>
              <w:jc w:val="center"/>
              <w:rPr>
                <w:noProof/>
                <w:sz w:val="16"/>
                <w:szCs w:val="16"/>
              </w:rPr>
            </w:pPr>
            <w:r>
              <w:rPr>
                <w:noProof/>
                <w:sz w:val="16"/>
              </w:rPr>
              <w:t xml:space="preserve">År </w:t>
            </w:r>
            <w:r>
              <w:rPr>
                <w:b/>
                <w:noProof/>
                <w:sz w:val="16"/>
              </w:rPr>
              <w:t>n+2</w:t>
            </w:r>
          </w:p>
        </w:tc>
        <w:tc>
          <w:tcPr>
            <w:tcW w:w="600" w:type="dxa"/>
            <w:shd w:val="clear" w:color="auto" w:fill="auto"/>
            <w:vAlign w:val="center"/>
          </w:tcPr>
          <w:p>
            <w:pPr>
              <w:spacing w:before="20" w:after="20"/>
              <w:jc w:val="center"/>
              <w:rPr>
                <w:noProof/>
                <w:sz w:val="16"/>
                <w:szCs w:val="16"/>
              </w:rPr>
            </w:pPr>
            <w:r>
              <w:rPr>
                <w:noProof/>
                <w:sz w:val="16"/>
              </w:rPr>
              <w:t xml:space="preserve">År </w:t>
            </w:r>
            <w:r>
              <w:rPr>
                <w:b/>
                <w:noProof/>
                <w:sz w:val="16"/>
              </w:rPr>
              <w:t>n+3</w:t>
            </w:r>
          </w:p>
        </w:tc>
        <w:tc>
          <w:tcPr>
            <w:tcW w:w="600" w:type="dxa"/>
            <w:gridSpan w:val="3"/>
            <w:shd w:val="clear" w:color="auto" w:fill="auto"/>
            <w:vAlign w:val="center"/>
          </w:tcPr>
          <w:p>
            <w:pPr>
              <w:jc w:val="center"/>
              <w:rPr>
                <w:b/>
                <w:noProof/>
                <w:sz w:val="16"/>
                <w:szCs w:val="16"/>
              </w:rPr>
            </w:pPr>
            <w:r>
              <w:rPr>
                <w:noProof/>
                <w:sz w:val="16"/>
              </w:rPr>
              <w:t>Der indsættes flere år, hvis virkningerne varer længere (jf. punkt 1.6)</w:t>
            </w:r>
          </w:p>
        </w:tc>
      </w:tr>
      <w:tr>
        <w:trPr>
          <w:gridBefore w:val="1"/>
          <w:wBefore w:w="13" w:type="dxa"/>
          <w:trHeight w:val="289"/>
          <w:jc w:val="center"/>
        </w:trPr>
        <w:tc>
          <w:tcPr>
            <w:tcW w:w="600" w:type="dxa"/>
            <w:gridSpan w:val="9"/>
            <w:shd w:val="clear" w:color="auto" w:fill="auto"/>
          </w:tcPr>
          <w:p>
            <w:pPr>
              <w:jc w:val="left"/>
              <w:rPr>
                <w:noProof/>
                <w:sz w:val="16"/>
                <w:szCs w:val="16"/>
              </w:rPr>
            </w:pPr>
            <w:r>
              <w:rPr>
                <w:b/>
                <w:noProof/>
                <w:sz w:val="16"/>
              </w:rPr>
              <w:sym w:font="Wingdings" w:char="F09F"/>
            </w:r>
            <w:r>
              <w:rPr>
                <w:noProof/>
              </w:rPr>
              <w:tab/>
            </w:r>
            <w:r>
              <w:rPr>
                <w:b/>
                <w:noProof/>
                <w:sz w:val="16"/>
              </w:rPr>
              <w:t>Stillinger i stillingsfortegnelsen (tjenestemænd og midlertidigt ansatte)</w:t>
            </w: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(i hovedsædet og i Kommissionens repræsentationskontorer)</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(i delegationer)</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01/11/21 (indirekte forskning)</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01/11 (direkte forskning)</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trHeight w:val="248"/>
          <w:jc w:val="center"/>
        </w:trPr>
        <w:tc>
          <w:tcPr>
            <w:tcW w:w="600" w:type="dxa"/>
            <w:gridSpan w:val="10"/>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Eksternt personale (i årsværk)</w:t>
            </w:r>
            <w:r>
              <w:rPr>
                <w:rStyle w:val="FootnoteReference"/>
                <w:b/>
                <w:noProof/>
                <w:sz w:val="16"/>
              </w:rPr>
              <w:footnoteReference w:id="20"/>
            </w:r>
          </w:p>
          <w:p>
            <w:pPr>
              <w:pStyle w:val="Text1"/>
              <w:spacing w:before="0" w:after="0"/>
              <w:ind w:left="0"/>
              <w:jc w:val="left"/>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(KA, UNE, V under den samlede bevillingsramme)</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(KA, LA, UNE, V og JED i delegationerne)</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21"/>
            </w:r>
          </w:p>
          <w:p>
            <w:pPr>
              <w:pStyle w:val="Text1"/>
              <w:spacing w:beforeLines="20" w:before="48" w:afterLines="20" w:after="48"/>
              <w:ind w:left="136"/>
              <w:jc w:val="left"/>
              <w:rPr>
                <w:b/>
                <w:noProof/>
                <w:sz w:val="16"/>
                <w:szCs w:val="16"/>
              </w:rPr>
            </w:pPr>
          </w:p>
        </w:tc>
        <w:tc>
          <w:tcPr>
            <w:tcW w:w="1954" w:type="dxa"/>
            <w:shd w:val="clear" w:color="auto" w:fill="auto"/>
            <w:vAlign w:val="center"/>
          </w:tcPr>
          <w:p>
            <w:pPr>
              <w:pStyle w:val="Text1"/>
              <w:spacing w:beforeLines="20" w:before="48" w:afterLines="20" w:after="48"/>
              <w:ind w:left="136"/>
              <w:jc w:val="left"/>
              <w:rPr>
                <w:b/>
                <w:noProof/>
                <w:sz w:val="16"/>
                <w:szCs w:val="16"/>
              </w:rPr>
            </w:pPr>
            <w:r>
              <w:rPr>
                <w:noProof/>
                <w:sz w:val="16"/>
              </w:rPr>
              <w:t>— i hovedsædet</w:t>
            </w:r>
          </w:p>
          <w:p>
            <w:pPr>
              <w:pStyle w:val="Text1"/>
              <w:spacing w:beforeLines="20" w:before="48" w:afterLines="20" w:after="48"/>
              <w:ind w:left="136"/>
              <w:jc w:val="left"/>
              <w:rPr>
                <w:b/>
                <w:noProof/>
                <w:sz w:val="16"/>
                <w:szCs w:val="16"/>
              </w:rPr>
            </w:pPr>
          </w:p>
        </w:tc>
        <w:tc>
          <w:tcPr>
            <w:tcW w:w="600" w:type="dxa"/>
            <w:shd w:val="clear" w:color="auto" w:fill="auto"/>
            <w:vAlign w:val="center"/>
          </w:tcPr>
          <w:p>
            <w:pPr>
              <w:pStyle w:val="Text1"/>
              <w:spacing w:beforeLines="20" w:before="48" w:afterLines="20" w:after="48"/>
              <w:ind w:left="0"/>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shd w:val="clear" w:color="auto" w:fill="auto"/>
            <w:vAlign w:val="center"/>
          </w:tcPr>
          <w:p>
            <w:pPr>
              <w:pStyle w:val="Text1"/>
              <w:spacing w:beforeLines="20" w:before="48" w:afterLines="20" w:after="48"/>
              <w:ind w:left="136"/>
              <w:jc w:val="left"/>
              <w:rPr>
                <w:b/>
                <w:noProof/>
                <w:sz w:val="16"/>
                <w:szCs w:val="16"/>
              </w:rPr>
            </w:pPr>
          </w:p>
        </w:tc>
        <w:tc>
          <w:tcPr>
            <w:tcW w:w="1954" w:type="dxa"/>
            <w:shd w:val="clear" w:color="auto" w:fill="auto"/>
            <w:vAlign w:val="center"/>
          </w:tcPr>
          <w:p>
            <w:pPr>
              <w:pStyle w:val="Text1"/>
              <w:spacing w:beforeLines="20" w:before="48" w:afterLines="20" w:after="48"/>
              <w:ind w:left="136"/>
              <w:jc w:val="left"/>
              <w:rPr>
                <w:b/>
                <w:noProof/>
                <w:sz w:val="16"/>
                <w:szCs w:val="16"/>
              </w:rPr>
            </w:pPr>
            <w:r>
              <w:rPr>
                <w:noProof/>
                <w:sz w:val="16"/>
              </w:rPr>
              <w:t xml:space="preserve">— i delegationer </w:t>
            </w:r>
          </w:p>
        </w:tc>
        <w:tc>
          <w:tcPr>
            <w:tcW w:w="600" w:type="dxa"/>
            <w:shd w:val="clear" w:color="auto" w:fill="auto"/>
            <w:vAlign w:val="center"/>
          </w:tcPr>
          <w:p>
            <w:pPr>
              <w:pStyle w:val="Text1"/>
              <w:spacing w:beforeLines="20" w:before="48" w:afterLines="20" w:after="48"/>
              <w:ind w:left="0"/>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02/12/22 (KA, UNE, V – indirekte forskning)</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02/12 (KA, UNE, V – direkte forskning)</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Andre budgetposter (skal angives)</w:t>
            </w: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I ALT</w:t>
            </w: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sz w:val="18"/>
        </w:rPr>
        <w:t xml:space="preserve"> angiver det berørte politikområde eller budgetafsnit.</w:t>
      </w:r>
    </w:p>
    <w:p>
      <w:pPr>
        <w:pStyle w:val="Text1"/>
        <w:rPr>
          <w:noProof/>
          <w:sz w:val="18"/>
          <w:szCs w:val="18"/>
        </w:rPr>
      </w:pPr>
      <w:r>
        <w:rPr>
          <w:noProof/>
          <w:sz w:val="18"/>
        </w:rPr>
        <w:t>Personalebehovet vil blive dækket ved hjælp af det personale, som generaldirektoratet allerede har afsat til aktionen, og/eller interne rokader i generaldirektoratet, eventuelt suppleret med yderligere bevillinger, som tildeles det ansvarlige generaldirektorat i forbindelse med den årlige tildelingsprocedure under hensyntagen til de budgetmæssige begrænsninger.</w:t>
      </w:r>
    </w:p>
    <w:p>
      <w:pPr>
        <w:rPr>
          <w:noProof/>
          <w:sz w:val="20"/>
        </w:rPr>
      </w:pPr>
      <w:r>
        <w:rPr>
          <w:noProof/>
          <w:sz w:val="20"/>
        </w:rPr>
        <w:t>Opgavebeskrivelse: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Tjenestemænd og midlertidigt ansatte</w:t>
            </w:r>
          </w:p>
        </w:tc>
        <w:tc>
          <w:tcPr>
            <w:tcW w:w="7200" w:type="dxa"/>
          </w:tcPr>
          <w:p>
            <w:pPr>
              <w:rPr>
                <w:noProof/>
                <w:sz w:val="20"/>
              </w:rPr>
            </w:pPr>
          </w:p>
        </w:tc>
      </w:tr>
      <w:tr>
        <w:tc>
          <w:tcPr>
            <w:tcW w:w="3240" w:type="dxa"/>
          </w:tcPr>
          <w:p>
            <w:pPr>
              <w:spacing w:before="60" w:after="60"/>
              <w:rPr>
                <w:noProof/>
                <w:sz w:val="20"/>
              </w:rPr>
            </w:pPr>
            <w:r>
              <w:rPr>
                <w:noProof/>
                <w:sz w:val="20"/>
              </w:rPr>
              <w:t>Eksternt personale</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noProof/>
        </w:rPr>
      </w:pPr>
      <w:r>
        <w:rPr>
          <w:noProof/>
        </w:rPr>
        <w:t>3.2.4.</w:t>
      </w:r>
      <w:r>
        <w:rPr>
          <w:noProof/>
        </w:rPr>
        <w:tab/>
        <w:t xml:space="preserve">Forenelighed med indeværende flerårige finansielle ramme </w:t>
      </w:r>
    </w:p>
    <w:p>
      <w:pPr>
        <w:pStyle w:val="Text1"/>
        <w:rPr>
          <w:noProof/>
        </w:rPr>
      </w:pPr>
      <w:r>
        <w:rPr>
          <w:noProof/>
        </w:rPr>
        <w:t>Forslaget/initiativet:</w:t>
      </w:r>
    </w:p>
    <w:p>
      <w:pPr>
        <w:pStyle w:val="ListDash1"/>
        <w:rPr>
          <w:noProof/>
        </w:rPr>
      </w:pPr>
      <w:r>
        <w:rPr>
          <w:noProof/>
        </w:rPr>
        <w:t>X</w:t>
      </w:r>
      <w:r>
        <w:rPr>
          <w:noProof/>
        </w:rPr>
        <w:tab/>
        <w:t>kan finansieres fuldt ud gennem omfordeling inden for det relevante udgiftsområde i den flerårige finansielle ramme (FFR).</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Dette vedrører anvendelsen af reserveposten (kapitel 40).</w:t>
      </w:r>
    </w:p>
    <w:p>
      <w:pPr>
        <w:pStyle w:val="ListDash1"/>
        <w:rPr>
          <w:noProof/>
        </w:rPr>
      </w:pPr>
      <w:r>
        <w:rPr>
          <w:noProof/>
        </w:rPr>
        <w:sym w:font="Wingdings" w:char="F0A8"/>
      </w:r>
      <w:r>
        <w:rPr>
          <w:noProof/>
        </w:rPr>
        <w:tab/>
        <w:t>kræver anvendelse af den uudnyttede margen under det relevante udgiftsområde i FFR og/eller anvendelse af særlige instrumenter som fastlagt i FFR-forordningen.</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Der redegøres for behovet med angivelse af de berørte udgiftsområder og budgetposter, de tilsvarende beløb og de instrumenter, der foreslås anvendt.</w:t>
      </w:r>
    </w:p>
    <w:p>
      <w:pPr>
        <w:pStyle w:val="ListDash1"/>
        <w:rPr>
          <w:noProof/>
        </w:rPr>
      </w:pPr>
      <w:r>
        <w:rPr>
          <w:noProof/>
        </w:rPr>
        <w:sym w:font="Wingdings" w:char="F0A8"/>
      </w:r>
      <w:r>
        <w:rPr>
          <w:noProof/>
        </w:rPr>
        <w:tab/>
        <w:t>kræver, at der foretages en revision af den flerårige finansielle ramme.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Der redegøres for behovet med angivelse af de berørte udgiftsområder og budgetposter og beløbenes størrelse</w:t>
      </w:r>
    </w:p>
    <w:p>
      <w:pPr>
        <w:pStyle w:val="ManualHeading3"/>
        <w:rPr>
          <w:bCs/>
          <w:noProof/>
          <w:szCs w:val="24"/>
        </w:rPr>
      </w:pPr>
      <w:r>
        <w:rPr>
          <w:noProof/>
        </w:rPr>
        <w:t>3.2.5.</w:t>
      </w:r>
      <w:r>
        <w:rPr>
          <w:noProof/>
        </w:rPr>
        <w:tab/>
        <w:t xml:space="preserve">Tredjemands bidrag til finansieringen </w:t>
      </w:r>
    </w:p>
    <w:p>
      <w:pPr>
        <w:pStyle w:val="Text1"/>
        <w:rPr>
          <w:noProof/>
        </w:rPr>
      </w:pPr>
      <w:r>
        <w:rPr>
          <w:noProof/>
        </w:rPr>
        <w:t>Forslaget/initiativet:</w:t>
      </w:r>
    </w:p>
    <w:p>
      <w:pPr>
        <w:pStyle w:val="ListDash1"/>
        <w:rPr>
          <w:noProof/>
        </w:rPr>
      </w:pPr>
      <w:r>
        <w:rPr>
          <w:noProof/>
        </w:rPr>
        <w:t>X</w:t>
      </w:r>
      <w:r>
        <w:rPr>
          <w:noProof/>
        </w:rPr>
        <w:tab/>
        <w:t>indeholder ikke bestemmelser om samfinansiering med tredjemand</w:t>
      </w:r>
    </w:p>
    <w:p>
      <w:pPr>
        <w:pStyle w:val="ListDash1"/>
        <w:rPr>
          <w:noProof/>
        </w:rPr>
      </w:pPr>
      <w:r>
        <w:rPr>
          <w:noProof/>
        </w:rPr>
        <w:sym w:font="Wingdings" w:char="F0A8"/>
      </w:r>
      <w:r>
        <w:rPr>
          <w:noProof/>
        </w:rPr>
        <w:tab/>
        <w:t>indeholder bestemmelser om samfinansiering med tredjemand, jf. følgende overslag:</w:t>
      </w:r>
    </w:p>
    <w:p>
      <w:pPr>
        <w:jc w:val="right"/>
        <w:rPr>
          <w:noProof/>
          <w:sz w:val="20"/>
        </w:rPr>
      </w:pPr>
      <w:r>
        <w:rPr>
          <w:noProof/>
          <w:sz w:val="20"/>
        </w:rPr>
        <w:t>Bevillinger i mio. EUR (tre decimaler)</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b/>
                <w:noProof/>
                <w:sz w:val="20"/>
              </w:rPr>
              <w:t>År n</w:t>
            </w:r>
            <w:r>
              <w:rPr>
                <w:rStyle w:val="FootnoteReference"/>
                <w:b/>
                <w:noProof/>
                <w:sz w:val="20"/>
              </w:rPr>
              <w:footnoteReference w:id="22"/>
            </w:r>
          </w:p>
        </w:tc>
        <w:tc>
          <w:tcPr>
            <w:tcW w:w="964" w:type="dxa"/>
            <w:vAlign w:val="center"/>
          </w:tcPr>
          <w:p>
            <w:pPr>
              <w:jc w:val="center"/>
              <w:rPr>
                <w:noProof/>
                <w:sz w:val="20"/>
              </w:rPr>
            </w:pPr>
            <w:r>
              <w:rPr>
                <w:b/>
                <w:noProof/>
                <w:sz w:val="20"/>
              </w:rPr>
              <w:t>År n+1</w:t>
            </w:r>
          </w:p>
        </w:tc>
        <w:tc>
          <w:tcPr>
            <w:tcW w:w="964" w:type="dxa"/>
            <w:vAlign w:val="center"/>
          </w:tcPr>
          <w:p>
            <w:pPr>
              <w:jc w:val="center"/>
              <w:rPr>
                <w:noProof/>
                <w:sz w:val="20"/>
              </w:rPr>
            </w:pPr>
            <w:r>
              <w:rPr>
                <w:b/>
                <w:noProof/>
                <w:sz w:val="20"/>
              </w:rPr>
              <w:t>År n+2</w:t>
            </w:r>
          </w:p>
        </w:tc>
        <w:tc>
          <w:tcPr>
            <w:tcW w:w="964" w:type="dxa"/>
            <w:vAlign w:val="center"/>
          </w:tcPr>
          <w:p>
            <w:pPr>
              <w:jc w:val="center"/>
              <w:rPr>
                <w:noProof/>
                <w:sz w:val="20"/>
              </w:rPr>
            </w:pPr>
            <w:r>
              <w:rPr>
                <w:b/>
                <w:noProof/>
                <w:sz w:val="20"/>
              </w:rPr>
              <w:t>År n+3</w:t>
            </w:r>
          </w:p>
        </w:tc>
        <w:tc>
          <w:tcPr>
            <w:tcW w:w="2892" w:type="dxa"/>
            <w:gridSpan w:val="3"/>
            <w:vAlign w:val="center"/>
          </w:tcPr>
          <w:p>
            <w:pPr>
              <w:jc w:val="center"/>
              <w:rPr>
                <w:b/>
                <w:noProof/>
                <w:sz w:val="20"/>
              </w:rPr>
            </w:pPr>
            <w:r>
              <w:rPr>
                <w:noProof/>
                <w:sz w:val="20"/>
              </w:rPr>
              <w:t>Der indsættes flere år, hvis virkningerne varer længere (jf. punkt 1.6)</w:t>
            </w:r>
          </w:p>
        </w:tc>
        <w:tc>
          <w:tcPr>
            <w:tcW w:w="1158" w:type="dxa"/>
            <w:vAlign w:val="center"/>
          </w:tcPr>
          <w:p>
            <w:pPr>
              <w:spacing w:before="60" w:after="60"/>
              <w:jc w:val="center"/>
              <w:rPr>
                <w:noProof/>
                <w:sz w:val="20"/>
              </w:rPr>
            </w:pPr>
            <w:r>
              <w:rPr>
                <w:noProof/>
                <w:sz w:val="20"/>
              </w:rPr>
              <w:t>I alt</w:t>
            </w:r>
          </w:p>
        </w:tc>
      </w:tr>
      <w:tr>
        <w:trPr>
          <w:cantSplit/>
        </w:trPr>
        <w:tc>
          <w:tcPr>
            <w:tcW w:w="2340" w:type="dxa"/>
          </w:tcPr>
          <w:p>
            <w:pPr>
              <w:rPr>
                <w:noProof/>
              </w:rPr>
            </w:pPr>
            <w:r>
              <w:rPr>
                <w:noProof/>
                <w:sz w:val="20"/>
              </w:rPr>
              <w:t>Angiv organ, som deltager i samfinansieringen</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Samfinansierede bevillinger I ALT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t>3.3.</w:t>
      </w:r>
      <w:r>
        <w:rPr>
          <w:noProof/>
        </w:rPr>
        <w:tab/>
        <w:t xml:space="preserve">Anslåede virkninger for indtægterne </w:t>
      </w:r>
    </w:p>
    <w:p>
      <w:pPr>
        <w:pStyle w:val="ManualHeading2"/>
        <w:rPr>
          <w:noProof/>
        </w:rPr>
      </w:pPr>
      <w:r>
        <w:rPr>
          <w:noProof/>
        </w:rPr>
        <w:t>X</w:t>
      </w:r>
      <w:r>
        <w:rPr>
          <w:noProof/>
        </w:rPr>
        <w:tab/>
        <w:t>Forslaget/initiativet har ingen finansielle virkninger for indtægterne</w:t>
      </w:r>
    </w:p>
    <w:p>
      <w:pPr>
        <w:pStyle w:val="ListDash1"/>
        <w:rPr>
          <w:noProof/>
        </w:rPr>
      </w:pPr>
      <w:r>
        <w:rPr>
          <w:noProof/>
        </w:rPr>
        <w:sym w:font="Wingdings" w:char="F0A8"/>
      </w:r>
      <w:r>
        <w:rPr>
          <w:noProof/>
        </w:rPr>
        <w:tab/>
        <w:t>Forslaget/initiativet har følgende finansielle virkninger:</w:t>
      </w:r>
    </w:p>
    <w:p>
      <w:pPr>
        <w:pStyle w:val="ListNumberLevel3"/>
        <w:tabs>
          <w:tab w:val="clear" w:pos="2126"/>
        </w:tabs>
        <w:rPr>
          <w:noProof/>
        </w:rPr>
      </w:pPr>
      <w:r>
        <w:rPr>
          <w:noProof/>
        </w:rPr>
        <w:sym w:font="Wingdings" w:char="F0A8"/>
      </w:r>
      <w:r>
        <w:rPr>
          <w:noProof/>
        </w:rPr>
        <w:tab/>
        <w:t xml:space="preserve">for egne indtægter </w:t>
      </w:r>
    </w:p>
    <w:p>
      <w:pPr>
        <w:pStyle w:val="ListNumberLevel3"/>
        <w:tabs>
          <w:tab w:val="clear" w:pos="2126"/>
        </w:tabs>
        <w:rPr>
          <w:noProof/>
        </w:rPr>
      </w:pPr>
      <w:r>
        <w:rPr>
          <w:noProof/>
        </w:rPr>
        <w:sym w:font="Wingdings" w:char="F0A8"/>
      </w:r>
      <w:r>
        <w:rPr>
          <w:noProof/>
        </w:rPr>
        <w:tab/>
        <w:t>for andre indtægter</w:t>
      </w:r>
    </w:p>
    <w:p>
      <w:pPr>
        <w:pStyle w:val="ListNumberLevel3"/>
        <w:tabs>
          <w:tab w:val="clear" w:pos="2126"/>
        </w:tabs>
        <w:rPr>
          <w:noProof/>
        </w:rPr>
      </w:pPr>
      <w:r>
        <w:rPr>
          <w:noProof/>
        </w:rPr>
        <w:t xml:space="preserve">Angiv, om indtægterne er formålsbestemte </w:t>
      </w:r>
      <w:r>
        <w:rPr>
          <w:noProof/>
        </w:rPr>
        <w:sym w:font="Wingdings" w:char="F0A8"/>
      </w:r>
      <w:r>
        <w:rPr>
          <w:noProof/>
        </w:rPr>
        <w:tab/>
      </w:r>
    </w:p>
    <w:p>
      <w:pPr>
        <w:rPr>
          <w:i/>
          <w:noProof/>
          <w:sz w:val="20"/>
        </w:rPr>
      </w:pPr>
      <w:r>
        <w:rPr>
          <w:noProof/>
        </w:rPr>
        <w:t>i mio. EUR (tre decimaler)</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325"/>
        <w:gridCol w:w="1031"/>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Indtægtspost på budgettet</w:t>
            </w:r>
          </w:p>
        </w:tc>
        <w:tc>
          <w:tcPr>
            <w:tcW w:w="1325" w:type="dxa"/>
            <w:vMerge w:val="restart"/>
            <w:vAlign w:val="center"/>
          </w:tcPr>
          <w:p>
            <w:pPr>
              <w:jc w:val="center"/>
              <w:rPr>
                <w:noProof/>
                <w:sz w:val="18"/>
              </w:rPr>
            </w:pPr>
            <w:r>
              <w:rPr>
                <w:noProof/>
                <w:sz w:val="18"/>
              </w:rPr>
              <w:t>Bevillinger til rådighed i indeværende regnskabsår</w:t>
            </w:r>
          </w:p>
        </w:tc>
        <w:tc>
          <w:tcPr>
            <w:tcW w:w="7151" w:type="dxa"/>
            <w:gridSpan w:val="7"/>
            <w:vAlign w:val="center"/>
          </w:tcPr>
          <w:p>
            <w:pPr>
              <w:jc w:val="center"/>
              <w:rPr>
                <w:noProof/>
                <w:sz w:val="18"/>
              </w:rPr>
            </w:pPr>
            <w:r>
              <w:rPr>
                <w:noProof/>
                <w:sz w:val="18"/>
              </w:rPr>
              <w:t>Forslagets/initiativets virkninger</w:t>
            </w:r>
            <w:r>
              <w:rPr>
                <w:rStyle w:val="FootnoteReference"/>
                <w:noProof/>
                <w:sz w:val="18"/>
              </w:rPr>
              <w:footnoteReference w:id="23"/>
            </w:r>
          </w:p>
        </w:tc>
      </w:tr>
      <w:tr>
        <w:trPr>
          <w:trHeight w:val="388"/>
        </w:trPr>
        <w:tc>
          <w:tcPr>
            <w:tcW w:w="2144" w:type="dxa"/>
            <w:vMerge/>
          </w:tcPr>
          <w:p>
            <w:pPr>
              <w:spacing w:before="40" w:after="40"/>
              <w:rPr>
                <w:noProof/>
                <w:sz w:val="18"/>
              </w:rPr>
            </w:pPr>
          </w:p>
        </w:tc>
        <w:tc>
          <w:tcPr>
            <w:tcW w:w="1325" w:type="dxa"/>
            <w:vMerge/>
          </w:tcPr>
          <w:p>
            <w:pPr>
              <w:spacing w:beforeLines="40" w:before="96" w:afterLines="40" w:after="96"/>
              <w:rPr>
                <w:i/>
                <w:noProof/>
                <w:sz w:val="18"/>
              </w:rPr>
            </w:pPr>
          </w:p>
        </w:tc>
        <w:tc>
          <w:tcPr>
            <w:tcW w:w="1031" w:type="dxa"/>
            <w:vAlign w:val="center"/>
          </w:tcPr>
          <w:p>
            <w:pPr>
              <w:jc w:val="center"/>
              <w:rPr>
                <w:noProof/>
                <w:sz w:val="18"/>
              </w:rPr>
            </w:pPr>
            <w:r>
              <w:rPr>
                <w:b/>
                <w:noProof/>
                <w:sz w:val="18"/>
              </w:rPr>
              <w:t>År n</w:t>
            </w:r>
          </w:p>
        </w:tc>
        <w:tc>
          <w:tcPr>
            <w:tcW w:w="900" w:type="dxa"/>
            <w:vAlign w:val="center"/>
          </w:tcPr>
          <w:p>
            <w:pPr>
              <w:jc w:val="center"/>
              <w:rPr>
                <w:noProof/>
                <w:sz w:val="18"/>
              </w:rPr>
            </w:pPr>
            <w:r>
              <w:rPr>
                <w:b/>
                <w:noProof/>
                <w:sz w:val="18"/>
              </w:rPr>
              <w:t>År n+1</w:t>
            </w:r>
          </w:p>
        </w:tc>
        <w:tc>
          <w:tcPr>
            <w:tcW w:w="900" w:type="dxa"/>
            <w:vAlign w:val="center"/>
          </w:tcPr>
          <w:p>
            <w:pPr>
              <w:jc w:val="center"/>
              <w:rPr>
                <w:noProof/>
                <w:sz w:val="18"/>
              </w:rPr>
            </w:pPr>
            <w:r>
              <w:rPr>
                <w:b/>
                <w:noProof/>
                <w:sz w:val="18"/>
              </w:rPr>
              <w:t>År n+2</w:t>
            </w:r>
          </w:p>
        </w:tc>
        <w:tc>
          <w:tcPr>
            <w:tcW w:w="1080" w:type="dxa"/>
            <w:vAlign w:val="center"/>
          </w:tcPr>
          <w:p>
            <w:pPr>
              <w:jc w:val="center"/>
              <w:rPr>
                <w:noProof/>
                <w:sz w:val="18"/>
              </w:rPr>
            </w:pPr>
            <w:r>
              <w:rPr>
                <w:b/>
                <w:noProof/>
                <w:sz w:val="18"/>
              </w:rPr>
              <w:t>År n+3</w:t>
            </w:r>
          </w:p>
        </w:tc>
        <w:tc>
          <w:tcPr>
            <w:tcW w:w="3240" w:type="dxa"/>
            <w:gridSpan w:val="3"/>
            <w:vAlign w:val="center"/>
          </w:tcPr>
          <w:p>
            <w:pPr>
              <w:jc w:val="center"/>
              <w:rPr>
                <w:b/>
                <w:noProof/>
                <w:sz w:val="18"/>
              </w:rPr>
            </w:pPr>
            <w:r>
              <w:rPr>
                <w:noProof/>
                <w:sz w:val="18"/>
              </w:rPr>
              <w:t>Der indsættes flere år, hvis virkningerne varer længere (jf. punkt 1.6)</w:t>
            </w:r>
          </w:p>
        </w:tc>
      </w:tr>
      <w:tr>
        <w:trPr>
          <w:trHeight w:val="388"/>
        </w:trPr>
        <w:tc>
          <w:tcPr>
            <w:tcW w:w="2144" w:type="dxa"/>
            <w:vAlign w:val="center"/>
          </w:tcPr>
          <w:p>
            <w:pPr>
              <w:spacing w:before="40" w:after="40"/>
              <w:rPr>
                <w:noProof/>
                <w:sz w:val="18"/>
              </w:rPr>
            </w:pPr>
            <w:r>
              <w:rPr>
                <w:noProof/>
                <w:sz w:val="18"/>
              </w:rPr>
              <w:t>Artikel ………….</w:t>
            </w:r>
          </w:p>
        </w:tc>
        <w:tc>
          <w:tcPr>
            <w:tcW w:w="1325" w:type="dxa"/>
          </w:tcPr>
          <w:p>
            <w:pPr>
              <w:spacing w:beforeLines="40" w:before="96" w:afterLines="40" w:after="96"/>
              <w:jc w:val="center"/>
              <w:rPr>
                <w:i/>
                <w:noProof/>
                <w:sz w:val="18"/>
              </w:rPr>
            </w:pPr>
          </w:p>
        </w:tc>
        <w:tc>
          <w:tcPr>
            <w:tcW w:w="1031"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rPr>
          <w:noProof/>
        </w:rPr>
      </w:pPr>
      <w:r>
        <w:rPr>
          <w:noProof/>
        </w:rPr>
        <w:t>For indtægter, der er formålsbestemte, angives det, hvilke af budgettets udgiftsposter der påvirkes.</w:t>
      </w:r>
    </w:p>
    <w:p>
      <w:pPr>
        <w:rPr>
          <w:noProof/>
        </w:rPr>
      </w:pPr>
      <w:r>
        <w:rPr>
          <w:noProof/>
        </w:rPr>
        <w:t>Andre bemærkninger (f.eks. om hvilken metode, der er benyttet til at beregne virkningerne for indtægterne).</w:t>
      </w:r>
      <w:r>
        <w:rPr>
          <w:rStyle w:val="CommentReference"/>
          <w:noProof/>
        </w:rPr>
        <w:t xml:space="preserve"> </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21</w:t>
    </w:r>
    <w:r>
      <w:fldChar w:fldCharType="end"/>
    </w:r>
    <w:r>
      <w:tab/>
    </w:r>
    <w:r>
      <w:tab/>
    </w:r>
    <w:r>
      <w:rPr>
        <w:rFonts w:ascii="Arial" w:hAnsi="Arial" w:cs="Arial"/>
        <w:b/>
        <w:sz w:val="48"/>
      </w:rPr>
      <w:t>DA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EUT L 290 af 20.10.2006, s. 2.</w:t>
      </w:r>
    </w:p>
  </w:footnote>
  <w:footnote w:id="2">
    <w:p>
      <w:pPr>
        <w:pStyle w:val="FootnoteText"/>
      </w:pPr>
      <w:r>
        <w:rPr>
          <w:rStyle w:val="FootnoteReference"/>
        </w:rPr>
        <w:footnoteRef/>
      </w:r>
      <w:r>
        <w:rPr>
          <w:rStyle w:val="Hyperlink"/>
          <w:u w:val="none"/>
        </w:rPr>
        <w:tab/>
      </w:r>
      <w:hyperlink r:id="rId1" w:history="1">
        <w:r>
          <w:rPr>
            <w:rStyle w:val="Hyperlink"/>
          </w:rPr>
          <w:t>https://www.consilium.europa.eu/en/documents-publications/treaties-agreements/agreement/?id=2006084&amp;DocLanguage=en</w:t>
        </w:r>
      </w:hyperlink>
    </w:p>
  </w:footnote>
  <w:footnote w:id="3">
    <w:p>
      <w:pPr>
        <w:pStyle w:val="FootnoteText"/>
      </w:pPr>
      <w:r>
        <w:rPr>
          <w:rStyle w:val="FootnoteReference"/>
        </w:rPr>
        <w:footnoteRef/>
      </w:r>
      <w:r>
        <w:tab/>
        <w:t>EUT L 4 af 9.1.2014, s. 3.</w:t>
      </w:r>
    </w:p>
  </w:footnote>
  <w:footnote w:id="4">
    <w:p>
      <w:pPr>
        <w:pStyle w:val="FootnoteText"/>
      </w:pPr>
      <w:r>
        <w:rPr>
          <w:rStyle w:val="FootnoteReference"/>
        </w:rPr>
        <w:footnoteRef/>
      </w:r>
      <w:r>
        <w:tab/>
        <w:t>Vedtaget af Rådet (landbrug og fiskeri) den 15. juli 2019.</w:t>
      </w:r>
    </w:p>
  </w:footnote>
  <w:footnote w:id="5">
    <w:p>
      <w:pPr>
        <w:pStyle w:val="FootnoteText"/>
      </w:pPr>
      <w:r>
        <w:rPr>
          <w:rStyle w:val="FootnoteReference"/>
        </w:rPr>
        <w:footnoteRef/>
      </w:r>
      <w:r>
        <w:tab/>
        <w:t>EUT L 354 af 28.12.2013, s. 22.</w:t>
      </w:r>
    </w:p>
  </w:footnote>
  <w:footnote w:id="6">
    <w:p>
      <w:pPr>
        <w:pStyle w:val="FootnoteText"/>
      </w:pPr>
      <w:r>
        <w:rPr>
          <w:rStyle w:val="FootnoteReference"/>
        </w:rPr>
        <w:footnoteRef/>
      </w:r>
      <w:r>
        <w:tab/>
        <w:t>I overensstemmelse med den interinstitutionelle aftale om budgetsamarbejde (EUT C 373 af 20.12.2013, s. 1).</w:t>
      </w:r>
    </w:p>
  </w:footnote>
  <w:footnote w:id="7">
    <w:p>
      <w:pPr>
        <w:pStyle w:val="FootnoteText"/>
      </w:pPr>
      <w:r>
        <w:rPr>
          <w:rStyle w:val="FootnoteReference"/>
        </w:rPr>
        <w:footnoteRef/>
      </w:r>
      <w:r>
        <w:tab/>
        <w:t>EUT C af , s. .</w:t>
      </w:r>
    </w:p>
  </w:footnote>
  <w:footnote w:id="8">
    <w:p>
      <w:pPr>
        <w:pStyle w:val="FootnoteText"/>
      </w:pPr>
      <w:r>
        <w:rPr>
          <w:rStyle w:val="FootnoteReference"/>
        </w:rPr>
        <w:footnoteRef/>
      </w:r>
      <w:r>
        <w:tab/>
        <w:t>EUT L […] af […], s. […].</w:t>
      </w:r>
    </w:p>
  </w:footnote>
  <w:footnote w:id="9">
    <w:p>
      <w:pPr>
        <w:pStyle w:val="FootnoteText"/>
        <w:rPr>
          <w:szCs w:val="24"/>
        </w:rPr>
      </w:pPr>
      <w:r>
        <w:rPr>
          <w:rStyle w:val="FootnoteReference"/>
        </w:rPr>
        <w:footnoteRef/>
      </w:r>
      <w:r>
        <w:tab/>
        <w:t>Jf. finansforordningens artikel 58, stk. 2, litra a) hhv. b).</w:t>
      </w:r>
    </w:p>
  </w:footnote>
  <w:footnote w:id="10">
    <w:p>
      <w:pPr>
        <w:pStyle w:val="FootnoteText"/>
        <w:jc w:val="left"/>
        <w:rPr>
          <w:szCs w:val="24"/>
        </w:rPr>
      </w:pPr>
      <w:r>
        <w:rPr>
          <w:rStyle w:val="FootnoteReference"/>
        </w:rPr>
        <w:footnoteRef/>
      </w:r>
      <w:r>
        <w:tab/>
        <w:t xml:space="preserve">Forklaringer vedrørende forvaltningsmetoder og henvisninger til finansforordningen findes på webstedet BudgWeb: </w:t>
      </w:r>
      <w:hyperlink r:id="rId2">
        <w:r>
          <w:rPr>
            <w:rStyle w:val="Hyperlink"/>
          </w:rPr>
          <w:t>https://myintracomm.ec.europa.eu/budgweb/DA/man/budgmanag/Pages/budgmanag.aspx</w:t>
        </w:r>
      </w:hyperlink>
      <w:r>
        <w:t xml:space="preserve">. </w:t>
      </w:r>
    </w:p>
  </w:footnote>
  <w:footnote w:id="11">
    <w:p>
      <w:pPr>
        <w:pStyle w:val="FootnoteText"/>
        <w:rPr>
          <w:szCs w:val="24"/>
        </w:rPr>
      </w:pPr>
      <w:r>
        <w:rPr>
          <w:rStyle w:val="FootnoteReference"/>
        </w:rPr>
        <w:footnoteRef/>
      </w:r>
      <w:r>
        <w:tab/>
        <w:t>OB = opdelte bevillinger/IOB = ikke-opdelte bevillinger.</w:t>
      </w:r>
    </w:p>
  </w:footnote>
  <w:footnote w:id="12">
    <w:p>
      <w:pPr>
        <w:pStyle w:val="FootnoteText"/>
        <w:rPr>
          <w:szCs w:val="24"/>
        </w:rPr>
      </w:pPr>
      <w:r>
        <w:rPr>
          <w:rStyle w:val="FootnoteReference"/>
        </w:rPr>
        <w:footnoteRef/>
      </w:r>
      <w:r>
        <w:tab/>
        <w:t xml:space="preserve">EFTA: Den Europæiske Frihandelssammenslutning. </w:t>
      </w:r>
    </w:p>
  </w:footnote>
  <w:footnote w:id="13">
    <w:p>
      <w:pPr>
        <w:pStyle w:val="FootnoteText"/>
        <w:rPr>
          <w:szCs w:val="24"/>
        </w:rPr>
      </w:pPr>
      <w:r>
        <w:rPr>
          <w:rStyle w:val="FootnoteReference"/>
        </w:rPr>
        <w:footnoteRef/>
      </w:r>
      <w:r>
        <w:tab/>
        <w:t>Kandidatlande og, efter omstændighederne, potentielle kandidatlande på Vestbalkan.</w:t>
      </w:r>
    </w:p>
  </w:footnote>
  <w:footnote w:id="14">
    <w:p>
      <w:pPr>
        <w:pStyle w:val="FootnoteText"/>
        <w:rPr>
          <w:sz w:val="18"/>
          <w:szCs w:val="18"/>
        </w:rPr>
      </w:pPr>
      <w:r>
        <w:rPr>
          <w:rStyle w:val="FootnoteReference"/>
        </w:rPr>
        <w:footnoteRef/>
      </w:r>
      <w:r>
        <w:tab/>
      </w:r>
      <w:r>
        <w:rPr>
          <w:sz w:val="18"/>
        </w:rPr>
        <w:t>Ifølge den officielle budgetkontoplan.</w:t>
      </w:r>
    </w:p>
  </w:footnote>
  <w:footnote w:id="15">
    <w:p>
      <w:pPr>
        <w:pStyle w:val="FootnoteText"/>
        <w:rPr>
          <w:szCs w:val="24"/>
        </w:rPr>
      </w:pPr>
      <w:r>
        <w:rPr>
          <w:rStyle w:val="FootnoteReference"/>
        </w:rPr>
        <w:footnoteRef/>
      </w:r>
      <w:r>
        <w:tab/>
      </w:r>
      <w:r>
        <w:rPr>
          <w:sz w:val="18"/>
        </w:rPr>
        <w:t>Teknisk og/eller administrativ bistand og udgifter til støtte for gennemførelsen af EU's programmer og/eller aktioner (tidligere BA-poster), indirekte forskning, direkte forskning.</w:t>
      </w:r>
    </w:p>
  </w:footnote>
  <w:footnote w:id="16">
    <w:p>
      <w:pPr>
        <w:pStyle w:val="FootnoteText"/>
        <w:rPr>
          <w:szCs w:val="24"/>
        </w:rPr>
      </w:pPr>
      <w:r>
        <w:rPr>
          <w:rStyle w:val="FootnoteReference"/>
        </w:rPr>
        <w:footnoteRef/>
      </w:r>
      <w:r>
        <w:tab/>
        <w:t>Resultater er de produkter og tjenesteydelser, der skal leveres (f.eks. antal finansierede studenterudvekslinger, antal km bygget vej osv.).</w:t>
      </w:r>
    </w:p>
  </w:footnote>
  <w:footnote w:id="17">
    <w:p>
      <w:pPr>
        <w:pStyle w:val="FootnoteText"/>
        <w:rPr>
          <w:szCs w:val="24"/>
        </w:rPr>
      </w:pPr>
      <w:r>
        <w:rPr>
          <w:rStyle w:val="FootnoteReference"/>
        </w:rPr>
        <w:footnoteRef/>
      </w:r>
      <w:r>
        <w:tab/>
        <w:t xml:space="preserve">Som beskrevet i punkt 1.4.2. "Specifikke mål ...". </w:t>
      </w:r>
    </w:p>
  </w:footnote>
  <w:footnote w:id="18">
    <w:p>
      <w:pPr>
        <w:pStyle w:val="FootnoteText"/>
        <w:rPr>
          <w:sz w:val="18"/>
          <w:szCs w:val="18"/>
        </w:rPr>
      </w:pPr>
      <w:r>
        <w:rPr>
          <w:rStyle w:val="FootnoteReference"/>
        </w:rPr>
        <w:footnoteRef/>
      </w:r>
      <w:r>
        <w:tab/>
      </w:r>
      <w:r>
        <w:rPr>
          <w:sz w:val="18"/>
        </w:rPr>
        <w:t>År n er det år, hvor gennemførelsen af forslaget/initiativet begyndes. I stedet for "n" indsættes det forventede første gennemførelsesår (f.eks.: 2021). Dette gælder også for de følgende år.</w:t>
      </w:r>
    </w:p>
  </w:footnote>
  <w:footnote w:id="19">
    <w:p>
      <w:pPr>
        <w:pStyle w:val="FootnoteText"/>
        <w:rPr>
          <w:szCs w:val="24"/>
        </w:rPr>
      </w:pPr>
      <w:r>
        <w:rPr>
          <w:rStyle w:val="FootnoteReference"/>
        </w:rPr>
        <w:footnoteRef/>
      </w:r>
      <w:r>
        <w:tab/>
      </w:r>
      <w:r>
        <w:rPr>
          <w:sz w:val="18"/>
        </w:rPr>
        <w:t>Teknisk og/eller administrativ bistand og udgifter til støtte for gennemførelsen af EU's programmer og/eller aktioner (tidligere BA-poster), indirekte forskning, direkte forskning.</w:t>
      </w:r>
    </w:p>
  </w:footnote>
  <w:footnote w:id="20">
    <w:p>
      <w:pPr>
        <w:pStyle w:val="FootnoteText"/>
        <w:rPr>
          <w:szCs w:val="24"/>
        </w:rPr>
      </w:pPr>
      <w:r>
        <w:rPr>
          <w:rStyle w:val="FootnoteReference"/>
        </w:rPr>
        <w:footnoteRef/>
      </w:r>
      <w:r>
        <w:tab/>
        <w:t xml:space="preserve">KA: kontraktansatte, LA: lokalt ansatte, UNE: udstationerede nationale eksperter, V: vikarer, JED: junioreksperter ved delegationerne. </w:t>
      </w:r>
    </w:p>
  </w:footnote>
  <w:footnote w:id="21">
    <w:p>
      <w:pPr>
        <w:pStyle w:val="FootnoteText"/>
        <w:rPr>
          <w:szCs w:val="24"/>
        </w:rPr>
      </w:pPr>
      <w:r>
        <w:rPr>
          <w:rStyle w:val="FootnoteReference"/>
        </w:rPr>
        <w:footnoteRef/>
      </w:r>
      <w:r>
        <w:tab/>
        <w:t>Delloft for eksternt personale under aktionsbevillingerne (tidligere BA-poster).</w:t>
      </w:r>
    </w:p>
  </w:footnote>
  <w:footnote w:id="22">
    <w:p>
      <w:pPr>
        <w:pStyle w:val="FootnoteText"/>
      </w:pPr>
      <w:r>
        <w:rPr>
          <w:rStyle w:val="FootnoteReference"/>
        </w:rPr>
        <w:footnoteRef/>
      </w:r>
      <w:r>
        <w:tab/>
        <w:t>År n er det år, hvor gennemførelsen af forslaget/initiativet begyndes. I stedet for "n" indsættes det forventede første gennemførelsesår (f.eks.: 2021). Dette gælder også for de følgende år.</w:t>
      </w:r>
    </w:p>
  </w:footnote>
  <w:footnote w:id="23">
    <w:p>
      <w:pPr>
        <w:pStyle w:val="FootnoteText"/>
        <w:rPr>
          <w:szCs w:val="24"/>
        </w:rPr>
      </w:pPr>
      <w:r>
        <w:rPr>
          <w:rStyle w:val="FootnoteReference"/>
        </w:rPr>
        <w:footnoteRef/>
      </w:r>
      <w:r>
        <w:tab/>
        <w:t>Med hensyn til EU's traditionelle egne indtægter (told og sukkerafgifter) opgives beløbene netto, dvs. bruttobeløb, hvorfra der er trukket opkrævningsomkostninger på 20 %.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3203F3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294C9BA"/>
    <w:lvl w:ilvl="0">
      <w:start w:val="1"/>
      <w:numFmt w:val="decimal"/>
      <w:pStyle w:val="ListNumber3"/>
      <w:lvlText w:val="%1."/>
      <w:lvlJc w:val="left"/>
      <w:pPr>
        <w:tabs>
          <w:tab w:val="num" w:pos="926"/>
        </w:tabs>
        <w:ind w:left="926" w:hanging="360"/>
      </w:pPr>
    </w:lvl>
  </w:abstractNum>
  <w:abstractNum w:abstractNumId="2">
    <w:nsid w:val="FFFFFF7F"/>
    <w:multiLevelType w:val="singleLevel"/>
    <w:tmpl w:val="98BAB75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E22F01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50280D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7F887E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0FA6654"/>
    <w:lvl w:ilvl="0">
      <w:start w:val="1"/>
      <w:numFmt w:val="decimal"/>
      <w:pStyle w:val="ListNumber"/>
      <w:lvlText w:val="%1."/>
      <w:lvlJc w:val="left"/>
      <w:pPr>
        <w:tabs>
          <w:tab w:val="num" w:pos="360"/>
        </w:tabs>
        <w:ind w:left="360" w:hanging="360"/>
      </w:pPr>
    </w:lvl>
  </w:abstractNum>
  <w:abstractNum w:abstractNumId="7">
    <w:nsid w:val="FFFFFF89"/>
    <w:multiLevelType w:val="singleLevel"/>
    <w:tmpl w:val="0ACA58B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10">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6">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1">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28"/>
    <w:lvlOverride w:ilvl="0">
      <w:startOverride w:val="1"/>
    </w:lvlOverride>
  </w:num>
  <w:num w:numId="7">
    <w:abstractNumId w:val="6"/>
  </w:num>
  <w:num w:numId="8">
    <w:abstractNumId w:val="2"/>
  </w:num>
  <w:num w:numId="9">
    <w:abstractNumId w:val="1"/>
  </w:num>
  <w:num w:numId="10">
    <w:abstractNumId w:val="8"/>
  </w:num>
  <w:num w:numId="11">
    <w:abstractNumId w:val="15"/>
  </w:num>
  <w:num w:numId="12">
    <w:abstractNumId w:val="21"/>
  </w:num>
  <w:num w:numId="13">
    <w:abstractNumId w:val="20"/>
  </w:num>
  <w:num w:numId="14">
    <w:abstractNumId w:val="9"/>
  </w:num>
  <w:num w:numId="15">
    <w:abstractNumId w:val="16"/>
  </w:num>
  <w:num w:numId="16">
    <w:abstractNumId w:val="10"/>
  </w:num>
  <w:num w:numId="17">
    <w:abstractNumId w:val="25"/>
  </w:num>
  <w:num w:numId="18">
    <w:abstractNumId w:val="17"/>
  </w:num>
  <w:num w:numId="19">
    <w:abstractNumId w:val="27"/>
  </w:num>
  <w:num w:numId="20">
    <w:abstractNumId w:val="14"/>
  </w:num>
  <w:num w:numId="21">
    <w:abstractNumId w:val="18"/>
  </w:num>
  <w:num w:numId="22">
    <w:abstractNumId w:val="12"/>
  </w:num>
  <w:num w:numId="23">
    <w:abstractNumId w:val="26"/>
  </w:num>
  <w:num w:numId="24">
    <w:abstractNumId w:val="11"/>
  </w:num>
  <w:num w:numId="25">
    <w:abstractNumId w:val="19"/>
  </w:num>
  <w:num w:numId="26">
    <w:abstractNumId w:val="23"/>
  </w:num>
  <w:num w:numId="27">
    <w:abstractNumId w:val="24"/>
  </w:num>
  <w:num w:numId="28">
    <w:abstractNumId w:val="13"/>
  </w:num>
  <w:num w:numId="29">
    <w:abstractNumId w:val="22"/>
  </w:num>
  <w:num w:numId="30">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1-07 09:32:2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RRIGENDUM" w:val="&lt;UNUSED&gt;"/>
    <w:docVar w:name="LW_COVERPAGE_EXISTS" w:val="True"/>
    <w:docVar w:name="LW_COVERPAGE_GUID" w:val="BAE7F900-38B6-4571-9368-10B62B8FFF6D"/>
    <w:docVar w:name="LW_COVERPAGE_TYPE" w:val="1"/>
    <w:docVar w:name="LW_CROSSREFERENCE" w:val="&lt;UNUSED&gt;"/>
    <w:docVar w:name="LW_DocType" w:val="COM"/>
    <w:docVar w:name="LW_EMISSION" w:val="7.1.2020"/>
    <w:docVar w:name="LW_EMISSION_ISODATE" w:val="2020-01-07"/>
    <w:docVar w:name="LW_EMISSION_LOCATION" w:val="BRX"/>
    <w:docVar w:name="LW_EMISSION_PREFIX" w:val="Bruxelles, den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NLE"/>
    <w:docVar w:name="LW_REF.II.NEW.CP_NUMBER" w:val="0002"/>
    <w:docVar w:name="LW_REF.II.NEW.CP_YEAR" w:val="2020"/>
    <w:docVar w:name="LW_REF.INST.NEW" w:val="COM"/>
    <w:docVar w:name="LW_REF.INST.NEW_ADOPTED" w:val="final"/>
    <w:docVar w:name="LW_REF.INST.NEW_TEXT" w:val="(2020) 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orslag til"/>
    <w:docVar w:name="LW_SUPERTITRE" w:val="&lt;UNUSED&gt;"/>
    <w:docVar w:name="LW_TITRE.OBJ.CP" w:val="om indgåelse på Unionens vegne af partnerskabsaftalen om bæredygtigt fiskeri og den tilhørende gennemførelsesprotokol (2020-2026) mellem Den Europæiske Union og Republikken Seychellerne"/>
    <w:docVar w:name="LW_TYPE.DOC.CP" w:val="RÅDETS AFGØRE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Number4">
    <w:name w:val="List Number 4"/>
    <w:basedOn w:val="Normal"/>
    <w:unhideWhenUsed/>
    <w:pPr>
      <w:numPr>
        <w:numId w:val="1"/>
      </w:numPr>
      <w:contextualSpacing/>
    </w:p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7"/>
      </w:numPr>
      <w:contextualSpacing/>
    </w:pPr>
  </w:style>
  <w:style w:type="paragraph" w:styleId="ListNumber2">
    <w:name w:val="List Number 2"/>
    <w:basedOn w:val="Normal"/>
    <w:unhideWhenUsed/>
    <w:pPr>
      <w:numPr>
        <w:numId w:val="8"/>
      </w:numPr>
      <w:contextualSpacing/>
    </w:pPr>
  </w:style>
  <w:style w:type="paragraph" w:styleId="ListNumber3">
    <w:name w:val="List Number 3"/>
    <w:basedOn w:val="Normal"/>
    <w:unhideWhenUsed/>
    <w:pPr>
      <w:numPr>
        <w:numId w:val="9"/>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da-DK"/>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da-DK"/>
    </w:rPr>
  </w:style>
  <w:style w:type="paragraph" w:customStyle="1" w:styleId="ListNumberLevel2">
    <w:name w:val="List Number (Level 2)"/>
    <w:basedOn w:val="Normal"/>
    <w:pPr>
      <w:tabs>
        <w:tab w:val="num" w:pos="1417"/>
      </w:tabs>
      <w:ind w:left="1417" w:hanging="708"/>
    </w:pPr>
    <w:rPr>
      <w:rFonts w:eastAsia="Times New Roman"/>
      <w:lang w:eastAsia="fr-FR" w:bidi="fr-FR"/>
    </w:rPr>
  </w:style>
  <w:style w:type="paragraph" w:customStyle="1" w:styleId="ListNumberLevel3">
    <w:name w:val="List Number (Level 3)"/>
    <w:basedOn w:val="Normal"/>
    <w:pPr>
      <w:tabs>
        <w:tab w:val="num" w:pos="2126"/>
      </w:tabs>
      <w:ind w:left="2126" w:hanging="709"/>
    </w:pPr>
    <w:rPr>
      <w:rFonts w:eastAsia="Times New Roman"/>
      <w:lang w:eastAsia="fr-FR" w:bidi="fr-FR"/>
    </w:rPr>
  </w:style>
  <w:style w:type="paragraph" w:customStyle="1" w:styleId="ListNumberLevel4">
    <w:name w:val="List Number (Level 4)"/>
    <w:basedOn w:val="Normal"/>
    <w:pPr>
      <w:tabs>
        <w:tab w:val="num" w:pos="2835"/>
      </w:tabs>
      <w:ind w:left="2835" w:hanging="709"/>
    </w:pPr>
    <w:rPr>
      <w:rFonts w:eastAsia="Times New Roman"/>
      <w:lang w:eastAsia="fr-FR" w:bidi="fr-FR"/>
    </w:rPr>
  </w:style>
  <w:style w:type="paragraph" w:customStyle="1" w:styleId="ListBullet1">
    <w:name w:val="List Bullet 1"/>
    <w:basedOn w:val="Normal"/>
    <w:pPr>
      <w:numPr>
        <w:numId w:val="10"/>
      </w:numPr>
    </w:pPr>
    <w:rPr>
      <w:rFonts w:eastAsia="Times New Roman"/>
      <w:lang w:eastAsia="de-DE"/>
    </w:rPr>
  </w:style>
  <w:style w:type="paragraph" w:customStyle="1" w:styleId="ListDash">
    <w:name w:val="List Dash"/>
    <w:basedOn w:val="Normal"/>
    <w:pPr>
      <w:numPr>
        <w:numId w:val="11"/>
      </w:numPr>
    </w:pPr>
    <w:rPr>
      <w:rFonts w:eastAsia="Times New Roman"/>
      <w:lang w:eastAsia="de-DE"/>
    </w:rPr>
  </w:style>
  <w:style w:type="paragraph" w:customStyle="1" w:styleId="ListDash1">
    <w:name w:val="List Dash 1"/>
    <w:basedOn w:val="Normal"/>
    <w:pPr>
      <w:numPr>
        <w:numId w:val="12"/>
      </w:numPr>
    </w:pPr>
    <w:rPr>
      <w:rFonts w:eastAsia="Times New Roman"/>
      <w:lang w:eastAsia="de-DE"/>
    </w:rPr>
  </w:style>
  <w:style w:type="paragraph" w:customStyle="1" w:styleId="ListDash2">
    <w:name w:val="List Dash 2"/>
    <w:basedOn w:val="Normal"/>
    <w:pPr>
      <w:numPr>
        <w:numId w:val="13"/>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3">
    <w:name w:val="List Dash 3"/>
    <w:basedOn w:val="Normal"/>
    <w:pPr>
      <w:numPr>
        <w:numId w:val="14"/>
      </w:numPr>
    </w:pPr>
    <w:rPr>
      <w:rFonts w:eastAsia="Times New Roman"/>
      <w:lang w:eastAsia="en-GB"/>
    </w:rPr>
  </w:style>
  <w:style w:type="paragraph" w:customStyle="1" w:styleId="ListDash4">
    <w:name w:val="List Dash 4"/>
    <w:basedOn w:val="Normal"/>
    <w:pPr>
      <w:numPr>
        <w:numId w:val="15"/>
      </w:numPr>
    </w:pPr>
    <w:rPr>
      <w:rFonts w:eastAsia="Times New Roman"/>
      <w:lang w:eastAsia="en-GB"/>
    </w:rPr>
  </w:style>
  <w:style w:type="paragraph" w:customStyle="1" w:styleId="ListNumber1">
    <w:name w:val="List Number 1"/>
    <w:basedOn w:val="Text1"/>
    <w:pPr>
      <w:numPr>
        <w:numId w:val="16"/>
      </w:numPr>
    </w:pPr>
    <w:rPr>
      <w:rFonts w:eastAsia="Times New Roman"/>
      <w:lang w:eastAsia="en-GB"/>
    </w:rPr>
  </w:style>
  <w:style w:type="paragraph" w:customStyle="1" w:styleId="ListNumber1Level2">
    <w:name w:val="List Number 1 (Level 2)"/>
    <w:basedOn w:val="Text1"/>
    <w:pPr>
      <w:numPr>
        <w:ilvl w:val="1"/>
        <w:numId w:val="16"/>
      </w:numPr>
    </w:pPr>
    <w:rPr>
      <w:rFonts w:eastAsia="Times New Roman"/>
      <w:lang w:eastAsia="en-GB"/>
    </w:rPr>
  </w:style>
  <w:style w:type="paragraph" w:customStyle="1" w:styleId="ListNumber2Level2">
    <w:name w:val="List Number 2 (Level 2)"/>
    <w:basedOn w:val="Text2"/>
    <w:pPr>
      <w:tabs>
        <w:tab w:val="num" w:pos="2268"/>
      </w:tabs>
      <w:ind w:left="2268" w:hanging="708"/>
    </w:pPr>
    <w:rPr>
      <w:rFonts w:eastAsia="Times New Roman"/>
      <w:lang w:eastAsia="en-GB"/>
    </w:rPr>
  </w:style>
  <w:style w:type="paragraph" w:customStyle="1" w:styleId="ListNumber3Level2">
    <w:name w:val="List Number 3 (Level 2)"/>
    <w:basedOn w:val="Text3"/>
    <w:pPr>
      <w:tabs>
        <w:tab w:val="num" w:pos="2268"/>
      </w:tabs>
      <w:ind w:left="2268" w:hanging="708"/>
    </w:pPr>
    <w:rPr>
      <w:rFonts w:eastAsia="Times New Roman"/>
      <w:lang w:eastAsia="en-GB"/>
    </w:rPr>
  </w:style>
  <w:style w:type="paragraph" w:customStyle="1" w:styleId="ListNumber4Level2">
    <w:name w:val="List Number 4 (Level 2)"/>
    <w:basedOn w:val="Text4"/>
    <w:pPr>
      <w:tabs>
        <w:tab w:val="num" w:pos="2268"/>
      </w:tabs>
      <w:ind w:left="2268" w:hanging="708"/>
    </w:pPr>
    <w:rPr>
      <w:rFonts w:eastAsia="Times New Roman"/>
      <w:lang w:eastAsia="en-GB"/>
    </w:rPr>
  </w:style>
  <w:style w:type="paragraph" w:customStyle="1" w:styleId="ListNumber1Level3">
    <w:name w:val="List Number 1 (Level 3)"/>
    <w:basedOn w:val="Text1"/>
    <w:pPr>
      <w:numPr>
        <w:ilvl w:val="2"/>
        <w:numId w:val="16"/>
      </w:numPr>
    </w:pPr>
    <w:rPr>
      <w:rFonts w:eastAsia="Times New Roman"/>
      <w:lang w:eastAsia="en-GB"/>
    </w:rPr>
  </w:style>
  <w:style w:type="paragraph" w:customStyle="1" w:styleId="ListNumber2Level3">
    <w:name w:val="List Number 2 (Level 3)"/>
    <w:basedOn w:val="Text2"/>
    <w:pPr>
      <w:tabs>
        <w:tab w:val="num" w:pos="2977"/>
      </w:tabs>
      <w:ind w:left="2977" w:hanging="709"/>
    </w:pPr>
    <w:rPr>
      <w:rFonts w:eastAsia="Times New Roman"/>
      <w:lang w:eastAsia="en-GB"/>
    </w:rPr>
  </w:style>
  <w:style w:type="paragraph" w:customStyle="1" w:styleId="ListNumber3Level3">
    <w:name w:val="List Number 3 (Level 3)"/>
    <w:basedOn w:val="Text3"/>
    <w:pPr>
      <w:tabs>
        <w:tab w:val="num" w:pos="2977"/>
      </w:tabs>
      <w:ind w:left="2977" w:hanging="709"/>
    </w:pPr>
    <w:rPr>
      <w:rFonts w:eastAsia="Times New Roman"/>
      <w:lang w:eastAsia="en-GB"/>
    </w:rPr>
  </w:style>
  <w:style w:type="paragraph" w:customStyle="1" w:styleId="ListNumber4Level3">
    <w:name w:val="List Number 4 (Level 3)"/>
    <w:basedOn w:val="Text4"/>
    <w:pPr>
      <w:tabs>
        <w:tab w:val="num" w:pos="2977"/>
      </w:tabs>
      <w:ind w:left="2977" w:hanging="709"/>
    </w:pPr>
    <w:rPr>
      <w:rFonts w:eastAsia="Times New Roman"/>
      <w:lang w:eastAsia="en-GB"/>
    </w:rPr>
  </w:style>
  <w:style w:type="paragraph" w:customStyle="1" w:styleId="ListNumber1Level4">
    <w:name w:val="List Number 1 (Level 4)"/>
    <w:basedOn w:val="Text1"/>
    <w:pPr>
      <w:numPr>
        <w:ilvl w:val="3"/>
        <w:numId w:val="16"/>
      </w:numPr>
    </w:pPr>
    <w:rPr>
      <w:rFonts w:eastAsia="Times New Roman"/>
      <w:lang w:eastAsia="en-GB"/>
    </w:rPr>
  </w:style>
  <w:style w:type="paragraph" w:customStyle="1" w:styleId="ListNumber2Level4">
    <w:name w:val="List Number 2 (Level 4)"/>
    <w:basedOn w:val="Text2"/>
    <w:pPr>
      <w:tabs>
        <w:tab w:val="num" w:pos="3686"/>
      </w:tabs>
      <w:ind w:left="3686" w:hanging="709"/>
    </w:pPr>
    <w:rPr>
      <w:rFonts w:eastAsia="Times New Roman"/>
      <w:lang w:eastAsia="en-GB"/>
    </w:rPr>
  </w:style>
  <w:style w:type="paragraph" w:customStyle="1" w:styleId="ListNumber3Level4">
    <w:name w:val="List Number 3 (Level 4)"/>
    <w:basedOn w:val="Text3"/>
    <w:pPr>
      <w:tabs>
        <w:tab w:val="num" w:pos="3686"/>
      </w:tabs>
      <w:ind w:left="3686" w:hanging="709"/>
    </w:pPr>
    <w:rPr>
      <w:rFonts w:eastAsia="Times New Roman"/>
      <w:lang w:eastAsia="en-GB"/>
    </w:rPr>
  </w:style>
  <w:style w:type="paragraph" w:customStyle="1" w:styleId="ListNumber4Level4">
    <w:name w:val="List Number 4 (Level 4)"/>
    <w:basedOn w:val="Text4"/>
    <w:pPr>
      <w:tabs>
        <w:tab w:val="num" w:pos="3686"/>
      </w:tabs>
      <w:ind w:left="3686" w:hanging="709"/>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da-DK"/>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da-DK"/>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en-GB"/>
    </w:rPr>
  </w:style>
  <w:style w:type="character" w:customStyle="1" w:styleId="HeaderCoverPageChar">
    <w:name w:val="Header Cover Page Char"/>
    <w:link w:val="HeaderCoverPage"/>
    <w:rPr>
      <w:rFonts w:ascii="Times New Roman" w:eastAsia="Calibri" w:hAnsi="Times New Roman" w:cs="Times New Roman"/>
      <w:sz w:val="24"/>
      <w:lang w:val="da-DK" w:eastAsia="en-GB"/>
    </w:rPr>
  </w:style>
  <w:style w:type="paragraph" w:customStyle="1" w:styleId="Normal1">
    <w:name w:val="Normal1"/>
    <w:basedOn w:val="Normal"/>
    <w:pPr>
      <w:spacing w:after="0"/>
    </w:pPr>
    <w:rPr>
      <w:szCs w:val="24"/>
      <w:lang w:eastAsia="en-GB" w:bidi="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Number4">
    <w:name w:val="List Number 4"/>
    <w:basedOn w:val="Normal"/>
    <w:unhideWhenUsed/>
    <w:pPr>
      <w:numPr>
        <w:numId w:val="1"/>
      </w:numPr>
      <w:contextualSpacing/>
    </w:p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7"/>
      </w:numPr>
      <w:contextualSpacing/>
    </w:pPr>
  </w:style>
  <w:style w:type="paragraph" w:styleId="ListNumber2">
    <w:name w:val="List Number 2"/>
    <w:basedOn w:val="Normal"/>
    <w:unhideWhenUsed/>
    <w:pPr>
      <w:numPr>
        <w:numId w:val="8"/>
      </w:numPr>
      <w:contextualSpacing/>
    </w:pPr>
  </w:style>
  <w:style w:type="paragraph" w:styleId="ListNumber3">
    <w:name w:val="List Number 3"/>
    <w:basedOn w:val="Normal"/>
    <w:unhideWhenUsed/>
    <w:pPr>
      <w:numPr>
        <w:numId w:val="9"/>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da-DK"/>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da-DK"/>
    </w:rPr>
  </w:style>
  <w:style w:type="paragraph" w:customStyle="1" w:styleId="ListNumberLevel2">
    <w:name w:val="List Number (Level 2)"/>
    <w:basedOn w:val="Normal"/>
    <w:pPr>
      <w:tabs>
        <w:tab w:val="num" w:pos="1417"/>
      </w:tabs>
      <w:ind w:left="1417" w:hanging="708"/>
    </w:pPr>
    <w:rPr>
      <w:rFonts w:eastAsia="Times New Roman"/>
      <w:lang w:eastAsia="fr-FR" w:bidi="fr-FR"/>
    </w:rPr>
  </w:style>
  <w:style w:type="paragraph" w:customStyle="1" w:styleId="ListNumberLevel3">
    <w:name w:val="List Number (Level 3)"/>
    <w:basedOn w:val="Normal"/>
    <w:pPr>
      <w:tabs>
        <w:tab w:val="num" w:pos="2126"/>
      </w:tabs>
      <w:ind w:left="2126" w:hanging="709"/>
    </w:pPr>
    <w:rPr>
      <w:rFonts w:eastAsia="Times New Roman"/>
      <w:lang w:eastAsia="fr-FR" w:bidi="fr-FR"/>
    </w:rPr>
  </w:style>
  <w:style w:type="paragraph" w:customStyle="1" w:styleId="ListNumberLevel4">
    <w:name w:val="List Number (Level 4)"/>
    <w:basedOn w:val="Normal"/>
    <w:pPr>
      <w:tabs>
        <w:tab w:val="num" w:pos="2835"/>
      </w:tabs>
      <w:ind w:left="2835" w:hanging="709"/>
    </w:pPr>
    <w:rPr>
      <w:rFonts w:eastAsia="Times New Roman"/>
      <w:lang w:eastAsia="fr-FR" w:bidi="fr-FR"/>
    </w:rPr>
  </w:style>
  <w:style w:type="paragraph" w:customStyle="1" w:styleId="ListBullet1">
    <w:name w:val="List Bullet 1"/>
    <w:basedOn w:val="Normal"/>
    <w:pPr>
      <w:numPr>
        <w:numId w:val="10"/>
      </w:numPr>
    </w:pPr>
    <w:rPr>
      <w:rFonts w:eastAsia="Times New Roman"/>
      <w:lang w:eastAsia="de-DE"/>
    </w:rPr>
  </w:style>
  <w:style w:type="paragraph" w:customStyle="1" w:styleId="ListDash">
    <w:name w:val="List Dash"/>
    <w:basedOn w:val="Normal"/>
    <w:pPr>
      <w:numPr>
        <w:numId w:val="11"/>
      </w:numPr>
    </w:pPr>
    <w:rPr>
      <w:rFonts w:eastAsia="Times New Roman"/>
      <w:lang w:eastAsia="de-DE"/>
    </w:rPr>
  </w:style>
  <w:style w:type="paragraph" w:customStyle="1" w:styleId="ListDash1">
    <w:name w:val="List Dash 1"/>
    <w:basedOn w:val="Normal"/>
    <w:pPr>
      <w:numPr>
        <w:numId w:val="12"/>
      </w:numPr>
    </w:pPr>
    <w:rPr>
      <w:rFonts w:eastAsia="Times New Roman"/>
      <w:lang w:eastAsia="de-DE"/>
    </w:rPr>
  </w:style>
  <w:style w:type="paragraph" w:customStyle="1" w:styleId="ListDash2">
    <w:name w:val="List Dash 2"/>
    <w:basedOn w:val="Normal"/>
    <w:pPr>
      <w:numPr>
        <w:numId w:val="13"/>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3">
    <w:name w:val="List Dash 3"/>
    <w:basedOn w:val="Normal"/>
    <w:pPr>
      <w:numPr>
        <w:numId w:val="14"/>
      </w:numPr>
    </w:pPr>
    <w:rPr>
      <w:rFonts w:eastAsia="Times New Roman"/>
      <w:lang w:eastAsia="en-GB"/>
    </w:rPr>
  </w:style>
  <w:style w:type="paragraph" w:customStyle="1" w:styleId="ListDash4">
    <w:name w:val="List Dash 4"/>
    <w:basedOn w:val="Normal"/>
    <w:pPr>
      <w:numPr>
        <w:numId w:val="15"/>
      </w:numPr>
    </w:pPr>
    <w:rPr>
      <w:rFonts w:eastAsia="Times New Roman"/>
      <w:lang w:eastAsia="en-GB"/>
    </w:rPr>
  </w:style>
  <w:style w:type="paragraph" w:customStyle="1" w:styleId="ListNumber1">
    <w:name w:val="List Number 1"/>
    <w:basedOn w:val="Text1"/>
    <w:pPr>
      <w:numPr>
        <w:numId w:val="16"/>
      </w:numPr>
    </w:pPr>
    <w:rPr>
      <w:rFonts w:eastAsia="Times New Roman"/>
      <w:lang w:eastAsia="en-GB"/>
    </w:rPr>
  </w:style>
  <w:style w:type="paragraph" w:customStyle="1" w:styleId="ListNumber1Level2">
    <w:name w:val="List Number 1 (Level 2)"/>
    <w:basedOn w:val="Text1"/>
    <w:pPr>
      <w:numPr>
        <w:ilvl w:val="1"/>
        <w:numId w:val="16"/>
      </w:numPr>
    </w:pPr>
    <w:rPr>
      <w:rFonts w:eastAsia="Times New Roman"/>
      <w:lang w:eastAsia="en-GB"/>
    </w:rPr>
  </w:style>
  <w:style w:type="paragraph" w:customStyle="1" w:styleId="ListNumber2Level2">
    <w:name w:val="List Number 2 (Level 2)"/>
    <w:basedOn w:val="Text2"/>
    <w:pPr>
      <w:tabs>
        <w:tab w:val="num" w:pos="2268"/>
      </w:tabs>
      <w:ind w:left="2268" w:hanging="708"/>
    </w:pPr>
    <w:rPr>
      <w:rFonts w:eastAsia="Times New Roman"/>
      <w:lang w:eastAsia="en-GB"/>
    </w:rPr>
  </w:style>
  <w:style w:type="paragraph" w:customStyle="1" w:styleId="ListNumber3Level2">
    <w:name w:val="List Number 3 (Level 2)"/>
    <w:basedOn w:val="Text3"/>
    <w:pPr>
      <w:tabs>
        <w:tab w:val="num" w:pos="2268"/>
      </w:tabs>
      <w:ind w:left="2268" w:hanging="708"/>
    </w:pPr>
    <w:rPr>
      <w:rFonts w:eastAsia="Times New Roman"/>
      <w:lang w:eastAsia="en-GB"/>
    </w:rPr>
  </w:style>
  <w:style w:type="paragraph" w:customStyle="1" w:styleId="ListNumber4Level2">
    <w:name w:val="List Number 4 (Level 2)"/>
    <w:basedOn w:val="Text4"/>
    <w:pPr>
      <w:tabs>
        <w:tab w:val="num" w:pos="2268"/>
      </w:tabs>
      <w:ind w:left="2268" w:hanging="708"/>
    </w:pPr>
    <w:rPr>
      <w:rFonts w:eastAsia="Times New Roman"/>
      <w:lang w:eastAsia="en-GB"/>
    </w:rPr>
  </w:style>
  <w:style w:type="paragraph" w:customStyle="1" w:styleId="ListNumber1Level3">
    <w:name w:val="List Number 1 (Level 3)"/>
    <w:basedOn w:val="Text1"/>
    <w:pPr>
      <w:numPr>
        <w:ilvl w:val="2"/>
        <w:numId w:val="16"/>
      </w:numPr>
    </w:pPr>
    <w:rPr>
      <w:rFonts w:eastAsia="Times New Roman"/>
      <w:lang w:eastAsia="en-GB"/>
    </w:rPr>
  </w:style>
  <w:style w:type="paragraph" w:customStyle="1" w:styleId="ListNumber2Level3">
    <w:name w:val="List Number 2 (Level 3)"/>
    <w:basedOn w:val="Text2"/>
    <w:pPr>
      <w:tabs>
        <w:tab w:val="num" w:pos="2977"/>
      </w:tabs>
      <w:ind w:left="2977" w:hanging="709"/>
    </w:pPr>
    <w:rPr>
      <w:rFonts w:eastAsia="Times New Roman"/>
      <w:lang w:eastAsia="en-GB"/>
    </w:rPr>
  </w:style>
  <w:style w:type="paragraph" w:customStyle="1" w:styleId="ListNumber3Level3">
    <w:name w:val="List Number 3 (Level 3)"/>
    <w:basedOn w:val="Text3"/>
    <w:pPr>
      <w:tabs>
        <w:tab w:val="num" w:pos="2977"/>
      </w:tabs>
      <w:ind w:left="2977" w:hanging="709"/>
    </w:pPr>
    <w:rPr>
      <w:rFonts w:eastAsia="Times New Roman"/>
      <w:lang w:eastAsia="en-GB"/>
    </w:rPr>
  </w:style>
  <w:style w:type="paragraph" w:customStyle="1" w:styleId="ListNumber4Level3">
    <w:name w:val="List Number 4 (Level 3)"/>
    <w:basedOn w:val="Text4"/>
    <w:pPr>
      <w:tabs>
        <w:tab w:val="num" w:pos="2977"/>
      </w:tabs>
      <w:ind w:left="2977" w:hanging="709"/>
    </w:pPr>
    <w:rPr>
      <w:rFonts w:eastAsia="Times New Roman"/>
      <w:lang w:eastAsia="en-GB"/>
    </w:rPr>
  </w:style>
  <w:style w:type="paragraph" w:customStyle="1" w:styleId="ListNumber1Level4">
    <w:name w:val="List Number 1 (Level 4)"/>
    <w:basedOn w:val="Text1"/>
    <w:pPr>
      <w:numPr>
        <w:ilvl w:val="3"/>
        <w:numId w:val="16"/>
      </w:numPr>
    </w:pPr>
    <w:rPr>
      <w:rFonts w:eastAsia="Times New Roman"/>
      <w:lang w:eastAsia="en-GB"/>
    </w:rPr>
  </w:style>
  <w:style w:type="paragraph" w:customStyle="1" w:styleId="ListNumber2Level4">
    <w:name w:val="List Number 2 (Level 4)"/>
    <w:basedOn w:val="Text2"/>
    <w:pPr>
      <w:tabs>
        <w:tab w:val="num" w:pos="3686"/>
      </w:tabs>
      <w:ind w:left="3686" w:hanging="709"/>
    </w:pPr>
    <w:rPr>
      <w:rFonts w:eastAsia="Times New Roman"/>
      <w:lang w:eastAsia="en-GB"/>
    </w:rPr>
  </w:style>
  <w:style w:type="paragraph" w:customStyle="1" w:styleId="ListNumber3Level4">
    <w:name w:val="List Number 3 (Level 4)"/>
    <w:basedOn w:val="Text3"/>
    <w:pPr>
      <w:tabs>
        <w:tab w:val="num" w:pos="3686"/>
      </w:tabs>
      <w:ind w:left="3686" w:hanging="709"/>
    </w:pPr>
    <w:rPr>
      <w:rFonts w:eastAsia="Times New Roman"/>
      <w:lang w:eastAsia="en-GB"/>
    </w:rPr>
  </w:style>
  <w:style w:type="paragraph" w:customStyle="1" w:styleId="ListNumber4Level4">
    <w:name w:val="List Number 4 (Level 4)"/>
    <w:basedOn w:val="Text4"/>
    <w:pPr>
      <w:tabs>
        <w:tab w:val="num" w:pos="3686"/>
      </w:tabs>
      <w:ind w:left="3686" w:hanging="709"/>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da-DK"/>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da-DK"/>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en-GB"/>
    </w:rPr>
  </w:style>
  <w:style w:type="character" w:customStyle="1" w:styleId="HeaderCoverPageChar">
    <w:name w:val="Header Cover Page Char"/>
    <w:link w:val="HeaderCoverPage"/>
    <w:rPr>
      <w:rFonts w:ascii="Times New Roman" w:eastAsia="Calibri" w:hAnsi="Times New Roman" w:cs="Times New Roman"/>
      <w:sz w:val="24"/>
      <w:lang w:val="da-DK" w:eastAsia="en-GB"/>
    </w:rPr>
  </w:style>
  <w:style w:type="paragraph" w:customStyle="1" w:styleId="Normal1">
    <w:name w:val="Normal1"/>
    <w:basedOn w:val="Normal"/>
    <w:pPr>
      <w:spacing w:after="0"/>
    </w:pPr>
    <w:rPr>
      <w:szCs w:val="24"/>
      <w:lang w:eastAsia="en-GB" w:bidi="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yintracomm.ec.europa.eu/budgweb/EN/leg/internal/Documents/2016-5-legislative-financial-statement-ann-en.doc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myintracomm.ec.europa.eu/budgweb/DA/man/budgmanag/Pages/budgmanag.aspx" TargetMode="External"/><Relationship Id="rId1" Type="http://schemas.openxmlformats.org/officeDocument/2006/relationships/hyperlink" Target="https://www.consilium.europa.eu/en/documents-publications/treaties-agreements/agreement/?id=2006084&amp;DocLanguage=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8486490-0D9D-4E49-975C-00D3E27B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22</Pages>
  <Words>4680</Words>
  <Characters>30333</Characters>
  <Application>Microsoft Office Word</Application>
  <DocSecurity>0</DocSecurity>
  <Lines>1318</Lines>
  <Paragraphs>614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dcterms:created xsi:type="dcterms:W3CDTF">2020-01-06T13:30:00Z</dcterms:created>
  <dcterms:modified xsi:type="dcterms:W3CDTF">2020-01-07T08:32:00Z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