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576C42-718C-427E-A56F-6041CD007730" style="width:450pt;height:366.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ισχύουσα συμφωνία αλιευτικής σύμπραξης (ΣΑΣ) μεταξύ της Ευρωπαϊκής Ένωσης και των Σεϋχελλών</w:t>
      </w:r>
      <w:r>
        <w:rPr>
          <w:rStyle w:val="FootnoteReference"/>
          <w:noProof/>
        </w:rPr>
        <w:footnoteReference w:id="1"/>
      </w:r>
      <w:r>
        <w:rPr>
          <w:noProof/>
        </w:rPr>
        <w:t xml:space="preserve"> υπογράφηκε στις 28 Φεβρουαρίου 2007 και τέθηκε σε ισχύ στις 2 Νοεμβρίου 2007</w:t>
      </w:r>
      <w:r>
        <w:rPr>
          <w:rStyle w:val="FootnoteReference"/>
          <w:noProof/>
        </w:rPr>
        <w:footnoteReference w:id="2"/>
      </w:r>
      <w:r>
        <w:rPr>
          <w:noProof/>
        </w:rPr>
        <w:t xml:space="preserve"> για διάρκεια έξι ετών. Η συμφωνία είναι σιωπηρά ανανεώσιμη και, ως εκ τούτου, παραμένει σε ισχύ. Το ισχύον εξαετές πρωτόκολλο</w:t>
      </w:r>
      <w:r>
        <w:rPr>
          <w:rStyle w:val="FootnoteReference"/>
          <w:noProof/>
        </w:rPr>
        <w:footnoteReference w:id="3"/>
      </w:r>
      <w:r>
        <w:rPr>
          <w:noProof/>
        </w:rPr>
        <w:t xml:space="preserve"> της ΣΑΣ τέθηκε σε εφαρμογή στις 18 Ιανουαρίου 2014 και θα λήξει στις 17 Ιανουαρίου 2020. </w:t>
      </w:r>
    </w:p>
    <w:p>
      <w:pPr>
        <w:pBdr>
          <w:top w:val="nil"/>
          <w:left w:val="nil"/>
          <w:bottom w:val="nil"/>
          <w:right w:val="nil"/>
          <w:between w:val="nil"/>
          <w:bar w:val="nil"/>
        </w:pBdr>
        <w:spacing w:before="0" w:after="240"/>
        <w:rPr>
          <w:noProof/>
        </w:rPr>
      </w:pPr>
      <w:r>
        <w:rPr>
          <w:noProof/>
        </w:rPr>
        <w:t>Βάσει των σχετικών οδηγιών διαπραγμάτευσης</w:t>
      </w:r>
      <w:r>
        <w:rPr>
          <w:rStyle w:val="FootnoteReference"/>
          <w:noProof/>
        </w:rPr>
        <w:footnoteReference w:id="4"/>
      </w:r>
      <w:r>
        <w:rPr>
          <w:noProof/>
        </w:rPr>
        <w:t xml:space="preserve">, η Επιτροπή διεξήγαγε διαπραγματεύσεις με την κυβέρνηση της Δημοκρατίας των Σεϋχελλών (εφεξής «Σεϋχέλλες») με σκοπό τη σύναψη, εξ ονόματος της Ευρωπαϊκής Ένωσης, νέας συμφωνίας σύμπραξης στον τομέα της βιώσιμης αλιείας και του πρωτοκόλλου εφαρμογής της (2020–2026). Αποτέλεσμα των εν λόγω διαπραγματεύσεων ήταν η μονογράφηση συμφωνίας και πρωτοκόλλου από τους διαπραγματευτές στις 22 Οκτωβρίου 2019. Η νέα συμφωνία καταργεί και αντικαθιστά την υφιστάμενη συμφωνία· καλύπτει περίοδο έξι ετών από την ημερομηνία προσωρινής εφαρμογής που ορίζεται στο άρθρο 15, ήτοι από την ημερομηνία υπογραφής της από τα μέρη, και δύναται να ανανεωθεί με σιωπηρή παράταση. Το νέο πρωτόκολλο καλύπτει περίοδο έξι ετών από την ημερομηνία προσωρινής εφαρμογής που ορίζεται στο άρθρο 15, ήτοι από την ημερομηνία υπογραφής του από αμφότερα τα μέρη. </w:t>
      </w:r>
    </w:p>
    <w:p>
      <w:pPr>
        <w:pBdr>
          <w:top w:val="nil"/>
          <w:left w:val="nil"/>
          <w:bottom w:val="nil"/>
          <w:right w:val="nil"/>
          <w:between w:val="nil"/>
          <w:bar w:val="nil"/>
        </w:pBdr>
        <w:spacing w:before="0" w:after="240"/>
        <w:rPr>
          <w:rFonts w:eastAsia="Arial Unicode MS"/>
          <w:noProof/>
        </w:rPr>
      </w:pPr>
      <w:r>
        <w:rPr>
          <w:noProof/>
        </w:rPr>
        <w:t xml:space="preserve">Σκοπός της πρότασης είναι η έγκριση της σύναψης της συμφωνίας και του πρωτοκόλλου εφαρμογής της.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rPr>
          <w:rFonts w:eastAsia="Calibri"/>
          <w:noProof/>
        </w:rPr>
      </w:pPr>
      <w:r>
        <w:rPr>
          <w:noProof/>
        </w:rPr>
        <w:t>Κύριος στόχος της νέας συμφωνίας σύμπραξης είναι η κατάρτιση ενός επικαιροποιημένου πλαισίου το οποίο θα λαμβάνει υπόψη τις προτεραιότητες της αναθεωρημένης Κοινής Αλιευτικής Πολιτικής</w:t>
      </w:r>
      <w:r>
        <w:rPr>
          <w:rStyle w:val="FootnoteReference"/>
          <w:noProof/>
        </w:rPr>
        <w:footnoteReference w:id="5"/>
      </w:r>
      <w:r>
        <w:rPr>
          <w:noProof/>
        </w:rPr>
        <w:t xml:space="preserve"> και της εξωτερικής της διάστασης με στόχο τη συνέχιση και την ενίσχυση της στρατηγικής σύμπραξης μεταξύ της Ευρωπαϊκής Ένωσης και της Δημοκρατίας των Σεϋχελλών στον τομέα της αλιείας.</w:t>
      </w:r>
    </w:p>
    <w:p>
      <w:pPr>
        <w:rPr>
          <w:rFonts w:eastAsia="Calibri"/>
          <w:noProof/>
        </w:rPr>
      </w:pPr>
      <w:r>
        <w:rPr>
          <w:noProof/>
        </w:rPr>
        <w:t xml:space="preserve">Στόχος του πρωτοκόλλου είναι η παροχή αλιευτικών δυνατοτήτων για τα σκάφη της Ευρωπαϊκής Ένωσης στην αλιευτική ζώνη των Σεϋχελλών, σύμφωνα με τις βέλτιστες διαθέσιμες επιστημονικές γνωμοδοτήσεις και τα ψηφίσματα και συστάσεις της Επιτροπής Τόνου του Ινδικού Ωκεανού (IOTC), εντός των ορίων του διαθέσιμου πλεονάσματος. Η Επιτροπή βασίστηκε μεταξύ άλλων στα αποτελέσματα τόσο της αξιολόγησης του προηγούμενου πρωτοκόλλου (2014-2020) όσο και της αξιολόγησης προοπτικών σχετικά με το ενδεχόμενο σύναψης νέας συμφωνίας και νέου πρωτοκόλλου. Και οι δύο αξιολογήσεις πραγματοποιήθηκαν από εξωτερικούς εμπειρογνώμονες. Στόχος είναι επίσης να ενισχυθεί η συνεργασία μεταξύ της Ευρωπαϊκής Ένωσης και της Δημοκρατίας των Σεϋχελλών, με σκοπό την προώθηση μιας βιώσιμης αλιευτικής πολιτικής και της υπεύθυνης εκμετάλλευσης των αλιευτικών πόρων στην αλιευτική ζώνη των Σεϋχελλών και στον Ινδικό Ωκεανό, προς το </w:t>
      </w:r>
      <w:r>
        <w:rPr>
          <w:noProof/>
        </w:rPr>
        <w:lastRenderedPageBreak/>
        <w:t>συμφέρον αμφότερων των μερών. Επιπλέον, η συνεργασία αυτή θα συμβάλει στην προώθηση παροχής αξιοπρεπών συνθηκών εργασίας στις αλιευτικές δραστηριότητες.</w:t>
      </w:r>
    </w:p>
    <w:p>
      <w:pPr>
        <w:rPr>
          <w:rFonts w:eastAsia="Calibri"/>
          <w:noProof/>
        </w:rPr>
      </w:pPr>
      <w:r>
        <w:rPr>
          <w:noProof/>
        </w:rPr>
        <w:t>Το νέο πρωτόκολλο προβλέπει αλιευτικές δυνατότητες στις εξής κατηγορίες:</w:t>
      </w:r>
    </w:p>
    <w:p>
      <w:pPr>
        <w:rPr>
          <w:rFonts w:eastAsia="Calibri"/>
          <w:noProof/>
        </w:rPr>
      </w:pPr>
      <w:r>
        <w:rPr>
          <w:noProof/>
        </w:rPr>
        <w:t>—</w:t>
      </w:r>
      <w:r>
        <w:rPr>
          <w:noProof/>
        </w:rPr>
        <w:tab/>
        <w:t>40 θυνναλιευτικά γρι-γρι,</w:t>
      </w:r>
    </w:p>
    <w:p>
      <w:pPr>
        <w:rPr>
          <w:rFonts w:eastAsia="Calibri"/>
          <w:noProof/>
        </w:rPr>
      </w:pPr>
      <w:r>
        <w:rPr>
          <w:noProof/>
        </w:rPr>
        <w:t>—</w:t>
      </w:r>
      <w:r>
        <w:rPr>
          <w:noProof/>
        </w:rPr>
        <w:tab/>
        <w:t>8 παραγαδιάρικα επιφανείας,</w:t>
      </w:r>
    </w:p>
    <w:p>
      <w:pPr>
        <w:rPr>
          <w:rFonts w:eastAsia="Calibri"/>
          <w:noProof/>
        </w:rPr>
      </w:pPr>
      <w:r>
        <w:rPr>
          <w:noProof/>
        </w:rPr>
        <w:t>—</w:t>
      </w:r>
      <w:r>
        <w:rPr>
          <w:noProof/>
        </w:rPr>
        <w:tab/>
        <w:t>σκάφη υποστήριξης σύμφωνα με τα σχετικά ψηφίσματα της IOTC.</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spacing w:before="0" w:after="240"/>
        <w:rPr>
          <w:noProof/>
        </w:rPr>
      </w:pPr>
      <w:r>
        <w:rPr>
          <w:noProof/>
        </w:rPr>
        <w:t xml:space="preserve">Η διαπραγμάτευση νέας συμφωνίας σύμπραξης στον τομέα της βιώσιμης αλιείας και του πρωτοκόλλου εφαρμογής της με τις Σεϋχέλλες εντάσσεται στο πλαίσιο της εξωτερικής δράσης της Ένωσης έναντι των χωρών της Αφρικής, της Καραϊβικής και του Ειρηνικού (ΑΚΕ) και λαμβάνει ιδίως υπόψη τους στόχους της Ένωσης σχετικά με τον σεβασμό των δημοκρατικών αρχών και των ανθρωπίνων δικαιωμάτων.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keepNext/>
        <w:rPr>
          <w:noProof/>
          <w:sz w:val="22"/>
        </w:rPr>
      </w:pPr>
      <w:r>
        <w:rPr>
          <w:noProof/>
        </w:rPr>
        <w:t xml:space="preserve">Νομική βάση είναι το άρθρο 43 παράγραφος 2 της Συνθήκης για τη λειτουργία της Ευρωπαϊκής Ένωσης (ΣΛΕΕ), το οποίο ορίζει την κοινή αλιευτική πολιτική και το άρθρο 218 παράγραφος 5 της ΣΛΕΕ σχετικά με τη σύναψη συμφωνιών μεταξύ της Ένωσης και τρίτων χωρών και τη δυνατότητα προσωρινής εφαρμογής συμφωνιών μεταξύ της Ένωσης και τρίτων χωρών.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spacing w:before="0" w:after="240"/>
        <w:rPr>
          <w:rFonts w:eastAsia="Arial Unicode MS"/>
          <w:noProof/>
        </w:rPr>
      </w:pPr>
      <w:r>
        <w:rPr>
          <w:noProof/>
        </w:rPr>
        <w:t>Η πρόταση εμπίπτει στην αποκλειστική αρμοδιότητα της ΕΕ.</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spacing w:before="0" w:after="240"/>
        <w:rPr>
          <w:rFonts w:eastAsia="Arial Unicode MS"/>
          <w:noProof/>
        </w:rPr>
      </w:pPr>
      <w:r>
        <w:rPr>
          <w:noProof/>
        </w:rPr>
        <w:t xml:space="preserve">Η πρόταση είναι αναλογική προς τον επιδιωκόμενο στόχο, που συνίσταται στον καθορισμό νομικού, περιβαλλοντικού, οικονομικού και κοινωνικού πλαισίου διακυβέρνησης για τις αλιευτικές δραστηριότητες σκαφών της Ένωσης σε ύδατα τρίτων χωρών, όπως ορίζεται στο άρθρο 31 του κανονισμού σχετικά με την Κοινή Αλιευτική Πολιτική. Η πρόταση συνάδει με τις εν λόγω διατάξεις, καθώς και με τις διατάξεις που αφορούν τη χρηματοδοτική συνδρομή προς τρίτες χώρες, οι οποίες θεσπίζονται στο άρθρο 32 του ίδιου κανονισμού.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 xml:space="preserve">Το 2019 η Επιτροπή διεξήγαγε </w:t>
      </w:r>
      <w:r>
        <w:rPr>
          <w:i/>
          <w:noProof/>
        </w:rPr>
        <w:t>εκ των υστέρων</w:t>
      </w:r>
      <w:r>
        <w:rPr>
          <w:noProof/>
        </w:rPr>
        <w:t xml:space="preserve"> αξιολόγηση του ισχύοντος πρωτοκόλλου στο πλαίσιο της ΣΑΣ με τις Σεϋχέλλες, καθώς και </w:t>
      </w:r>
      <w:r>
        <w:rPr>
          <w:i/>
          <w:noProof/>
        </w:rPr>
        <w:t>εκ των προτέρων</w:t>
      </w:r>
      <w:r>
        <w:rPr>
          <w:noProof/>
        </w:rPr>
        <w:t xml:space="preserve"> αξιολόγηση για την ενδεχόμενη ανανέωση του πρωτοκόλλου. </w:t>
      </w:r>
    </w:p>
    <w:p>
      <w:pPr>
        <w:pBdr>
          <w:top w:val="nil"/>
          <w:left w:val="nil"/>
          <w:bottom w:val="nil"/>
          <w:right w:val="nil"/>
          <w:between w:val="nil"/>
          <w:bar w:val="nil"/>
        </w:pBdr>
        <w:spacing w:before="0" w:after="240"/>
        <w:rPr>
          <w:rFonts w:eastAsia="Arial Unicode MS"/>
          <w:noProof/>
        </w:rPr>
      </w:pPr>
      <w:r>
        <w:rPr>
          <w:noProof/>
        </w:rPr>
        <w:t xml:space="preserve">Η αξιολόγηση κατέληξε στο συμπέρασμα ότι υπάρχει σταθερό ενδιαφέρον των ενωσιακών τομέων αλιείας για αλιευτικές δραστηριότητες στις Σεϋχέλλες και ότι η ανανέωση του πρωτοκόλλου είναι προς το συμφέρον αμφότερων των μερών. Επιπλέον, η ανανέωση του πρωτοκόλλου θα συνέβαλλε στην ενίσχυση των ικανοτήτων παρακολούθησης, ελέγχου και επιτήρησης, καθώς επίσης και στη βελτίωση της διακυβέρνησης της αλιείας στην περιοχή. </w:t>
      </w:r>
    </w:p>
    <w:p>
      <w:pPr>
        <w:pBdr>
          <w:top w:val="nil"/>
          <w:left w:val="nil"/>
          <w:bottom w:val="nil"/>
          <w:right w:val="nil"/>
          <w:between w:val="nil"/>
          <w:bar w:val="nil"/>
        </w:pBdr>
        <w:spacing w:before="0" w:after="240"/>
        <w:rPr>
          <w:rFonts w:eastAsia="Arial Unicode MS"/>
          <w:noProof/>
        </w:rPr>
      </w:pPr>
      <w:r>
        <w:rPr>
          <w:noProof/>
        </w:rPr>
        <w:lastRenderedPageBreak/>
        <w:t>Για την ΕΕ είναι σημαντικό να διατηρηθεί ένα μέσο που να επιτρέπει την σε βάθος τομεακή συνεργασία με έναν σημαντικό παράγοντα στη διακυβέρνηση των ωκεανών σε υποπεριφερειακό επίπεδο, δεδομένης της έκτασης της αλιευτικής του ζώνης που υπάγεται στη δικαιοδοσία της. Η ενίσχυση των σχέσεων με τις Σεϋχέλλες συμβάλλει επίσης στη δημιουργία συμμαχιών στο πλαίσιο της IOTC. Επιπλέον, για τον στόλο της ΕΕ αυτό σημαίνει διατήρηση της πρόσβασης σε μια σημαντική περιοχή αλιείας για την ανάπτυξη στρατηγικών αλίευσης βάσει ενός πολυετούς διεθνούς νομικού πλαισίου. Πέραν αυτού, η σημασία της Βικτόριας ως ενός από τους κύριους λιμένες εκφόρτωσης συμβάλλει στη συνάφεια του προβλεπόμενου νέου πρωτοκόλλου, τόσο για τον ενωσιακό κλάδο αλιείας όσο και για τη χώρα εταίρο. Για τις αρχές των Σεϋχελλών, στόχος είναι η συνέχιση των σχέσεων με την ΕΕ με σκοπό την ενίσχυση της διακυβέρνησης των ωκεανών και η λήψη ειδικής τομεακής στήριξης που προβλέπει ευκαιρίες για πολυετή χρηματοδότηση.</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αξιολόγησης, ζητήθηκε η γνώμη των κρατών μελών, εκπροσώπων του κλάδου, διεθνών οργανώσεων της κοινωνίας των πολιτών, καθώς και των αλιευτικών αρχών και της κοινωνίας των πολιτών των Σεϋχελλών. Πραγματοποιήθηκαν επίσης διαβουλεύσεις στο πλαίσιο του γνωμοδοτικού συμβουλίου για την υπερπόντια αλιεία, ιδίως επ’ ευκαιρία της συνεδρίασής του της 27ης Μαρτίου 2019.</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spacing w:before="0" w:after="240"/>
        <w:rPr>
          <w:noProof/>
        </w:rPr>
      </w:pPr>
      <w:r>
        <w:rPr>
          <w:noProof/>
        </w:rPr>
        <w:t xml:space="preserve">Η Επιτροπή προσέφυγε σε ανεξάρτητο εξωτερικό σύμβουλο για τις </w:t>
      </w:r>
      <w:r>
        <w:rPr>
          <w:i/>
          <w:iCs/>
          <w:noProof/>
        </w:rPr>
        <w:t>εκ των υστέρων</w:t>
      </w:r>
      <w:r>
        <w:rPr>
          <w:noProof/>
        </w:rPr>
        <w:t xml:space="preserve"> και </w:t>
      </w:r>
      <w:r>
        <w:rPr>
          <w:i/>
          <w:iCs/>
          <w:noProof/>
        </w:rPr>
        <w:t>εκ των προτέρων</w:t>
      </w:r>
      <w:r>
        <w:rPr>
          <w:noProof/>
        </w:rPr>
        <w:t xml:space="preserve"> αξιολογήσεις, σύμφωνα με τις διατάξεις του άρθρου 31 παράγραφος 10 του κανονισμού για την κοινή αλιευτική πολιτική.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noProof/>
        </w:rPr>
      </w:pPr>
      <w:r>
        <w:rPr>
          <w:noProof/>
        </w:rPr>
        <w:t>Η συμφωνία που προέκυψε από τις διαπραγματεύσεις περιλαμβάνει ρήτρα σχετικά με τις συνέπειες των παραβιάσεων των ανθρωπίνων δικαιωμάτων και των δημοκρατικών αρχών.</w:t>
      </w:r>
    </w:p>
    <w:p>
      <w:pPr>
        <w:pStyle w:val="ManualHeading1"/>
        <w:rPr>
          <w:noProof/>
        </w:rPr>
      </w:pPr>
      <w:r>
        <w:rPr>
          <w:noProof/>
        </w:rPr>
        <w:t>4.</w:t>
      </w:r>
      <w:r>
        <w:rPr>
          <w:noProof/>
        </w:rPr>
        <w:tab/>
        <w:t>ΔΗΜΟΣΙΟΝΟΜΙΚΕΣ ΕΠΙΠΤΩΣΕΙΣ</w:t>
      </w:r>
    </w:p>
    <w:p>
      <w:pPr>
        <w:rPr>
          <w:rFonts w:eastAsia="Calibri"/>
          <w:noProof/>
        </w:rPr>
      </w:pPr>
      <w:r>
        <w:rPr>
          <w:noProof/>
        </w:rPr>
        <w:t>Η ετήσια χρηματική αντιπαροχή ύψους 5 300 000 EUR βασίζεται στα εξής:</w:t>
      </w:r>
    </w:p>
    <w:p>
      <w:pPr>
        <w:rPr>
          <w:rFonts w:eastAsia="Calibri"/>
          <w:noProof/>
        </w:rPr>
      </w:pPr>
      <w:r>
        <w:rPr>
          <w:noProof/>
        </w:rPr>
        <w:t xml:space="preserve">α) σε ένα ετήσιο ποσό για πρόσβαση στους αλιευτικούς πόρους στην αλιευτική ζώνη των Σεϋχελλών ύψους 2 500 000 EUR, το οποίο αντιστοιχεί σε βάρος αναφοράς, για άκρως μεταναστευτικά είδη, 50 000 τόνων ετησίως, και </w:t>
      </w:r>
    </w:p>
    <w:p>
      <w:pPr>
        <w:rPr>
          <w:rFonts w:eastAsia="Calibri"/>
          <w:noProof/>
        </w:rPr>
      </w:pPr>
      <w:r>
        <w:rPr>
          <w:noProof/>
        </w:rPr>
        <w:t>β) στη στήριξη της ανάπτυξης της τομεακής πολιτικής αλιείας των Σεϋχελλών, ύψους 2 800 000 EUR ετησίως. Η στήριξη αυτή ανταποκρίνεται στους στόχους του ολοκληρωμένου σχεδίου για την αλιεία των Σεϋχελλών (Seychelles’ Fisheries Comprehensive Plan).</w:t>
      </w:r>
    </w:p>
    <w:p>
      <w:pPr>
        <w:rPr>
          <w:noProof/>
        </w:rPr>
      </w:pPr>
      <w:r>
        <w:rPr>
          <w:noProof/>
        </w:rPr>
        <w:lastRenderedPageBreak/>
        <w:t>Το ετήσιο ποσό για τις πιστώσεις ανάληψης υποχρεώσεων και πληρωμών καθορίζεται κατά την ετήσια διαδικασία του προϋπολογισμού, συμπεριλαμβανομένης της γραμμής του αποθεματικού για τα πρωτόκολλα που δεν έχουν ακόμη τεθεί σε ισχύ στις αρχές του έτους</w:t>
      </w:r>
      <w:r>
        <w:rPr>
          <w:rStyle w:val="FootnoteReference"/>
          <w:noProof/>
        </w:rPr>
        <w:footnoteReference w:id="6"/>
      </w:r>
      <w:r>
        <w:rPr>
          <w:noProof/>
        </w:rPr>
        <w:t>.</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 xml:space="preserve">Οι ρυθμίσεις παρακολούθησης προβλέπονται στη συμφωνία σύμπραξης στον τομέα της βιώσιμης αλιείας και στο πρωτόκολλο εφαρμογής της.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υπογραφή, εξ ονόματος της Ένωσης, και την προσωρινή εφαρμογή της συμφωνίας σύμπραξης στον τομέα της βιώσιμης αλιείας και του πρωτοκόλλου εφαρμογής της (2020-2026) μεταξύ της Ευρωπαϊκής Ένωσης και των Σεϋχελλών</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 σε συνδυασμό με το άρθρο 218 παράγραφος 5,</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15 Ιουλίου 2019, το Συμβούλιο εξουσιοδότησε την Επιτροπή να αρχίσει διαπραγματεύσεις με τη Δημοκρατία των Σεϋχελλών με σκοπό τη σύναψη νέας συμφωνίας σύμπραξης στον τομέα της βιώσιμης αλιείας μεταξύ της Ευρωπαϊκής Ένωσης και της Δημοκρατίας των Σεϋχελλών («συμφωνία σύμπραξης»), καθώς και ενός νέου πρωτοκόλλου εφαρμογής της («το πρωτόκολλο»).</w:t>
      </w:r>
    </w:p>
    <w:p>
      <w:pPr>
        <w:pStyle w:val="ManualConsidrant"/>
        <w:rPr>
          <w:noProof/>
        </w:rPr>
      </w:pPr>
      <w:r>
        <w:t>(2)</w:t>
      </w:r>
      <w:r>
        <w:tab/>
      </w:r>
      <w:r>
        <w:rPr>
          <w:noProof/>
        </w:rPr>
        <w:t>Οι διαπραγματεύσεις ολοκληρώθηκαν επιτυχώς με τη μονογράφηση της συμφωνίας σύμπραξης και του πρωτοκόλλου της στις 22 Οκτωβρίου 2019.</w:t>
      </w:r>
    </w:p>
    <w:p>
      <w:pPr>
        <w:pStyle w:val="ManualConsidrant"/>
        <w:rPr>
          <w:noProof/>
        </w:rPr>
      </w:pPr>
      <w:r>
        <w:t>(3)</w:t>
      </w:r>
      <w:r>
        <w:tab/>
      </w:r>
      <w:r>
        <w:rPr>
          <w:noProof/>
        </w:rPr>
        <w:t>Η συμφωνία σύμπραξης καταργεί την ισχύουσα συμφωνία αλιευτικής σύμπραξης (ΣΑΣ) μεταξύ της Ευρωπαϊκής Ένωσης και των Σεϋχελλών, η οποία τέθηκε σε ισχύ στις 2 Νοεμβρίου 2007 για διάρκεια 6 ετών και ανανεώθηκε σιωπηρά, και, ως εκ τούτου, παραμένει σε ισχύ.</w:t>
      </w:r>
    </w:p>
    <w:p>
      <w:pPr>
        <w:pStyle w:val="ManualConsidrant"/>
        <w:rPr>
          <w:noProof/>
        </w:rPr>
      </w:pPr>
      <w:r>
        <w:t>(4)</w:t>
      </w:r>
      <w:r>
        <w:tab/>
      </w:r>
      <w:r>
        <w:rPr>
          <w:noProof/>
        </w:rPr>
        <w:t>Στόχος της συμφωνίας σύμπραξης και του πρωτοκόλλου είναι να καταστήσει δυνατή τόσο τη στενότερη συνεργασία μεταξύ της Ένωσης και της Δημοκρατίας των Σεϋχελλών με σκοπό την περαιτέρω προώθηση της ανάπτυξης μιας βιώσιμης αλιευτικής πολιτικής, όσο και την υπεύθυνη εκμετάλλευση των αλιευτικών πόρων στην αλιευτική ζώνη των Σεϋχελλών και στον Ινδικό Ωκεανό, συμβάλλοντας, παράλληλα, στην παροχή αξιοπρεπών συνθηκών εργασίας στον τομέα της αλιείας.</w:t>
      </w:r>
    </w:p>
    <w:p>
      <w:pPr>
        <w:pStyle w:val="ManualConsidrant"/>
        <w:rPr>
          <w:noProof/>
        </w:rPr>
      </w:pPr>
      <w:r>
        <w:t>(5)</w:t>
      </w:r>
      <w:r>
        <w:tab/>
      </w:r>
      <w:r>
        <w:rPr>
          <w:noProof/>
        </w:rPr>
        <w:t>Ως εκ τούτου, η συμφωνία σύμπραξης και το πρωτόκολλο θα πρέπει να υπογραφούν εξ ονόματος της Ένωσης, με την επιφύλαξη σύναψής τους σε μεταγενέστερη ημερομηνία.</w:t>
      </w:r>
    </w:p>
    <w:p>
      <w:pPr>
        <w:pStyle w:val="ManualConsidrant"/>
        <w:rPr>
          <w:rFonts w:eastAsia="Calibri"/>
          <w:noProof/>
        </w:rPr>
      </w:pPr>
      <w:r>
        <w:t>(6)</w:t>
      </w:r>
      <w:r>
        <w:tab/>
      </w:r>
      <w:r>
        <w:rPr>
          <w:noProof/>
        </w:rPr>
        <w:t>Τα εν λόγω μέτρα θα πρέπει να τεθούν σε ισχύ το συντομότερο δυνατόν, δεδομένης της οικονομικής σημασίας τους για τις αλιευτικές δραστηριότητες της Ένωσης στην αλιευτική ζώνη των Σεϋχελλών και της ανάγκης να μειωθεί όσο το δυνατόν περισσότερο η συχνότητα διακοπής των εν λόγω δραστηριοτήτων.</w:t>
      </w:r>
    </w:p>
    <w:p>
      <w:pPr>
        <w:pStyle w:val="ManualConsidrant"/>
        <w:rPr>
          <w:noProof/>
        </w:rPr>
      </w:pPr>
      <w:r>
        <w:t>(7)</w:t>
      </w:r>
      <w:r>
        <w:tab/>
      </w:r>
      <w:r>
        <w:rPr>
          <w:noProof/>
        </w:rPr>
        <w:t xml:space="preserve">Για να καταστεί δυνατή η συνέχιση των αλιευτικών δραστηριοτήτων των σκαφών της Ένωσης, η συμφωνία σύμπραξης και το πρωτόκολλο θα πρέπει να εφαρμοστούν προσωρινά μετά την υπογραφή τους, εν αναμονή της έναρξης ισχύος τους, </w:t>
      </w:r>
    </w:p>
    <w:p>
      <w:pPr>
        <w:pStyle w:val="Formuledadoption"/>
        <w:rPr>
          <w:noProof/>
        </w:rPr>
      </w:pPr>
      <w:r>
        <w:rPr>
          <w:noProof/>
        </w:rPr>
        <w:lastRenderedPageBreak/>
        <w:t xml:space="preserve">ΕΞΕΔΩΣΕ ΤΗΝ ΠΑΡΟΥΣΑ ΑΠΟΦΑΣΗ: </w:t>
      </w:r>
    </w:p>
    <w:p>
      <w:pPr>
        <w:pStyle w:val="Titrearticle"/>
        <w:rPr>
          <w:noProof/>
        </w:rPr>
      </w:pPr>
      <w:r>
        <w:rPr>
          <w:noProof/>
        </w:rPr>
        <w:t>Άρθρο 1</w:t>
      </w:r>
    </w:p>
    <w:p>
      <w:pPr>
        <w:rPr>
          <w:noProof/>
        </w:rPr>
      </w:pPr>
      <w:r>
        <w:rPr>
          <w:noProof/>
        </w:rPr>
        <w:t>Η υπογραφή της συμφωνίας σύμπραξης στον τομέα της βιώσιμης αλιείας μεταξύ της Ευρωπαϊκής Ένωσης και της Δημοκρατίας των Σεϋχελλών («συμφωνία σύμπραξης») και του πρωτοκόλλου σχετικά με την εφαρμογή της συμφωνίας σύμπραξης στον τομέα της βιώσιμης αλιείας μεταξύ της Ευρωπαϊκής Ένωσης και της Δημοκρατίας των Σεϋχελλών (2020–2026) («το πρωτόκολλο»), εγκρίνεται εξ ονόματος της Ευρωπαϊκής Ένωσης με την επιφύλαξη της σύναψης των εν λόγω πράξεων.</w:t>
      </w:r>
    </w:p>
    <w:p>
      <w:pPr>
        <w:rPr>
          <w:noProof/>
        </w:rPr>
      </w:pPr>
      <w:r>
        <w:rPr>
          <w:noProof/>
        </w:rPr>
        <w:t>Το κείμενο της συμφωνίας σύμπραξης και του πρωτοκόλλου προς υπογραφή επισυνάπτεται στην παρούσα απόφαση.</w:t>
      </w:r>
    </w:p>
    <w:p>
      <w:pPr>
        <w:pStyle w:val="Titrearticle"/>
        <w:rPr>
          <w:noProof/>
        </w:rPr>
      </w:pPr>
      <w:r>
        <w:rPr>
          <w:noProof/>
        </w:rPr>
        <w:t>Άρθρο 2</w:t>
      </w:r>
    </w:p>
    <w:p>
      <w:pPr>
        <w:rPr>
          <w:i/>
          <w:noProof/>
        </w:rPr>
      </w:pPr>
      <w:r>
        <w:rPr>
          <w:noProof/>
        </w:rPr>
        <w:t>Η Γενική Γραμματεία του Συμβουλίου καταρτίζει την πράξη εξουσιοδότησής του ή των προσώπων που θα ορίσει ο διαπραγματευτής της συμφωνίας σύμπραξης και του πρωτοκόλλου για την υπογραφή της συμφωνίας σύμπραξης και του πρωτοκόλλου, με την επιφύλαξη της σύναψής τους</w:t>
      </w:r>
      <w:r>
        <w:rPr>
          <w:i/>
          <w:noProof/>
        </w:rPr>
        <w:t xml:space="preserve">.  </w:t>
      </w:r>
    </w:p>
    <w:p>
      <w:pPr>
        <w:pStyle w:val="Titrearticle"/>
        <w:rPr>
          <w:noProof/>
        </w:rPr>
      </w:pPr>
      <w:r>
        <w:rPr>
          <w:noProof/>
        </w:rPr>
        <w:t>Άρθρο 3</w:t>
      </w:r>
    </w:p>
    <w:p>
      <w:pPr>
        <w:keepNext/>
        <w:rPr>
          <w:noProof/>
        </w:rPr>
      </w:pPr>
      <w:r>
        <w:rPr>
          <w:noProof/>
        </w:rPr>
        <w:t>Η συμφωνία σύμπραξης εφαρμόζεται προσωρινά, σύμφωνα με το άρθρο 15 της συμφωνίας σύμπραξης, από την ημερομηνία της υπογραφής της, εν αναμονή της έναρξης ισχύος της.</w:t>
      </w:r>
    </w:p>
    <w:p>
      <w:pPr>
        <w:pStyle w:val="Titrearticle"/>
        <w:rPr>
          <w:noProof/>
        </w:rPr>
      </w:pPr>
      <w:r>
        <w:rPr>
          <w:noProof/>
        </w:rPr>
        <w:t>Άρθρο 4</w:t>
      </w:r>
    </w:p>
    <w:p>
      <w:pPr>
        <w:keepNext/>
        <w:rPr>
          <w:noProof/>
        </w:rPr>
      </w:pPr>
      <w:r>
        <w:rPr>
          <w:noProof/>
        </w:rPr>
        <w:t>Το πρωτόκολλο εφαρμόζεται προσωρινά, σύμφωνα με το άρθρο 15 του πρωτοκόλλου, από την ημερομηνία της υπογραφής του, εν αναμονή της έναρξης ισχύος του.</w:t>
      </w:r>
    </w:p>
    <w:p>
      <w:pPr>
        <w:pStyle w:val="Titrearticle"/>
        <w:keepNext w:val="0"/>
        <w:rPr>
          <w:noProof/>
        </w:rPr>
      </w:pPr>
      <w:r>
        <w:rPr>
          <w:noProof/>
        </w:rPr>
        <w:t>Άρθρο 5</w:t>
      </w:r>
    </w:p>
    <w:p>
      <w:pPr>
        <w:keepLines/>
        <w:rPr>
          <w:noProof/>
        </w:rPr>
      </w:pPr>
      <w:r>
        <w:rPr>
          <w:noProof/>
        </w:rPr>
        <w:t xml:space="preserve">Η παρούσα απόφαση αρχίζει να ισχύει την επομένη της δημοσίευσής της στην </w:t>
      </w:r>
      <w:r>
        <w:rPr>
          <w:i/>
          <w:noProof/>
        </w:rPr>
        <w:t>Επίσημη Εφημερίδα της Ευρωπαϊκής Ένωσης</w:t>
      </w:r>
      <w:r>
        <w:rPr>
          <w:noProof/>
        </w:rPr>
        <w:t xml:space="preserve">. </w:t>
      </w:r>
    </w:p>
    <w:p>
      <w:pPr>
        <w:keepLines/>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O Πρόεδρος</w:t>
      </w:r>
    </w:p>
    <w:p>
      <w:pPr>
        <w:pStyle w:val="Fichefinanciretitre"/>
        <w:rPr>
          <w:noProof/>
        </w:rPr>
      </w:pPr>
      <w:r>
        <w:rPr>
          <w:noProof/>
        </w:rPr>
        <w:br w:type="page"/>
      </w: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w:t>
      </w:r>
    </w:p>
    <w:p>
      <w:pPr>
        <w:pStyle w:val="ManualHeading2"/>
        <w:rPr>
          <w:b w:val="0"/>
          <w:noProof/>
        </w:rPr>
      </w:pPr>
      <w:r>
        <w:rPr>
          <w:noProof/>
        </w:rPr>
        <w:tab/>
      </w:r>
      <w:r>
        <w:rPr>
          <w:b w:val="0"/>
          <w:noProof/>
        </w:rPr>
        <w:t>1.3.</w:t>
      </w:r>
      <w:r>
        <w:rPr>
          <w:noProof/>
        </w:rPr>
        <w:tab/>
      </w:r>
      <w:r>
        <w:rPr>
          <w:b w:val="0"/>
          <w:noProof/>
        </w:rPr>
        <w:t xml:space="preserve">Η πρόταση/πρωτοβουλία αφορά: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3"/>
        <w:rPr>
          <w:noProof/>
        </w:rPr>
      </w:pPr>
      <w:r>
        <w:rPr>
          <w:noProof/>
        </w:rPr>
        <w:tab/>
        <w:t>1.4.1.</w:t>
      </w:r>
      <w:r>
        <w:rPr>
          <w:noProof/>
        </w:rPr>
        <w:tab/>
        <w:t>Γενικοί στόχοι</w:t>
      </w:r>
    </w:p>
    <w:p>
      <w:pPr>
        <w:pStyle w:val="ManualHeading3"/>
        <w:rPr>
          <w:noProof/>
        </w:rPr>
      </w:pPr>
      <w:r>
        <w:rPr>
          <w:noProof/>
        </w:rPr>
        <w:tab/>
        <w:t>1.4.2.</w:t>
      </w:r>
      <w:r>
        <w:rPr>
          <w:noProof/>
        </w:rPr>
        <w:tab/>
        <w:t>Ειδικοί στόχοι</w:t>
      </w:r>
    </w:p>
    <w:p>
      <w:pPr>
        <w:pStyle w:val="ManualHeading3"/>
        <w:rPr>
          <w:noProof/>
        </w:rPr>
      </w:pPr>
      <w:r>
        <w:rPr>
          <w:noProof/>
        </w:rPr>
        <w:tab/>
        <w:t>1.4.3.</w:t>
      </w:r>
      <w:r>
        <w:rPr>
          <w:noProof/>
        </w:rPr>
        <w:tab/>
        <w:t>Αναμενόμενα αποτελέσματα και επιπτώσεις</w:t>
      </w:r>
    </w:p>
    <w:p>
      <w:pPr>
        <w:pStyle w:val="ManualHeading3"/>
        <w:rPr>
          <w:noProof/>
        </w:rPr>
      </w:pPr>
      <w:r>
        <w:rPr>
          <w:noProof/>
        </w:rPr>
        <w:tab/>
        <w:t>1.4.4.</w:t>
      </w:r>
      <w:r>
        <w:rPr>
          <w:noProof/>
        </w:rPr>
        <w:tab/>
        <w:t>Δείκτες επιδόσεων</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3"/>
        <w:rPr>
          <w:noProof/>
        </w:rPr>
      </w:pPr>
      <w:r>
        <w:rPr>
          <w:noProof/>
        </w:rPr>
        <w:tab/>
        <w:t>1.5.1.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ManualHeading3"/>
        <w:rPr>
          <w:noProof/>
        </w:rPr>
      </w:pPr>
      <w:r>
        <w:rPr>
          <w:noProof/>
        </w:rPr>
        <w:tab/>
        <w:t>1.5.2.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ManualHeading3"/>
        <w:rPr>
          <w:noProof/>
        </w:rPr>
      </w:pPr>
      <w:r>
        <w:rPr>
          <w:noProof/>
        </w:rPr>
        <w:tab/>
        <w:t>1.5.3.</w:t>
      </w:r>
      <w:r>
        <w:rPr>
          <w:noProof/>
        </w:rPr>
        <w:tab/>
        <w:t>Διδάγματα από ανάλογες εμπειρίες του παρελθόντος</w:t>
      </w:r>
    </w:p>
    <w:p>
      <w:pPr>
        <w:pStyle w:val="ManualHeading3"/>
        <w:rPr>
          <w:noProof/>
        </w:rPr>
      </w:pPr>
      <w:r>
        <w:rPr>
          <w:noProof/>
        </w:rPr>
        <w:tab/>
        <w:t>1.5.4.</w:t>
      </w:r>
      <w:r>
        <w:rPr>
          <w:noProof/>
        </w:rPr>
        <w:tab/>
        <w:t>Συμβατότητα με το πολυετές δημοσιονομικό πλαίσιο και ενδεχόμενες συνέργειες με άλλα κατάλληλα μέσα</w:t>
      </w:r>
    </w:p>
    <w:p>
      <w:pPr>
        <w:pStyle w:val="ManualHeading3"/>
        <w:rPr>
          <w:noProof/>
        </w:rPr>
      </w:pPr>
      <w:r>
        <w:rPr>
          <w:noProof/>
        </w:rPr>
        <w:tab/>
        <w:t>1.5.5.</w:t>
      </w:r>
      <w:r>
        <w:rPr>
          <w:noProof/>
        </w:rPr>
        <w:tab/>
        <w:t>Αξιολόγηση των διαφόρων διαθέσιμων επιλογών χρηματοδότησης, συμπεριλαμβανομένων των δυνατοτήτων ανακατανομής</w:t>
      </w:r>
    </w:p>
    <w:p>
      <w:pPr>
        <w:pStyle w:val="ManualHeading2"/>
        <w:rPr>
          <w:b w:val="0"/>
          <w:noProof/>
        </w:rPr>
      </w:pPr>
      <w:r>
        <w:rPr>
          <w:noProof/>
        </w:rPr>
        <w:tab/>
      </w:r>
      <w:r>
        <w:rPr>
          <w:b w:val="0"/>
          <w:noProof/>
        </w:rPr>
        <w:t>1.6.</w:t>
      </w:r>
      <w:r>
        <w:rPr>
          <w:noProof/>
        </w:rPr>
        <w:tab/>
      </w:r>
      <w:r>
        <w:rPr>
          <w:b w:val="0"/>
          <w:noProof/>
        </w:rPr>
        <w:t>Διάρκεια και δημοσιονομικές επιπτώσεις της πρότασης/πρωτοβουλίας</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Προβλεπόμενοι τρόποι διαχείρισης</w:t>
      </w:r>
      <w:r>
        <w:rPr>
          <w:noProof/>
        </w:rPr>
        <w:tab/>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Συστήματα διαχείρισης και ελέγχου</w:t>
      </w:r>
    </w:p>
    <w:p>
      <w:pPr>
        <w:pStyle w:val="ManualHeading3"/>
        <w:rPr>
          <w:noProof/>
        </w:rPr>
      </w:pPr>
      <w:r>
        <w:rPr>
          <w:noProof/>
        </w:rPr>
        <w:tab/>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ManualHeading3"/>
        <w:rPr>
          <w:noProof/>
        </w:rPr>
      </w:pPr>
      <w:r>
        <w:rPr>
          <w:noProof/>
        </w:rPr>
        <w:tab/>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ManualHeading3"/>
        <w:rPr>
          <w:noProof/>
        </w:rPr>
      </w:pPr>
      <w:r>
        <w:rPr>
          <w:noProof/>
        </w:rPr>
        <w:tab/>
        <w:t>2.2.3.</w:t>
      </w:r>
      <w:r>
        <w:rPr>
          <w:noProof/>
        </w:rPr>
        <w:tab/>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δημοσιονομικές επιπτώσεις της πρότασης στις πιστώσεις</w:t>
      </w:r>
    </w:p>
    <w:p>
      <w:pPr>
        <w:pStyle w:val="ManualHeading3"/>
        <w:rPr>
          <w:noProof/>
        </w:rPr>
      </w:pPr>
      <w:r>
        <w:rPr>
          <w:noProof/>
        </w:rPr>
        <w:tab/>
        <w:t>3.2.1.</w:t>
      </w:r>
      <w:r>
        <w:rPr>
          <w:noProof/>
        </w:rPr>
        <w:tab/>
        <w:t xml:space="preserve">Συνοπτική παρουσίαση των εκτιμώμενων επιπτώσεων στις επιχειρησιακές πιστώσεις </w:t>
      </w:r>
    </w:p>
    <w:p>
      <w:pPr>
        <w:pStyle w:val="ManualHeading3"/>
        <w:rPr>
          <w:noProof/>
        </w:rPr>
      </w:pPr>
      <w:r>
        <w:rPr>
          <w:noProof/>
        </w:rPr>
        <w:tab/>
        <w:t>3.2.2.</w:t>
      </w:r>
      <w:r>
        <w:rPr>
          <w:noProof/>
        </w:rPr>
        <w:tab/>
        <w:t xml:space="preserve">Εκτιμώμενο αποτέλεσμα που χρηματοδοτείται με επιχειρησιακές πιστώσεις </w:t>
      </w:r>
    </w:p>
    <w:p>
      <w:pPr>
        <w:pStyle w:val="ManualHeading3"/>
        <w:rPr>
          <w:noProof/>
        </w:rPr>
      </w:pPr>
      <w:r>
        <w:rPr>
          <w:noProof/>
        </w:rPr>
        <w:tab/>
        <w:t>3.2.3.</w:t>
      </w:r>
      <w:r>
        <w:rPr>
          <w:noProof/>
        </w:rPr>
        <w:tab/>
        <w:t>Συνοπτική παρουσίαση των εκτιμώμενων επιπτώσεων στις διοικητικές πιστώσεις</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pPr>
      <w:r>
        <w:rPr>
          <w:noProof/>
        </w:rPr>
        <w:tab/>
      </w:r>
      <w:r>
        <w:rPr>
          <w:b w:val="0"/>
          <w:noProof/>
        </w:rPr>
        <w:t>3.3.</w:t>
      </w:r>
      <w:r>
        <w:rPr>
          <w:noProof/>
        </w:rPr>
        <w:tab/>
      </w:r>
      <w:r>
        <w:rPr>
          <w:b w:val="0"/>
          <w:noProof/>
        </w:rPr>
        <w:t>Εκτιμώμενες επιπτώσεις στα έσοδα</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Τίτλος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Πρόταση απόφασης του Συμβουλίου για την εφαρμογή, εξ ονόματος της Ένωσης, και την προσωρινή εφαρμογή της συμφωνίας σύμπραξης στον τομέα της βιώσιμης αλιείας και του πρωτοκόλλου εφαρμογής της (2020-2026) μεταξύ της Ευρωπαϊκής Ένωσης και της Δημοκρατίας των Σεϋχελλών</w:t>
      </w:r>
    </w:p>
    <w:p>
      <w:pPr>
        <w:pStyle w:val="ManualHeading2"/>
        <w:rPr>
          <w:noProof/>
        </w:rPr>
      </w:pPr>
      <w:r>
        <w:rPr>
          <w:noProof/>
        </w:rPr>
        <w:t>1.2.</w:t>
      </w:r>
      <w:r>
        <w:rPr>
          <w:noProof/>
        </w:rPr>
        <w:tab/>
        <w:t>Σχετικοί τομείς πολιτικής</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Θαλάσσια πολιτική και αλιεία</w:t>
      </w:r>
    </w:p>
    <w:p>
      <w:pPr>
        <w:pStyle w:val="Text1"/>
        <w:pBdr>
          <w:top w:val="single" w:sz="4" w:space="1" w:color="auto"/>
          <w:left w:val="single" w:sz="4" w:space="4" w:color="auto"/>
          <w:bottom w:val="single" w:sz="4" w:space="1" w:color="auto"/>
          <w:right w:val="single" w:sz="4" w:space="4" w:color="auto"/>
        </w:pBdr>
        <w:rPr>
          <w:noProof/>
        </w:rPr>
      </w:pPr>
      <w:r>
        <w:rPr>
          <w:noProof/>
        </w:rPr>
        <w:t>11.03 — Υποχρεωτικές εισφορές στις περιφερειακές οργανώσεις διαχείρισης αλιείας (ΠΟΔΑ) και σε άλλους διεθνείς οργανισμούς και συμφωνίες βιώσιμης αλιείας (ΣΒΑ)</w:t>
      </w:r>
    </w:p>
    <w:p>
      <w:pPr>
        <w:pStyle w:val="Text1"/>
        <w:pBdr>
          <w:top w:val="single" w:sz="4" w:space="1" w:color="auto"/>
          <w:left w:val="single" w:sz="4" w:space="4" w:color="auto"/>
          <w:bottom w:val="single" w:sz="4" w:space="1" w:color="auto"/>
          <w:right w:val="single" w:sz="4" w:space="4" w:color="auto"/>
        </w:pBdr>
        <w:rPr>
          <w:noProof/>
        </w:rPr>
      </w:pPr>
      <w:r>
        <w:rPr>
          <w:noProof/>
        </w:rPr>
        <w:t>11.03.01 — Καθιέρωση ενός πλαισίου διακυβέρνησης για τις αλιευτικές δραστηριότητες που ασκούνται από αλιευτικά σκάφη της Ένωσης σε ύδατα τρίτων χωρών</w:t>
      </w:r>
    </w:p>
    <w:p>
      <w:pPr>
        <w:pStyle w:val="ManualHeading2"/>
        <w:rPr>
          <w:noProof/>
          <w:szCs w:val="24"/>
        </w:rPr>
      </w:pPr>
      <w:r>
        <w:rPr>
          <w:noProof/>
        </w:rPr>
        <w:t>1.3.</w:t>
      </w:r>
      <w:r>
        <w:rPr>
          <w:noProof/>
        </w:rPr>
        <w:tab/>
        <w:t xml:space="preserve">Η πρόταση/πρωτοβουλία αφορά: </w:t>
      </w:r>
    </w:p>
    <w:p>
      <w:pPr>
        <w:pStyle w:val="Text1"/>
        <w:rPr>
          <w:b/>
          <w:noProof/>
          <w:sz w:val="22"/>
        </w:rPr>
      </w:pPr>
      <w:r>
        <w:rPr>
          <w:b/>
          <w:noProof/>
          <w:sz w:val="22"/>
        </w:rPr>
        <w:t>X</w:t>
      </w:r>
      <w:r>
        <w:rPr>
          <w:b/>
          <w:i/>
          <w:noProof/>
          <w:sz w:val="22"/>
        </w:rPr>
        <w:t xml:space="preserve">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μετά από πιλοτικό έργο / προπαρασκευαστική δράση</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b/>
          <w:noProof/>
        </w:rPr>
        <w:t>συγχώνευση ή αναπροσανατολισμό μίας ή περισσότερων δράσεων προς άλλη/νέα δράση</w:t>
      </w:r>
      <w:r>
        <w:rPr>
          <w:noProof/>
        </w:rPr>
        <w:t xml:space="preserve"> </w:t>
      </w:r>
    </w:p>
    <w:p>
      <w:pPr>
        <w:pStyle w:val="ManualHeading2"/>
        <w:rPr>
          <w:noProof/>
          <w:szCs w:val="24"/>
        </w:rPr>
      </w:pPr>
      <w:r>
        <w:rPr>
          <w:noProof/>
        </w:rPr>
        <w:t>1.4.</w:t>
      </w:r>
      <w:r>
        <w:rPr>
          <w:noProof/>
        </w:rPr>
        <w:tab/>
        <w:t>Στόχοι</w:t>
      </w:r>
    </w:p>
    <w:p>
      <w:pPr>
        <w:pStyle w:val="ManualHeading3"/>
        <w:rPr>
          <w:noProof/>
        </w:rPr>
      </w:pPr>
      <w:r>
        <w:rPr>
          <w:noProof/>
        </w:rPr>
        <w:t>1.4.1.</w:t>
      </w:r>
      <w:r>
        <w:rPr>
          <w:noProof/>
        </w:rPr>
        <w:tab/>
        <w:t>Γενικοί στόχοι</w:t>
      </w:r>
    </w:p>
    <w:p>
      <w:pPr>
        <w:pStyle w:val="Text1"/>
        <w:pBdr>
          <w:top w:val="single" w:sz="4" w:space="1" w:color="auto"/>
          <w:left w:val="single" w:sz="4" w:space="4" w:color="auto"/>
          <w:bottom w:val="single" w:sz="4" w:space="1" w:color="auto"/>
          <w:right w:val="single" w:sz="4" w:space="4" w:color="auto"/>
        </w:pBdr>
        <w:rPr>
          <w:noProof/>
        </w:rPr>
      </w:pPr>
      <w:r>
        <w:rPr>
          <w:noProof/>
        </w:rPr>
        <w:t>Η διαπραγμάτευση και η σύναψη συμφωνιών σύμπραξης στον τομέα της βιώσιμης αλιείας (ΣΣΒΑ) με τρίτες χώρες ανταποκρίνονται στον γενικό στόχο εξασφάλισης της πρόσβασης των αλιευτικών σκαφών της Ευρωπαϊκής Ένωσης στις αλιευτικές ζώνες τρίτων χωρών και της δημιουργίας σύμπραξης με τις εν λόγω χώρες με σκοπό την ενίσχυση της βιώσιμης εκμετάλλευσης των αλιευτικών πόρων εκτός των υδάτων της Ένωσης.</w:t>
      </w:r>
    </w:p>
    <w:p>
      <w:pPr>
        <w:pStyle w:val="Text1"/>
        <w:pBdr>
          <w:top w:val="single" w:sz="4" w:space="1" w:color="auto"/>
          <w:left w:val="single" w:sz="4" w:space="4" w:color="auto"/>
          <w:bottom w:val="single" w:sz="4" w:space="1" w:color="auto"/>
          <w:right w:val="single" w:sz="4" w:space="4" w:color="auto"/>
        </w:pBdr>
        <w:rPr>
          <w:noProof/>
        </w:rPr>
      </w:pPr>
      <w:r>
        <w:rPr>
          <w:noProof/>
        </w:rPr>
        <w:t>Οι ΣΣΒΑ εξασφαλίζουν επίσης τη συνοχή μεταξύ των αρχών που διέπουν την Κοινή Αλιευτική Πολιτική και των δεσμεύσεων που έχουν αναληφθεί στο πλαίσιο άλλων ευρωπαϊκών πολιτικών [βιώσιμη εκμετάλλευση των πόρων τρίτων χωρών, καταπολέμηση της παράνομης, λαθραίας και άναρχης (ΠΛΑ) αλιείας, ενσωμάτωση των χωρών εταίρων στην παγκόσμια οικονομία, στήριξη της αειφόρου ανάπτυξης σε όλες τις διαστάσεις της και καλύτερη πολιτική και οικονομική διακυβέρνηση της αλιείας].</w:t>
      </w:r>
    </w:p>
    <w:p>
      <w:pPr>
        <w:pStyle w:val="ManualHeading3"/>
        <w:rPr>
          <w:bCs/>
          <w:noProof/>
          <w:szCs w:val="24"/>
        </w:rPr>
      </w:pPr>
      <w:r>
        <w:rPr>
          <w:noProof/>
        </w:rPr>
        <w:t>1.4.2.</w:t>
      </w:r>
      <w:r>
        <w:rPr>
          <w:noProof/>
        </w:rPr>
        <w:tab/>
        <w:t>Ειδικοί στόχοι</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 1</w:t>
      </w:r>
    </w:p>
    <w:p>
      <w:pPr>
        <w:pStyle w:val="Text1"/>
        <w:pBdr>
          <w:top w:val="single" w:sz="4" w:space="1" w:color="auto"/>
          <w:left w:val="single" w:sz="4" w:space="4" w:color="auto"/>
          <w:bottom w:val="single" w:sz="4" w:space="1" w:color="auto"/>
          <w:right w:val="single" w:sz="4" w:space="4" w:color="auto"/>
        </w:pBdr>
        <w:rPr>
          <w:noProof/>
        </w:rPr>
      </w:pPr>
      <w:r>
        <w:rPr>
          <w:noProof/>
        </w:rPr>
        <w:t>Η συμβολή στη βιώσιμη αλιεία εκτός των υδάτων της Ένωσης, η διατήρηση της ευρωπαϊκής παρουσίας σε αλιευτικές δραστηριότητες που διεξάγονται σε απομακρυσμένες περιοχές και η προστασία των συμφερόντων του ευρωπαϊκού αλιευτικού κλάδου και των καταναλωτών μέσω της διαπραγμάτευσης και της σύναψης ΣΣΒΑ με παράκτια κράτη, οι οποίες να συνάδουν με άλλες ευρωπαϊκές πολιτικές.</w:t>
      </w:r>
    </w:p>
    <w:p>
      <w:pPr>
        <w:pStyle w:val="ManualHeading3"/>
        <w:rPr>
          <w:noProof/>
        </w:rPr>
      </w:pPr>
      <w:r>
        <w:rPr>
          <w:noProof/>
        </w:rPr>
        <w:t>1.4.3.</w:t>
      </w:r>
      <w:r>
        <w:rPr>
          <w:noProof/>
        </w:rPr>
        <w:tab/>
        <w:t>Αναμενόμενα αποτελέσματα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Η σύναψη της συμφωνίας και του πρωτοκόλλου εφαρμογής της καθιστά δυνατή τη συνέχιση και την ενίσχυση της στρατηγικής αλιευτικής σύμπραξης μεταξύ της Ευρωπαϊκής Ένωσης και των Σεϋχελλών. Η σύναψη του πρωτοκόλλου θα δημιουργήσει αλιευτικές δυνατότητες για τα σκάφη της Ένωσης στην αλιευτική ζώνη των Σεϋχελλών.</w:t>
      </w:r>
    </w:p>
    <w:p>
      <w:pPr>
        <w:pStyle w:val="Text1"/>
        <w:pBdr>
          <w:top w:val="single" w:sz="4" w:space="1" w:color="auto"/>
          <w:left w:val="single" w:sz="4" w:space="4" w:color="auto"/>
          <w:bottom w:val="single" w:sz="4" w:space="1" w:color="auto"/>
          <w:right w:val="single" w:sz="4" w:space="4" w:color="auto"/>
        </w:pBdr>
        <w:rPr>
          <w:noProof/>
        </w:rPr>
      </w:pPr>
      <w:r>
        <w:rPr>
          <w:noProof/>
        </w:rPr>
        <w:t>Η συμφωνία και το πρωτόκολλο θα συμβάλουν επίσης στην καλύτερη διαχείριση και διατήρηση των αλιευτικών πόρων, μέσω της χρηματοδοτικής στήριξης (τομεακή στήριξη) για την εφαρμογή προγραμμάτων που εγκρίνονται σε εθνικό επίπεδο από τη χώρα εταίρο, και συγκεκριμένα του ολοκληρωμένου σχεδίου για την αλιεία (Fisheries Comprehensive Plan), την παρακολούθηση και την καταπολέμηση της παράνομης αλιείας και τη στήριξη της αλιείας μικρής κλίμακας.</w:t>
      </w:r>
    </w:p>
    <w:p>
      <w:pPr>
        <w:pStyle w:val="Text1"/>
        <w:pBdr>
          <w:top w:val="single" w:sz="4" w:space="1" w:color="auto"/>
          <w:left w:val="single" w:sz="4" w:space="4" w:color="auto"/>
          <w:bottom w:val="single" w:sz="4" w:space="1" w:color="auto"/>
          <w:right w:val="single" w:sz="4" w:space="4" w:color="auto"/>
        </w:pBdr>
        <w:rPr>
          <w:noProof/>
        </w:rPr>
      </w:pPr>
      <w:r>
        <w:rPr>
          <w:noProof/>
        </w:rPr>
        <w:t>Τέλος, η συμφωνία και το πρωτόκολλο θα συμβάλουν τόσο στη βιώσιμη εκμετάλλευση των θαλάσσιων πόρων σε εθνικό επίπεδο όσο και στην αλιευτική οικονομία των Σεϋχελλών, ενθαρρύνοντας την ανάπτυξη και την παροχή αξιοπρεπών συνθηκών εργασίας σε οικονομικές δραστηριότητες που αφορούν την αλιεία.</w:t>
      </w:r>
    </w:p>
    <w:p>
      <w:pPr>
        <w:pStyle w:val="ManualHeading3"/>
        <w:rPr>
          <w:noProof/>
          <w:szCs w:val="24"/>
        </w:rPr>
      </w:pPr>
      <w:r>
        <w:rPr>
          <w:noProof/>
        </w:rPr>
        <w:t>1.4.4.</w:t>
      </w:r>
      <w:r>
        <w:rPr>
          <w:noProof/>
        </w:rPr>
        <w:tab/>
        <w:t>Δείκτες επιδόσεων</w:t>
      </w:r>
    </w:p>
    <w:p>
      <w:pPr>
        <w:pStyle w:val="Text1"/>
        <w:rPr>
          <w:i/>
          <w:noProof/>
          <w:sz w:val="20"/>
        </w:rPr>
      </w:pPr>
      <w:r>
        <w:rPr>
          <w:i/>
          <w:noProof/>
          <w:sz w:val="20"/>
        </w:rPr>
        <w:t>Να προσδιοριστούν οι δείκτες για την παρακολούθηση της προόδου και των επιτευγμάτων.</w:t>
      </w:r>
    </w:p>
    <w:p>
      <w:pPr>
        <w:pStyle w:val="Text1"/>
        <w:pBdr>
          <w:top w:val="single" w:sz="4" w:space="1" w:color="auto"/>
          <w:left w:val="single" w:sz="4" w:space="4" w:color="auto"/>
          <w:bottom w:val="single" w:sz="4" w:space="1" w:color="auto"/>
          <w:right w:val="single" w:sz="4" w:space="4" w:color="auto"/>
        </w:pBdr>
        <w:rPr>
          <w:noProof/>
        </w:rPr>
      </w:pPr>
      <w:r>
        <w:rPr>
          <w:noProof/>
        </w:rPr>
        <w:t>Ποσοστό χρησιμοποίησης των αλιευτικών δυνατοτήτων (ποσοστό των αδειών αλιείας που χρησιμοποιούνται ετησίως σε σχέση με τη διαθεσιμότητα που προβλέπεται από το πρωτόκολλο).</w:t>
      </w:r>
    </w:p>
    <w:p>
      <w:pPr>
        <w:pStyle w:val="Text1"/>
        <w:pBdr>
          <w:top w:val="single" w:sz="4" w:space="1" w:color="auto"/>
          <w:left w:val="single" w:sz="4" w:space="4" w:color="auto"/>
          <w:bottom w:val="single" w:sz="4" w:space="1" w:color="auto"/>
          <w:right w:val="single" w:sz="4" w:space="4" w:color="auto"/>
        </w:pBdr>
        <w:rPr>
          <w:noProof/>
        </w:rPr>
      </w:pPr>
      <w:r>
        <w:rPr>
          <w:noProof/>
        </w:rPr>
        <w:t>Δεδομένα αλιευμάτων (συλλογή και ανάλυση) και εμπορική αξία της συμφωνίας.</w:t>
      </w:r>
    </w:p>
    <w:p>
      <w:pPr>
        <w:pStyle w:val="Text1"/>
        <w:pBdr>
          <w:top w:val="single" w:sz="4" w:space="1" w:color="auto"/>
          <w:left w:val="single" w:sz="4" w:space="4" w:color="auto"/>
          <w:bottom w:val="single" w:sz="4" w:space="1" w:color="auto"/>
          <w:right w:val="single" w:sz="4" w:space="4" w:color="auto"/>
        </w:pBdr>
        <w:rPr>
          <w:noProof/>
        </w:rPr>
      </w:pPr>
      <w:r>
        <w:rPr>
          <w:noProof/>
        </w:rPr>
        <w:t>Συμβολή στην απασχόληση και παροχή αξιοπρεπών συνθηκών εργασίας στην αλιεία, και στην προστιθέμενη αξία στην Ένωση, καθώς και στη σταθεροποίηση της αγοράς της Ένωσης (συγκεντρωτικά, με άλλες ΣΣΒΑ).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Συμβολή στη βελτίωση της έρευνας, της παρακολούθησης και του ελέγχου των αλιευτικών δραστηριοτήτων από τη χώρα εταίρο και της ανάπτυξης του οικείου τομέα της αλιείας, ιδίως της αλιείας μικρής κλίμακας. </w:t>
      </w:r>
    </w:p>
    <w:p>
      <w:pPr>
        <w:pStyle w:val="ManualHeading2"/>
        <w:rPr>
          <w:noProof/>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Στόχος είναι η νέα συμφωνία και το πρωτόκολλο να εφαρμοστούν προσωρινά από την ημερομηνία της υπογραφής τους, προκειμένου να μειωθούν στο ελάχιστο οι πιθανότητες διακοπής των αλιευτικών δραστηριοτήτων που ήδη ασκούνται στο πλαίσιο του ισχύοντος πρωτοκόλλου.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νέα συμφωνία και το νέο πρωτόκολλο θα παράσχουν το πλαίσιο για τις αλιευτικές δραστηριότητες του στόλου της Ένωσης στην αλιευτική ζώνη των Σεϋχελλών και θα επιτρέπουν στους πλοιοκτήτες της ΕΕ να υποβάλλουν αιτήσεις χορήγησης αδειών αλιείας για να αλιεύουν στην εν λόγω ζώνη. Επιπλέον, η νέα συμφωνία και το νέο πρωτόκολλο θα ενισχύσουν τη συνεργασία μεταξύ της ΕΕ και των Σεϋχελλών με στόχο την προώθηση της ανάπτυξης μιας βιώσιμης αλιευτικής πολιτικής σε όλες τις διαστάσεις της. Η συμφωνία προβλέπει ειδικότερα την παρακολούθηση των σκαφών με ΣΠΣΔ/VMS (σύστημα παρακολούθησης σκαφών μέσω δορυφόρου) και την ηλεκτρονική διαβίβαση των δεδομένων αλιευμάτων. Η τομεακή στήριξη που διατίθεται στο πλαίσιο του πρωτοκόλλου θα συνδράμει τις Σεϋχέλλες όσον αφορά την εθνική στρατηγική της για την αλιεία, συμπεριλαμβανομένης της καταπολέμησης της ΠΛΑ αλιείας, προωθώντας παράλληλα την παροχή αξιοπρεπών συνθηκών εργασίας στις αλιευτικές δραστηριότητες. </w:t>
      </w:r>
    </w:p>
    <w:p>
      <w:pPr>
        <w:pStyle w:val="ManualHeading3"/>
        <w:rPr>
          <w:bCs/>
          <w:noProof/>
          <w:szCs w:val="24"/>
        </w:rPr>
      </w:pPr>
      <w:r>
        <w:rPr>
          <w:noProof/>
        </w:rPr>
        <w:t>1.5.2.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αδυναμία της Ένωσης να συναινέσει σε μια νέα συμφωνία και ένα νέο πρωτόκολλο θα αποτελούσε πρόσκομμα στις αλιευτικές δραστηριότητες των σκαφών της ΕΕ, δεδομένου ότι η ισχύουσα συμφωνία περιέχει ρήτρα που αποκλείει τις αλιευτικές δραστηριότητες οι οποίες δεν ασκούνται στο πλαίσιο που καθορίζεται από πρωτόκολλο της συμφωνίας. Επομένως, η προστιθέμενη αξία είναι σαφής για τον στόλο μεγάλων αποστάσεων της ΕΕ. Το πρωτόκολλο παρέχει επίσης ένα πλαίσιο ενίσχυσης της συνεργασίας μεταξύ της Ένωσης και των Σεϋχελλών. </w:t>
      </w:r>
    </w:p>
    <w:p>
      <w:pPr>
        <w:pStyle w:val="ManualHeading3"/>
        <w:rPr>
          <w:noProof/>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Η ανάλυση των ιστορικών στοιχείων για τα αλιεύματα στην αλιευτική ζώνη των Σεϋχελλών και των διαθέσιμων αξιολογήσεων και επιστημονικών γνωμοδοτήσεων, οδήγησαν τα μέρη στον καθορισμό βάρους αναφοράς για τον τόνο και τα θυννοειδή στους 50 000 τόνους ετησίως, με αλιευτικές δυνατότητες για 40 θυνναλιευτικά γρι-γρι και 8 παραγαδιάρικα επιφανείας. Η τομεακή στήριξη έχει οριστεί σε υψηλό επίπεδο, προκειμένου να ληφθούν υπόψη οι προτεραιότητες της εθνικής αλιευτικής στρατηγικής και συγκεκριμένα του ολοκληρωμένου σχεδίου για την αλιεία.</w:t>
      </w:r>
    </w:p>
    <w:p>
      <w:pPr>
        <w:pStyle w:val="ManualHeading3"/>
        <w:rPr>
          <w:noProof/>
        </w:rPr>
      </w:pPr>
      <w:r>
        <w:rPr>
          <w:noProof/>
        </w:rPr>
        <w:t>1.5.4.</w:t>
      </w:r>
      <w:r>
        <w:rPr>
          <w:noProof/>
        </w:rPr>
        <w:tab/>
        <w:t>Συμβατότητα με το πολυετές δημοσιονομικό πλαίσιο και ενδεχόμενες συνέργειες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Τα κονδύλια που καταβάλλονται ως χρηματική αντιστάθμιση για την πρόσβαση στο πλαίσιο της ΣΣΒΑ συνιστούν γενικά έσοδα του προϋπολογισμού των Σεϋχελλών. Ωστόσο, προϋπόθεση για τη σύναψη και την παρακολούθηση των ΣΣΒΑ είναι τα κονδύλια για τομεακή στήριξη να διατίθενται (συνήθως μέσω της εγγραφής στον ετήσιο νόμο περί προϋπολογισμού) στο αρμόδιο για την αλιεία υπουργείο. Οι εν λόγω οικονομικοί πόροι είναι συμβατοί με άλλους πόρους χρηματοδότησης από άλλους διεθνείς χορηγούς για την υλοποίηση έργων ή/και προγραμμάτων που υλοποιούνται σε εθνικό επίπεδο στον τομέα της αλιείας.</w:t>
      </w:r>
    </w:p>
    <w:p>
      <w:pPr>
        <w:pStyle w:val="ManualHeading3"/>
        <w:rPr>
          <w:noProof/>
        </w:rPr>
      </w:pPr>
      <w:r>
        <w:rPr>
          <w:noProof/>
        </w:rPr>
        <w:t>1.5.5.</w:t>
      </w:r>
      <w:r>
        <w:rPr>
          <w:noProof/>
        </w:rPr>
        <w:tab/>
        <w:t>Αξιολόγηση των διαφόρων διαθέσιμων επιλογών χρηματοδότησης, συμπεριλαμβανομένων των δυνατοτήτων ανακατανομής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Άνευ αντικειμένου</w:t>
      </w:r>
    </w:p>
    <w:p>
      <w:pPr>
        <w:pStyle w:val="Text1"/>
        <w:rPr>
          <w:noProof/>
        </w:rPr>
      </w:pPr>
    </w:p>
    <w:p>
      <w:pPr>
        <w:pStyle w:val="ManualHeading2"/>
        <w:rPr>
          <w:bCs/>
          <w:noProof/>
          <w:szCs w:val="24"/>
        </w:rPr>
      </w:pPr>
      <w:r>
        <w:rPr>
          <w:noProof/>
        </w:rPr>
        <w:t>1.6.</w:t>
      </w:r>
      <w:r>
        <w:rPr>
          <w:noProof/>
        </w:rPr>
        <w:tab/>
        <w:t>Διάρκεια και δημοσιονομικές επιπτώσεις της πρότασης/πρωτοβουλίας</w:t>
      </w:r>
    </w:p>
    <w:p>
      <w:pPr>
        <w:pStyle w:val="Text1"/>
        <w:rPr>
          <w:noProof/>
        </w:rPr>
      </w:pPr>
      <w:r>
        <w:rPr>
          <w:b/>
          <w:noProof/>
        </w:rPr>
        <w:t>Χ</w:t>
      </w:r>
      <w:r>
        <w:rPr>
          <w:b/>
          <w:i/>
          <w:noProof/>
        </w:rPr>
        <w:t xml:space="preserve"> </w:t>
      </w:r>
      <w:r>
        <w:rPr>
          <w:b/>
          <w:noProof/>
        </w:rPr>
        <w:t xml:space="preserve">περιορισμένη διάρκεια </w:t>
      </w:r>
    </w:p>
    <w:p>
      <w:pPr>
        <w:pStyle w:val="ListDash2"/>
        <w:rPr>
          <w:noProof/>
        </w:rPr>
      </w:pPr>
      <w:r>
        <w:rPr>
          <w:b/>
          <w:noProof/>
        </w:rPr>
        <w:t>X</w:t>
      </w:r>
      <w:r>
        <w:rPr>
          <w:noProof/>
        </w:rPr>
        <w:tab/>
        <w:t>Με ισχύ από το 2020 έως το 2026</w:t>
      </w:r>
    </w:p>
    <w:p>
      <w:pPr>
        <w:pStyle w:val="ListDash2"/>
        <w:rPr>
          <w:noProof/>
        </w:rPr>
      </w:pPr>
      <w:r>
        <w:rPr>
          <w:b/>
          <w:noProof/>
        </w:rPr>
        <w:t>X</w:t>
      </w:r>
      <w:r>
        <w:rPr>
          <w:noProof/>
        </w:rPr>
        <w:tab/>
        <w:t>Δημοσιονομικές επιπτώσεις από το 2020 έως το 2025 για τις πιστώσεις ανάληψης υποχρεώσεων και από το 2020 έως το 2025 για τις πιστώσεις πληρωμών.</w:t>
      </w:r>
    </w:p>
    <w:p>
      <w:pPr>
        <w:pStyle w:val="Text1"/>
        <w:rPr>
          <w:noProof/>
        </w:rPr>
      </w:pPr>
      <w:r>
        <w:rPr>
          <w:noProof/>
        </w:rPr>
        <w:sym w:font="Wingdings" w:char="F0A8"/>
      </w:r>
      <w:r>
        <w:rPr>
          <w:b/>
          <w:i/>
          <w:noProof/>
        </w:rPr>
        <w:t xml:space="preserve"> </w:t>
      </w:r>
      <w:r>
        <w:rPr>
          <w:b/>
          <w:noProof/>
        </w:rPr>
        <w:t>απεριόριστη διάρκεια</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Προβλεπόμενοι τρόποι διαχείρισης</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b/>
          <w:noProof/>
        </w:rPr>
        <w:t>X</w:t>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Κανόνες παρακολούθησης και υποβολής εκθέσεων </w:t>
      </w:r>
    </w:p>
    <w:p>
      <w:pPr>
        <w:pStyle w:val="Text1"/>
        <w:rPr>
          <w:i/>
          <w:noProof/>
          <w:sz w:val="20"/>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[ΓΔ MARE σε συνεργασία με τον οικείο ακόλουθο αλιείας που είναι αρμόδιος για την περιοχή (Πορ Λουί, Μαυρίκιος) και σε συντονισμό με τις αρμόδιες υπηρεσίες της Επιτροπής] θα παρακολουθεί τακτικά την εφαρμογή του πρωτοκόλλου όσον αφορά τη χρήση των αλιευτικών δυνατοτήτων από τους φορείς εκμετάλλευσης, τα δεδομένα αλιευμάτων και την τήρηση των προϋποθέσεων για την παροχή τομεακής στήριξης. </w:t>
      </w:r>
    </w:p>
    <w:p>
      <w:pPr>
        <w:pBdr>
          <w:top w:val="single" w:sz="4" w:space="1" w:color="auto"/>
          <w:left w:val="single" w:sz="4" w:space="4" w:color="auto"/>
          <w:bottom w:val="single" w:sz="4" w:space="1" w:color="auto"/>
          <w:right w:val="single" w:sz="4" w:space="4" w:color="auto"/>
        </w:pBdr>
        <w:ind w:left="850"/>
        <w:rPr>
          <w:noProof/>
        </w:rPr>
      </w:pPr>
      <w:r>
        <w:rPr>
          <w:noProof/>
        </w:rPr>
        <w:t>Επιπλέον, η ΣΣΒΑ προβλέπει τουλάχιστον μία ετήσια συνεδρίαση της μεικτής επιτροπής, κατά την οποία η Επιτροπή και οι Σεϋχέλλες θα επανεξετάζουν την εφαρμογή της συμφωνίας και του πρωτοκόλλου και θα τροποποιούν, εφόσον είναι αναγκαίο, τον προγραμματισμό και, ενδεχομένως, τη χρηματική αντιπαροχή.</w:t>
      </w:r>
    </w:p>
    <w:p>
      <w:pPr>
        <w:pStyle w:val="ManualHeading2"/>
        <w:rPr>
          <w:bCs/>
          <w:noProof/>
          <w:szCs w:val="24"/>
        </w:rPr>
      </w:pPr>
      <w:r>
        <w:rPr>
          <w:noProof/>
        </w:rPr>
        <w:t>2.2.</w:t>
      </w:r>
      <w:r>
        <w:rPr>
          <w:noProof/>
        </w:rPr>
        <w:tab/>
        <w:t xml:space="preserve">Συστήματα διαχείρισης και ελέγχου </w:t>
      </w:r>
    </w:p>
    <w:p>
      <w:pPr>
        <w:pStyle w:val="ManualHeading3"/>
        <w:rPr>
          <w:noProof/>
        </w:rPr>
      </w:pPr>
      <w:r>
        <w:rPr>
          <w:noProof/>
        </w:rPr>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πληρωμές θα εκτελούνται ανεξάρτητα από την αντιπαροχή που αφορά την πρόσβαση και την αντιπαροχή που αφορά την τομεακή στήριξη.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πληρωμές που αφορούν την πρόσβαση θα καταβάλλονται ετησίως κατά την επέτειο έναρξης ισχύος του πρωτοκόλλου, εκτός από το πρώτο έτος, κατά το οποίο η πληρωμή θα πραγματοποιηθεί εντός τριών μηνών από την έναρξη της προσωρινής εφαρμογής. Η πρόσβαση των σκαφών θα ελέγχεται μέσω της έκδοσης αλιευτικών αδειών.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στήριξη θα καταβληθεί για πρώτη φορά εντός τριών μηνών από την έναρξη της προσωρινής εφαρμογής, με την επιφύλαξη σύναψης συμφωνίας σχετικά με ετήσιο και πολυετές πρόγραμμα εφαρμογής· κατά τα επόμενα έτη, θα εξαρτάται από τα αποτελέσματα που επιτυγχάνονται κάθε φορά. Τα αποτελέσματα που επιτυγχάνονται και το ποσοστό υλοποίησης θα παρακολουθούνται σύμφωνα με τις κατευθυντήριες γραμμές σχετικά με την εφαρμογή της τομεακής στήριξης για την αλιευτική πολιτική των Σεϋχελλών που θα συμφωνηθούν από τα μέρη, βάσει εκθέσεων ή αποδεικτικών εγγράφων που θα προσκομίζει η χώρα εταίρος και τεχνικών ελέγχων διενεργούμενων από τον ακόλουθο αλιείας. </w:t>
      </w:r>
    </w:p>
    <w:p>
      <w:pPr>
        <w:pStyle w:val="ManualHeading3"/>
        <w:rPr>
          <w:bCs/>
          <w:noProof/>
          <w:szCs w:val="24"/>
        </w:rPr>
      </w:pPr>
      <w:r>
        <w:rPr>
          <w:noProof/>
        </w:rPr>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ext1"/>
        <w:pBdr>
          <w:top w:val="single" w:sz="4" w:space="1" w:color="auto"/>
          <w:left w:val="single" w:sz="4" w:space="4" w:color="auto"/>
          <w:bottom w:val="single" w:sz="4" w:space="1" w:color="auto"/>
          <w:right w:val="single" w:sz="4" w:space="4" w:color="auto"/>
        </w:pBdr>
        <w:rPr>
          <w:noProof/>
        </w:rPr>
      </w:pPr>
      <w:r>
        <w:rPr>
          <w:noProof/>
        </w:rPr>
        <w:t>Ο κίνδυνος που έχει εντοπιστεί είναι η υποχρησιμοποίηση των αλιευτικών δυνατοτήτων από μέρους των πλοιοκτητών της ΕΕ και η υποχρησιμοποίηση ή οι καθυστερήσεις στη χρησιμοποίηση των κονδυλίων που προορίζονται για τη χρηματοδότηση της τομεακής αλιευτικής πολιτικής από μέρους των Σεϋχελλών. Σχεδιάζεται εκτενής διάλογος σχετικά με τον προγραμματισμό και την εφαρμογή της τομεακής πολιτικής που προβλέπεται από τη συμφωνία και το πρωτόκολλο. Η από κοινού ανάλυση των αποτελεσμάτων αποτελεί επίσης μέρος των εν λόγω μεθόδων ελέγχου, όπως αναφέρεται στο άρθρο 4 του πρωτοκόλλου Επιπλέον, η συμφωνία και το πρωτόκολλο προβλέπουν ειδικές ρήτρες για την αναστολή τους, υπό ορισμένες προϋποθέσεις και σε δεδομένες συνθήκες.</w:t>
      </w:r>
    </w:p>
    <w:p>
      <w:pPr>
        <w:pStyle w:val="ManualHeading3"/>
        <w:rPr>
          <w:noProof/>
        </w:rPr>
      </w:pPr>
      <w:r>
        <w:rPr>
          <w:noProof/>
        </w:rPr>
        <w:t>2.2.3.</w:t>
      </w:r>
      <w:r>
        <w:rPr>
          <w:noProof/>
        </w:rPr>
        <w:tab/>
        <w:t xml:space="preserve">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πληρωμές για τις δαπάνες πρόσβασης στο πλαίσιο των συμφωνιών σύμπραξης βιώσιμης αλιείας (ΣΣΒΑ) αποτελούν αντικείμενο ελέγχων οι οποίοι αποσκοπούν στη διασφάλιση της τήρησης των σχετικών διατάξεων των διεθνών συμφωνιών. Οι έλεγχοι που αφορούν την τομεακή στήριξη αποσκοπούν στην παρακολούθηση της εφαρμογής της εν λόγω στήριξης. Η παρακολούθηση διενεργείται από το προσωπικό των αντιπροσωπειών της Επιτροπής και κατά τις συνεδριάσεις των μεικτών επιτροπών. Η πρόοδος αξιολογείται με τη βοήθεια πίνακα πολυετούς προγραμματισμού. Αν η πρόοδος είναι ανεπαρκής, η καταβολή της επόμενης δόσης αναστέλλεται ή η δόση καταβάλλεται ενδεχομένως μειωμένη. Το συνολικό κόστος των ελέγχων για το σύνολο των ΣΣΒΑ εκτιμάται ότι ανέρχεται περίπου στο 1,8 % (των εισφορών του 2018). Οι ελεγκτικές διαδικασίες των ΣΣΒΑ προκύπτουν σε μεγάλο βαθμό από υποχρεωτικές κανονιστικές απαιτήσεις. Αν δεν εντοπιστούν αδυναμίες που μπορεί να έχουν σημαντικό αντίκτυπο στη νομιμότητα και την κανονικότητα των χρηματοδοτικών πράξεων, οι έλεγχοι θεωρούνται αποτελεσματικοί. Το μέσο ποσοστό σφάλματος εκτιμάται σε 0,0 %. </w:t>
      </w:r>
    </w:p>
    <w:p>
      <w:pPr>
        <w:pStyle w:val="ManualHeading2"/>
        <w:rPr>
          <w:bCs/>
          <w:noProof/>
          <w:szCs w:val="24"/>
        </w:rPr>
      </w:pPr>
      <w:r>
        <w:rPr>
          <w:noProof/>
        </w:rPr>
        <w:t>2.3.</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 π.χ. μέτρα στο πλαίσιο της στρατηγικής για την καταπολέμηση της απάτης.</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δεσμεύεται να καθιερώσει πολιτικό διάλογο και τακτικές διαβουλεύσεις με τις Σεϋχέλλες, με σκοπό τη βελτίωση της διαχείρισης της συμφωνίας και του πρωτοκόλλου, και την ενίσχυση της συμβολής της ΕΕ στη βιώσιμη διαχείριση των πόρων. Κάθε πληρωμή που πραγματοποιεί η Επιτροπή στο πλαίσιο μιας ΣΣΒΑ υπόκειται στους συνήθεις δημοσιονομικούς και χρηματοοικονομικούς κανόνες και διαδικασίες της Επιτροπής. Συγκεκριμένα, ταυτοποιούνται πλήρως οι τραπεζικοί λογαριασμοί των τρίτων χωρών στους οποίους καταβάλλεται το ποσό της χρηματικής αντιπαροχής. Το άρθρο 3 παράγραφος 7 του πρωτοκόλλου προβλέπει ότι η χρηματική αντιπαροχή που αφορά την πρόσβαση καθώς και η προοριζόμενη για την ανάπτυξη του τομέα πρέπει να καταβάλλονται σε λογαριασμό του Δημόσιου Ταμείου.</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i/>
          <w:noProof/>
        </w:rPr>
      </w:pPr>
      <w:r>
        <w:rPr>
          <w:i/>
          <w:noProof/>
          <w:u w:val="single"/>
        </w:rPr>
        <w:t>Κατά σειρά τομέων</w:t>
      </w:r>
      <w:r>
        <w:rPr>
          <w:i/>
          <w:noProof/>
        </w:rPr>
        <w:t xml:space="preserve">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 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r>
              <w:rPr>
                <w:rStyle w:val="FootnoteReference"/>
                <w:noProof/>
                <w:sz w:val="18"/>
              </w:rPr>
              <w:footnoteReference w:id="9"/>
            </w:r>
            <w:r>
              <w:rPr>
                <w:noProof/>
              </w:rPr>
              <w:t>.</w:t>
            </w:r>
          </w:p>
        </w:tc>
        <w:tc>
          <w:tcPr>
            <w:tcW w:w="1076" w:type="dxa"/>
            <w:vAlign w:val="center"/>
          </w:tcPr>
          <w:p>
            <w:pPr>
              <w:jc w:val="center"/>
              <w:rPr>
                <w:noProof/>
              </w:rPr>
            </w:pPr>
            <w:r>
              <w:rPr>
                <w:noProof/>
                <w:sz w:val="18"/>
              </w:rPr>
              <w:t>χωρών ΕΖΕΣ</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11"/>
            </w:r>
          </w:p>
          <w:p>
            <w:pPr>
              <w:spacing w:before="0" w:after="0"/>
              <w:jc w:val="center"/>
              <w:rPr>
                <w:noProof/>
                <w:sz w:val="18"/>
              </w:rPr>
            </w:pP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Καθιέρωση πλαισίου διακυβέρνησης για τις αλιευτικές δραστηριότητες που ασκούνται από αλιευτικά σκάφη της Ευρωπαϊκής Ένωσης σε ύδατα τρίτων χωρών (ΣΒΑ)</w:t>
            </w:r>
          </w:p>
          <w:p>
            <w:pPr>
              <w:spacing w:after="60"/>
              <w:rPr>
                <w:noProof/>
              </w:rPr>
            </w:pPr>
          </w:p>
        </w:tc>
        <w:tc>
          <w:tcPr>
            <w:tcW w:w="1080" w:type="dxa"/>
            <w:vAlign w:val="center"/>
          </w:tcPr>
          <w:p>
            <w:pPr>
              <w:jc w:val="center"/>
              <w:rPr>
                <w:noProof/>
                <w:color w:val="0000FF"/>
              </w:rPr>
            </w:pPr>
            <w:r>
              <w:rPr>
                <w:noProof/>
                <w:sz w:val="22"/>
              </w:rPr>
              <w:t>ΔΠ</w:t>
            </w:r>
          </w:p>
        </w:tc>
        <w:tc>
          <w:tcPr>
            <w:tcW w:w="1076" w:type="dxa"/>
            <w:vAlign w:val="center"/>
          </w:tcPr>
          <w:p>
            <w:pPr>
              <w:jc w:val="center"/>
              <w:rPr>
                <w:noProof/>
                <w:sz w:val="20"/>
                <w:szCs w:val="20"/>
              </w:rPr>
            </w:pPr>
            <w:r>
              <w:rPr>
                <w:noProof/>
                <w:sz w:val="20"/>
              </w:rPr>
              <w:t>ΟΧΙ</w:t>
            </w:r>
          </w:p>
        </w:tc>
        <w:tc>
          <w:tcPr>
            <w:tcW w:w="1080" w:type="dxa"/>
            <w:vAlign w:val="center"/>
          </w:tcPr>
          <w:p>
            <w:pPr>
              <w:jc w:val="center"/>
              <w:rPr>
                <w:noProof/>
                <w:sz w:val="20"/>
                <w:szCs w:val="20"/>
              </w:rPr>
            </w:pPr>
            <w:r>
              <w:rPr>
                <w:noProof/>
                <w:sz w:val="20"/>
              </w:rPr>
              <w:t>ΟΧΙ</w:t>
            </w:r>
          </w:p>
        </w:tc>
        <w:tc>
          <w:tcPr>
            <w:tcW w:w="1084" w:type="dxa"/>
            <w:vAlign w:val="center"/>
          </w:tcPr>
          <w:p>
            <w:pPr>
              <w:jc w:val="center"/>
              <w:rPr>
                <w:noProof/>
                <w:sz w:val="20"/>
                <w:szCs w:val="20"/>
              </w:rPr>
            </w:pPr>
            <w:r>
              <w:rPr>
                <w:noProof/>
                <w:sz w:val="20"/>
              </w:rPr>
              <w:t>ΟΧΙ</w:t>
            </w:r>
          </w:p>
        </w:tc>
        <w:tc>
          <w:tcPr>
            <w:tcW w:w="1320" w:type="dxa"/>
            <w:vAlign w:val="center"/>
          </w:tcPr>
          <w:p>
            <w:pPr>
              <w:jc w:val="center"/>
              <w:rPr>
                <w:noProof/>
                <w:sz w:val="20"/>
                <w:szCs w:val="20"/>
              </w:rPr>
            </w:pPr>
            <w:r>
              <w:rPr>
                <w:noProof/>
                <w:sz w:val="20"/>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 τομέων</w:t>
      </w:r>
      <w:r>
        <w:rPr>
          <w:i/>
          <w:noProof/>
        </w:rPr>
        <w:t xml:space="preserve">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 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p>
        </w:tc>
        <w:tc>
          <w:tcPr>
            <w:tcW w:w="107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ΝΑΙ/ΟΧΙ</w:t>
            </w:r>
          </w:p>
        </w:tc>
        <w:tc>
          <w:tcPr>
            <w:tcW w:w="1080" w:type="dxa"/>
            <w:vAlign w:val="center"/>
          </w:tcPr>
          <w:p>
            <w:pPr>
              <w:jc w:val="center"/>
              <w:rPr>
                <w:noProof/>
                <w:color w:val="0000FF"/>
                <w:sz w:val="20"/>
                <w:szCs w:val="20"/>
              </w:rPr>
            </w:pPr>
            <w:r>
              <w:rPr>
                <w:noProof/>
                <w:sz w:val="20"/>
              </w:rPr>
              <w:t>ΝΑΙ/ΟΧΙ</w:t>
            </w:r>
          </w:p>
        </w:tc>
        <w:tc>
          <w:tcPr>
            <w:tcW w:w="1084" w:type="dxa"/>
            <w:vAlign w:val="center"/>
          </w:tcPr>
          <w:p>
            <w:pPr>
              <w:jc w:val="center"/>
              <w:rPr>
                <w:noProof/>
                <w:color w:val="0000FF"/>
                <w:sz w:val="20"/>
                <w:szCs w:val="20"/>
              </w:rPr>
            </w:pPr>
            <w:r>
              <w:rPr>
                <w:noProof/>
                <w:sz w:val="20"/>
              </w:rPr>
              <w:t>ΝΑΙ/ΟΧΙ</w:t>
            </w:r>
          </w:p>
        </w:tc>
        <w:tc>
          <w:tcPr>
            <w:tcW w:w="1320" w:type="dxa"/>
            <w:vAlign w:val="center"/>
          </w:tcPr>
          <w:p>
            <w:pPr>
              <w:jc w:val="center"/>
              <w:rPr>
                <w:noProof/>
                <w:sz w:val="20"/>
                <w:szCs w:val="20"/>
              </w:rPr>
            </w:pPr>
            <w:r>
              <w:rPr>
                <w:noProof/>
                <w:sz w:val="20"/>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Εκτιμώμενες δημοσιονομικές επιπτώσεις της πρότασης στις πιστώσεις </w:t>
      </w:r>
    </w:p>
    <w:p>
      <w:pPr>
        <w:pStyle w:val="ManualHeading3"/>
        <w:rPr>
          <w:noProof/>
        </w:rPr>
      </w:pPr>
      <w:r>
        <w:rPr>
          <w:noProof/>
        </w:rPr>
        <w:t>3.2.1.</w:t>
      </w:r>
      <w:r>
        <w:rPr>
          <w:noProof/>
        </w:rPr>
        <w:tab/>
        <w:t xml:space="preserve">Συνοπτική παρουσίαση των εκτιμώμενων επιπτώσεων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t>X</w:t>
      </w:r>
      <w:r>
        <w:rPr>
          <w:noProof/>
        </w:rPr>
        <w:tab/>
        <w:t>Η πρόταση/πρωτοβουλία συνεπάγεται τη χρησιμοποίηση επιχειρησιακών πιστώσεων, όπως εξηγείται κατωτέρω:</w:t>
      </w:r>
    </w:p>
    <w:p>
      <w:pPr>
        <w:jc w:val="right"/>
        <w:rPr>
          <w:noProof/>
          <w:sz w:val="18"/>
          <w:szCs w:val="18"/>
        </w:rPr>
      </w:pPr>
      <w:r>
        <w:rPr>
          <w:noProof/>
          <w:sz w:val="18"/>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Τομέας του πολυετούς δημοσιονομικού πλαισίου</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αριθ. 2</w:t>
            </w:r>
          </w:p>
        </w:tc>
        <w:tc>
          <w:tcPr>
            <w:tcW w:w="7817" w:type="dxa"/>
            <w:vAlign w:val="center"/>
          </w:tcPr>
          <w:p>
            <w:pPr>
              <w:spacing w:before="60" w:after="60"/>
              <w:rPr>
                <w:noProof/>
              </w:rPr>
            </w:pPr>
            <w:r>
              <w:rPr>
                <w:noProof/>
              </w:rPr>
              <w:t>Βιώσιμη ανάπτυξη: φυσικοί πόροι</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ΓΔ: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Γραμμή του προϋπολογισμού</w:t>
            </w:r>
            <w:r>
              <w:rPr>
                <w:rStyle w:val="FootnoteReference"/>
                <w:noProof/>
                <w:sz w:val="20"/>
              </w:rPr>
              <w:footnoteReference w:id="12"/>
            </w:r>
            <w:r>
              <w:rPr>
                <w:noProof/>
                <w:sz w:val="20"/>
              </w:rPr>
              <w:t> </w:t>
            </w:r>
            <w:r>
              <w:rPr>
                <w:noProof/>
              </w:rPr>
              <w:t>11.03.01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Γραμμή του προϋπολογισμού </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13"/>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Γραμμή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sz w:val="22"/>
              </w:rPr>
              <w:br/>
            </w:r>
            <w:r>
              <w:rPr>
                <w:b/>
                <w:noProof/>
                <w:sz w:val="22"/>
              </w:rPr>
              <w:t xml:space="preserve">για τη ΓΔ </w:t>
            </w:r>
            <w:r>
              <w:rPr>
                <w:noProof/>
                <w:sz w:val="22"/>
              </w:rPr>
              <w:t>MARE</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=1α+1β+3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=2α+2β</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ΣΥΝΟΛΟ πιστώσεων</w:t>
            </w:r>
            <w:r>
              <w:rPr>
                <w:noProof/>
                <w:sz w:val="22"/>
              </w:rPr>
              <w:br/>
            </w:r>
            <w:r>
              <w:rPr>
                <w:b/>
                <w:noProof/>
                <w:sz w:val="22"/>
              </w:rPr>
              <w:t>του ΤΟΜΕΑ 2</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Αν η πρόταση/πρωτοβουλία επηρεάζει περισσότερους του ενός επιχειρησιακούς τομείς, επαναλάβετε το ανωτέρω τμήμα:</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ΣΥΝΟΛΟ επιχειρησιακών πιστώσεων (όλοι οι επιχειρησιακοί τομείς)</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ΣΥΝΟΛΟ πιστώσεων</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Τομέας του πολυετούς δημοσιονομικού πλαισίου</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left"/>
        <w:rPr>
          <w:noProof/>
          <w:sz w:val="20"/>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3">
        <w:r>
          <w:rPr>
            <w:rStyle w:val="Hyperlink"/>
            <w:noProof/>
          </w:rPr>
          <w:t>παράρτημα του νομοθετικού δημοσιονομικού δελτίου</w:t>
        </w:r>
      </w:hyperlink>
      <w:r>
        <w:rPr>
          <w:noProof/>
        </w:rPr>
        <w:t xml:space="preserve"> (παράρτημα V του εσωτερικού κανονισμού), που τηλεφορτώνεται στο DECIDE για διυπηρεσιακή διαβούλευση.</w:t>
      </w:r>
    </w:p>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ΣΥΝΟΛΟ</w:t>
            </w:r>
          </w:p>
        </w:tc>
      </w:tr>
      <w:tr>
        <w:trPr>
          <w:gridAfter w:val="8"/>
          <w:wAfter w:w="8211" w:type="dxa"/>
        </w:trPr>
        <w:tc>
          <w:tcPr>
            <w:tcW w:w="3960" w:type="dxa"/>
            <w:vAlign w:val="center"/>
          </w:tcPr>
          <w:p>
            <w:pPr>
              <w:spacing w:before="60" w:after="60"/>
              <w:jc w:val="center"/>
              <w:rPr>
                <w:noProof/>
              </w:rPr>
            </w:pPr>
            <w:r>
              <w:rPr>
                <w:noProof/>
                <w:sz w:val="22"/>
              </w:rPr>
              <w:t>ΓΔ: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Ανθρώπινοι πόροι</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Άλλες διοικητικές δαπάνες</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ΣΥΝΟΛΟ ΓΔ </w:t>
            </w:r>
            <w:r>
              <w:rPr>
                <w:noProof/>
                <w:sz w:val="22"/>
              </w:rPr>
              <w:t>MARE</w:t>
            </w:r>
          </w:p>
        </w:tc>
        <w:tc>
          <w:tcPr>
            <w:tcW w:w="2094" w:type="dxa"/>
            <w:gridSpan w:val="3"/>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ΣΥΝΟΛΟ πιστώσεων</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Εκτιμώμενο αποτέλεσμα που χρηματοδοτείται με επιχειρησιακές πιστώσεις </w:t>
      </w:r>
    </w:p>
    <w:p>
      <w:pPr>
        <w:jc w:val="right"/>
        <w:rPr>
          <w:noProof/>
          <w:sz w:val="20"/>
        </w:rPr>
      </w:pPr>
      <w:r>
        <w:rPr>
          <w:noProof/>
          <w:sz w:val="20"/>
        </w:rPr>
        <w:t>Πιστώσεις ανάληψης υποχρεώσεων σε εκατ. EUR (με 3 δεκαδικά ψηφία)</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ΣΥΝΟΛΟ</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Είδος</w:t>
            </w:r>
            <w:r>
              <w:rPr>
                <w:rStyle w:val="FootnoteReference"/>
                <w:noProof/>
                <w:sz w:val="18"/>
              </w:rPr>
              <w:footnoteReference w:id="14"/>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Μέσο κόστος</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15"/>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Πρόσβαση </w:t>
            </w:r>
          </w:p>
        </w:tc>
        <w:tc>
          <w:tcPr>
            <w:tcW w:w="894" w:type="dxa"/>
            <w:gridSpan w:val="2"/>
          </w:tcPr>
          <w:p>
            <w:pPr>
              <w:ind w:right="-29"/>
              <w:jc w:val="center"/>
              <w:rPr>
                <w:noProof/>
                <w:sz w:val="18"/>
                <w:szCs w:val="18"/>
              </w:rPr>
            </w:pPr>
            <w:r>
              <w:rPr>
                <w:noProof/>
                <w:sz w:val="18"/>
                <w:szCs w:val="18"/>
              </w:rPr>
              <w:t>Ετήσιος</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Τομεακός</w:t>
            </w:r>
          </w:p>
        </w:tc>
        <w:tc>
          <w:tcPr>
            <w:tcW w:w="894" w:type="dxa"/>
            <w:gridSpan w:val="2"/>
          </w:tcPr>
          <w:p>
            <w:pPr>
              <w:ind w:right="-29"/>
              <w:jc w:val="center"/>
              <w:rPr>
                <w:noProof/>
                <w:sz w:val="18"/>
                <w:szCs w:val="18"/>
              </w:rPr>
            </w:pPr>
            <w:r>
              <w:rPr>
                <w:noProof/>
                <w:sz w:val="18"/>
                <w:szCs w:val="18"/>
              </w:rPr>
              <w:t>Ετήσιος</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Αποτέλεσμα</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ΣΥΝΟΛΑ</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Συνοπτική παρουσίαση των εκτιμώμενων επιπτώσεων στις διοικητικές πιστώσεις </w:t>
      </w:r>
    </w:p>
    <w:p>
      <w:pPr>
        <w:pStyle w:val="ListDash1"/>
        <w:rPr>
          <w:noProof/>
        </w:rPr>
      </w:pPr>
      <w:r>
        <w:rPr>
          <w:noProof/>
        </w:rPr>
        <w:t>X</w:t>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pPr>
        <w:jc w:val="right"/>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Έτος 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b/>
                <w:noProof/>
                <w:sz w:val="16"/>
              </w:rPr>
              <w:t>Έτος N+1</w:t>
            </w:r>
          </w:p>
        </w:tc>
        <w:tc>
          <w:tcPr>
            <w:tcW w:w="1080" w:type="dxa"/>
            <w:vAlign w:val="center"/>
          </w:tcPr>
          <w:p>
            <w:pPr>
              <w:spacing w:before="60" w:after="60" w:line="200" w:lineRule="exact"/>
              <w:jc w:val="center"/>
              <w:rPr>
                <w:noProof/>
                <w:sz w:val="16"/>
                <w:szCs w:val="16"/>
              </w:rPr>
            </w:pPr>
            <w:r>
              <w:rPr>
                <w:b/>
                <w:noProof/>
                <w:sz w:val="16"/>
              </w:rPr>
              <w:t>Έτος N+2</w:t>
            </w:r>
          </w:p>
        </w:tc>
        <w:tc>
          <w:tcPr>
            <w:tcW w:w="1080" w:type="dxa"/>
            <w:vAlign w:val="center"/>
          </w:tcPr>
          <w:p>
            <w:pPr>
              <w:spacing w:before="60" w:after="60" w:line="200" w:lineRule="exact"/>
              <w:jc w:val="center"/>
              <w:rPr>
                <w:noProof/>
                <w:sz w:val="16"/>
                <w:szCs w:val="16"/>
              </w:rPr>
            </w:pPr>
            <w:r>
              <w:rPr>
                <w:b/>
                <w:noProof/>
                <w:sz w:val="16"/>
              </w:rPr>
              <w:t>Έτος N+3</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 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Υποσύνολο του ΤΟΜΕΑ 5 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17"/>
            </w:r>
            <w:r>
              <w:rPr>
                <w:b/>
                <w:noProof/>
                <w:sz w:val="16"/>
              </w:rPr>
              <w:t xml:space="preserve"> του πολυετούς δημοσιονομικού πλαισίου</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Άλλες δαπάνες 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Υποσύνολο εκτός του ΤΟΜΕΑ 5 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αν χρειαστεί,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Εκτιμώμενες ανάγκες σε ανθρώπινους πόρους </w:t>
      </w:r>
    </w:p>
    <w:p>
      <w:pPr>
        <w:pStyle w:val="ListDash1"/>
        <w:rPr>
          <w:noProof/>
        </w:rPr>
      </w:pPr>
      <w:r>
        <w:rPr>
          <w:noProof/>
        </w:rPr>
        <w:t>X</w:t>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ισοδύναμα πλήρους απασχόλησης</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Έτος N</w:t>
            </w:r>
          </w:p>
        </w:tc>
        <w:tc>
          <w:tcPr>
            <w:tcW w:w="600" w:type="dxa"/>
            <w:shd w:val="clear" w:color="auto" w:fill="auto"/>
            <w:vAlign w:val="center"/>
          </w:tcPr>
          <w:p>
            <w:pPr>
              <w:spacing w:before="20" w:after="20"/>
              <w:jc w:val="center"/>
              <w:rPr>
                <w:noProof/>
                <w:sz w:val="16"/>
                <w:szCs w:val="16"/>
              </w:rPr>
            </w:pPr>
            <w:r>
              <w:rPr>
                <w:b/>
                <w:noProof/>
                <w:sz w:val="16"/>
              </w:rPr>
              <w:t>Έτος N+1</w:t>
            </w:r>
          </w:p>
        </w:tc>
        <w:tc>
          <w:tcPr>
            <w:tcW w:w="600" w:type="dxa"/>
            <w:shd w:val="clear" w:color="auto" w:fill="auto"/>
            <w:vAlign w:val="center"/>
          </w:tcPr>
          <w:p>
            <w:pPr>
              <w:spacing w:before="20" w:after="20"/>
              <w:jc w:val="center"/>
              <w:rPr>
                <w:noProof/>
                <w:sz w:val="16"/>
                <w:szCs w:val="16"/>
              </w:rPr>
            </w:pPr>
            <w:r>
              <w:rPr>
                <w:noProof/>
                <w:sz w:val="16"/>
              </w:rPr>
              <w:t xml:space="preserve">Έτος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Έτος </w:t>
            </w:r>
            <w:r>
              <w:rPr>
                <w:b/>
                <w:noProof/>
                <w:sz w:val="16"/>
              </w:rPr>
              <w:t>N+3</w:t>
            </w:r>
          </w:p>
        </w:tc>
        <w:tc>
          <w:tcPr>
            <w:tcW w:w="600" w:type="dxa"/>
            <w:gridSpan w:val="3"/>
            <w:shd w:val="clear" w:color="auto" w:fill="auto"/>
            <w:vAlign w:val="center"/>
          </w:tcPr>
          <w:p>
            <w:pPr>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ισοδύναμα πλήρους απασχόλησης: ΙΠΑ)</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JPD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εε</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02/12/22 (AC, END, INT –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Συμβατότητα με το ισχύον πολυετές δημοσιονομικό πλαίσιο </w:t>
      </w:r>
    </w:p>
    <w:p>
      <w:pPr>
        <w:pStyle w:val="Text1"/>
        <w:rPr>
          <w:noProof/>
        </w:rPr>
      </w:pPr>
      <w:r>
        <w:rPr>
          <w:noProof/>
        </w:rPr>
        <w:t>Η πρόταση/πρωτοβουλία:</w:t>
      </w:r>
    </w:p>
    <w:p>
      <w:pPr>
        <w:pStyle w:val="ListDash1"/>
        <w:rPr>
          <w:noProof/>
        </w:rPr>
      </w:pPr>
      <w:r>
        <w:rPr>
          <w:noProof/>
        </w:rPr>
        <w:t>X</w:t>
      </w:r>
      <w:r>
        <w:rPr>
          <w:noProof/>
        </w:rPr>
        <w:tab/>
        <w:t>μπορεί να χρηματοδοτηθεί εξ ολοκλήρου με ανακατανομή εντός του οικείου τομέα του πολυετούς δημοσιονομικού πλαισίου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Αυτό αφορά τη χρήση της γραμμής του αποθεματικού (κεφάλαιο 40).</w:t>
      </w:r>
    </w:p>
    <w:p>
      <w:pPr>
        <w:pStyle w:val="ListDash1"/>
        <w:rPr>
          <w:noProof/>
        </w:rPr>
      </w:pPr>
      <w:r>
        <w:rPr>
          <w:noProof/>
        </w:rPr>
        <w:sym w:font="Wingdings" w:char="F0A8"/>
      </w:r>
      <w:r>
        <w:rPr>
          <w:noProof/>
        </w:rPr>
        <w:tab/>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τα αντίστοιχα ποσά και οι μηχανισμοί που προτείνεται να χρησιμοποιηθούν.</w:t>
      </w:r>
    </w:p>
    <w:p>
      <w:pPr>
        <w:pStyle w:val="ListDash1"/>
        <w:rPr>
          <w:noProof/>
        </w:rPr>
      </w:pPr>
      <w:r>
        <w:rPr>
          <w:noProof/>
        </w:rPr>
        <w:sym w:font="Wingdings" w:char="F0A8"/>
      </w:r>
      <w:r>
        <w:rPr>
          <w:noProof/>
        </w:rPr>
        <w:tab/>
        <w:t>συνεπάγεται την αναθεώρηση του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ManualHeading3"/>
        <w:rPr>
          <w:bCs/>
          <w:noProof/>
          <w:szCs w:val="24"/>
        </w:rPr>
      </w:pPr>
      <w:r>
        <w:rPr>
          <w:noProof/>
        </w:rPr>
        <w:t>3.2.5.</w:t>
      </w:r>
      <w:r>
        <w:rPr>
          <w:noProof/>
        </w:rPr>
        <w:tab/>
        <w:t xml:space="preserve">Συμμετοχή τρίτων στη χρηματοδότηση </w:t>
      </w:r>
    </w:p>
    <w:p>
      <w:pPr>
        <w:pStyle w:val="Text1"/>
        <w:rPr>
          <w:noProof/>
        </w:rPr>
      </w:pPr>
      <w:r>
        <w:rPr>
          <w:noProof/>
        </w:rPr>
        <w:t>Η πρόταση/πρωτοβουλία:</w:t>
      </w:r>
    </w:p>
    <w:p>
      <w:pPr>
        <w:pStyle w:val="ListDash1"/>
        <w:rPr>
          <w:noProof/>
        </w:rPr>
      </w:pPr>
      <w:r>
        <w:rPr>
          <w:noProof/>
        </w:rPr>
        <w:t>X</w:t>
      </w:r>
      <w:r>
        <w:rPr>
          <w:noProof/>
        </w:rPr>
        <w:tab/>
        <w:t>δεν προβλέπει συγχρηματοδότηση από τρίτους</w:t>
      </w:r>
    </w:p>
    <w:p>
      <w:pPr>
        <w:pStyle w:val="ListDash1"/>
        <w:rPr>
          <w:noProof/>
        </w:rPr>
      </w:pPr>
      <w:r>
        <w:rPr>
          <w:noProof/>
        </w:rPr>
        <w:sym w:font="Wingdings" w:char="F0A8"/>
      </w:r>
      <w:r>
        <w:rPr>
          <w:noProof/>
        </w:rPr>
        <w:tab/>
        <w:t>προβλέπει τη συγχρηματοδότηση από τρίτους που εκτιμάται παρακάτω:</w:t>
      </w:r>
    </w:p>
    <w:p>
      <w:pPr>
        <w:jc w:val="right"/>
        <w:rPr>
          <w:noProof/>
          <w:sz w:val="20"/>
        </w:rPr>
      </w:pPr>
      <w:r>
        <w:rPr>
          <w:noProof/>
          <w:sz w:val="20"/>
        </w:rPr>
        <w:t>Πιστώσεις 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Έτος N</w:t>
            </w:r>
            <w:r>
              <w:rPr>
                <w:rStyle w:val="FootnoteReference"/>
                <w:b/>
                <w:noProof/>
                <w:sz w:val="20"/>
              </w:rPr>
              <w:footnoteReference w:id="20"/>
            </w:r>
          </w:p>
        </w:tc>
        <w:tc>
          <w:tcPr>
            <w:tcW w:w="964" w:type="dxa"/>
            <w:vAlign w:val="center"/>
          </w:tcPr>
          <w:p>
            <w:pPr>
              <w:jc w:val="center"/>
              <w:rPr>
                <w:noProof/>
                <w:sz w:val="20"/>
              </w:rPr>
            </w:pPr>
            <w:r>
              <w:rPr>
                <w:b/>
                <w:noProof/>
                <w:sz w:val="20"/>
              </w:rPr>
              <w:t>Έτος N+1</w:t>
            </w:r>
          </w:p>
        </w:tc>
        <w:tc>
          <w:tcPr>
            <w:tcW w:w="964" w:type="dxa"/>
            <w:vAlign w:val="center"/>
          </w:tcPr>
          <w:p>
            <w:pPr>
              <w:jc w:val="center"/>
              <w:rPr>
                <w:noProof/>
                <w:sz w:val="20"/>
              </w:rPr>
            </w:pPr>
            <w:r>
              <w:rPr>
                <w:b/>
                <w:noProof/>
                <w:sz w:val="20"/>
              </w:rPr>
              <w:t>Έτος N+2</w:t>
            </w:r>
          </w:p>
        </w:tc>
        <w:tc>
          <w:tcPr>
            <w:tcW w:w="964" w:type="dxa"/>
            <w:vAlign w:val="center"/>
          </w:tcPr>
          <w:p>
            <w:pPr>
              <w:jc w:val="center"/>
              <w:rPr>
                <w:noProof/>
                <w:sz w:val="20"/>
              </w:rPr>
            </w:pPr>
            <w:r>
              <w:rPr>
                <w:b/>
                <w:noProof/>
                <w:sz w:val="20"/>
              </w:rPr>
              <w:t>Έτος 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Εκτιμώμενες επιπτώσεις στα έσοδα </w:t>
      </w:r>
    </w:p>
    <w:p>
      <w:pPr>
        <w:pStyle w:val="ManualHeading2"/>
        <w:ind w:left="360" w:firstLine="0"/>
        <w:rPr>
          <w:noProof/>
        </w:rPr>
      </w:pPr>
      <w:r>
        <w:rPr>
          <w:noProof/>
        </w:rPr>
        <w:t>X</w:t>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εξής δημοσιονομικές επιπτώσεις:</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στα λοιπά έσοδα</w:t>
      </w:r>
    </w:p>
    <w:p>
      <w:pPr>
        <w:pStyle w:val="ListNumberLevel3"/>
        <w:rPr>
          <w:noProof/>
        </w:rPr>
      </w:pPr>
      <w:r>
        <w:rPr>
          <w:noProof/>
        </w:rPr>
        <w:t xml:space="preserve">να αναφερθεί αν τα έσοδα προορίζονται για γραμμές δαπανών </w:t>
      </w:r>
      <w:r>
        <w:rPr>
          <w:noProof/>
        </w:rPr>
        <w:sym w:font="Wingdings" w:char="F0A8"/>
      </w:r>
      <w:r>
        <w:rPr>
          <w:noProof/>
        </w:rPr>
        <w:tab/>
      </w:r>
    </w:p>
    <w:p>
      <w:pPr>
        <w:ind w:left="4320"/>
        <w:rPr>
          <w:i/>
          <w:noProof/>
          <w:sz w:val="20"/>
        </w:rPr>
      </w:pPr>
      <w:r>
        <w:rPr>
          <w:noProof/>
        </w:rPr>
        <w:t xml:space="preserve">     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325" w:type="dxa"/>
            <w:vMerge w:val="restart"/>
            <w:vAlign w:val="center"/>
          </w:tcPr>
          <w:p>
            <w:pPr>
              <w:jc w:val="center"/>
              <w:rPr>
                <w:noProof/>
                <w:sz w:val="18"/>
              </w:rPr>
            </w:pPr>
            <w:r>
              <w:rPr>
                <w:noProof/>
                <w:sz w:val="18"/>
              </w:rPr>
              <w:t>Διαθέσιμες πιστώσεις για το τρέχον οικονομικό έτος</w:t>
            </w:r>
          </w:p>
        </w:tc>
        <w:tc>
          <w:tcPr>
            <w:tcW w:w="7151"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Έτος N</w:t>
            </w:r>
          </w:p>
        </w:tc>
        <w:tc>
          <w:tcPr>
            <w:tcW w:w="900" w:type="dxa"/>
            <w:vAlign w:val="center"/>
          </w:tcPr>
          <w:p>
            <w:pPr>
              <w:jc w:val="center"/>
              <w:rPr>
                <w:noProof/>
                <w:sz w:val="18"/>
              </w:rPr>
            </w:pPr>
            <w:r>
              <w:rPr>
                <w:b/>
                <w:noProof/>
                <w:sz w:val="18"/>
              </w:rPr>
              <w:t>Έτος N+1</w:t>
            </w:r>
          </w:p>
        </w:tc>
        <w:tc>
          <w:tcPr>
            <w:tcW w:w="900" w:type="dxa"/>
            <w:vAlign w:val="center"/>
          </w:tcPr>
          <w:p>
            <w:pPr>
              <w:jc w:val="center"/>
              <w:rPr>
                <w:noProof/>
                <w:sz w:val="18"/>
              </w:rPr>
            </w:pPr>
            <w:r>
              <w:rPr>
                <w:b/>
                <w:noProof/>
                <w:sz w:val="18"/>
              </w:rPr>
              <w:t>Έτος N+2</w:t>
            </w:r>
          </w:p>
        </w:tc>
        <w:tc>
          <w:tcPr>
            <w:tcW w:w="1080" w:type="dxa"/>
            <w:vAlign w:val="center"/>
          </w:tcPr>
          <w:p>
            <w:pPr>
              <w:jc w:val="center"/>
              <w:rPr>
                <w:noProof/>
                <w:sz w:val="18"/>
              </w:rPr>
            </w:pPr>
            <w:r>
              <w:rPr>
                <w:b/>
                <w:noProof/>
                <w:sz w:val="18"/>
              </w:rPr>
              <w:t>Έτος 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Άλλες παρατηρήσεις (π.χ. μέθοδος/τύπος για τον υπολογισμό των επιπτώσεων στα έσοδα ή τυχόν άλλες πληροφορίες).</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200" w:line="276" w:lineRule="auto"/>
        <w:jc w:val="left"/>
        <w:rPr>
          <w:i/>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290 της 20.10.2006, σ. 2</w:t>
      </w:r>
    </w:p>
  </w:footnote>
  <w:footnote w:id="2">
    <w:p>
      <w:pPr>
        <w:pStyle w:val="FootnoteText"/>
      </w:pPr>
      <w:r>
        <w:rPr>
          <w:rStyle w:val="FootnoteReference"/>
        </w:rPr>
        <w:footnoteRef/>
      </w:r>
      <w:r>
        <w:rPr>
          <w:rStyle w:val="Hyperlink"/>
        </w:rPr>
        <w:tab/>
      </w:r>
      <w:hyperlink r:id="rId1" w:history="1">
        <w:r>
          <w:rPr>
            <w:rStyle w:val="Hyperlink"/>
          </w:rPr>
          <w:t>https://www.consilium.europa.eu/el/documents-publications/treaties-agreements/agreement/?id=2006084&amp;DocLanguage=el</w:t>
        </w:r>
      </w:hyperlink>
    </w:p>
  </w:footnote>
  <w:footnote w:id="3">
    <w:p>
      <w:pPr>
        <w:pStyle w:val="FootnoteText"/>
      </w:pPr>
      <w:r>
        <w:rPr>
          <w:rStyle w:val="FootnoteReference"/>
        </w:rPr>
        <w:footnoteRef/>
      </w:r>
      <w:r>
        <w:tab/>
        <w:t>ΕΕ L 4 της 9.1.2014, σ. 3</w:t>
      </w:r>
    </w:p>
  </w:footnote>
  <w:footnote w:id="4">
    <w:p>
      <w:pPr>
        <w:pStyle w:val="FootnoteText"/>
      </w:pPr>
      <w:r>
        <w:rPr>
          <w:rStyle w:val="FootnoteReference"/>
        </w:rPr>
        <w:footnoteRef/>
      </w:r>
      <w:r>
        <w:tab/>
        <w:t>Εγκρίθηκαν κατά τη σύνοδο του Συμβουλίου Γεωργίας και Αλιείας στις 15 Ιουλίου 2019.</w:t>
      </w:r>
    </w:p>
  </w:footnote>
  <w:footnote w:id="5">
    <w:p>
      <w:pPr>
        <w:pStyle w:val="FootnoteText"/>
      </w:pPr>
      <w:r>
        <w:rPr>
          <w:rStyle w:val="FootnoteReference"/>
        </w:rPr>
        <w:footnoteRef/>
      </w:r>
      <w:r>
        <w:tab/>
        <w:t>ΕΕ 354 της 28.12.2013, σ.22.</w:t>
      </w:r>
    </w:p>
  </w:footnote>
  <w:footnote w:id="6">
    <w:p>
      <w:pPr>
        <w:pStyle w:val="FootnoteText"/>
      </w:pPr>
      <w:r>
        <w:rPr>
          <w:rStyle w:val="FootnoteReference"/>
        </w:rPr>
        <w:footnoteRef/>
      </w:r>
      <w:r>
        <w:tab/>
        <w:t>Σύμφωνα με τη διοργανική συμφωνία για τη συνεργασία σε θέματα προϋπολογισμού (ΕΕ C 373 της 20.12.2013, σ. 1).</w:t>
      </w:r>
    </w:p>
  </w:footnote>
  <w:footnote w:id="7">
    <w:p>
      <w:pPr>
        <w:pStyle w:val="FootnoteText"/>
        <w:rPr>
          <w:szCs w:val="24"/>
        </w:rPr>
      </w:pPr>
      <w:r>
        <w:rPr>
          <w:rStyle w:val="FootnoteReference"/>
        </w:rPr>
        <w:footnoteRef/>
      </w:r>
      <w:r>
        <w:tab/>
        <w:t>Όπως αναφέρεται στο άρθρο 58 παράγραφος 2 στοιχείο α) ή β) του δημοσιονομικού κανονισμού.</w:t>
      </w:r>
    </w:p>
  </w:footnote>
  <w:footnote w:id="8">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2">
        <w:r>
          <w:rPr>
            <w:rStyle w:val="Hyperlink"/>
          </w:rPr>
          <w:t>https://myintracomm.ec.europa.eu/budgweb/EN/man/budgmanag/Pages/budgmanag.aspx</w:t>
        </w:r>
      </w:hyperlink>
      <w:r>
        <w:t xml:space="preserve">. </w:t>
      </w:r>
    </w:p>
  </w:footnote>
  <w:footnote w:id="9">
    <w:p>
      <w:pPr>
        <w:pStyle w:val="FootnoteText"/>
        <w:rPr>
          <w:szCs w:val="24"/>
        </w:rPr>
      </w:pPr>
      <w:r>
        <w:rPr>
          <w:rStyle w:val="FootnoteReference"/>
        </w:rPr>
        <w:footnoteRef/>
      </w:r>
      <w:r>
        <w:tab/>
        <w:t>ΔΠ = Διαχωριζόμενες πιστώσεις / ΜΔΠ = Μη διαχωριζόμενες πιστώσεις.</w:t>
      </w:r>
    </w:p>
  </w:footnote>
  <w:footnote w:id="10">
    <w:p>
      <w:pPr>
        <w:pStyle w:val="FootnoteText"/>
        <w:rPr>
          <w:szCs w:val="24"/>
        </w:rPr>
      </w:pPr>
      <w:r>
        <w:rPr>
          <w:rStyle w:val="FootnoteReference"/>
        </w:rPr>
        <w:footnoteRef/>
      </w:r>
      <w:r>
        <w:tab/>
        <w:t xml:space="preserve">ΕΖΕΣ: Ευρωπαϊκή Ζώνη Ελεύθερων Συναλλαγών. </w:t>
      </w:r>
    </w:p>
  </w:footnote>
  <w:footnote w:id="11">
    <w:p>
      <w:pPr>
        <w:pStyle w:val="FootnoteText"/>
        <w:rPr>
          <w:szCs w:val="24"/>
        </w:rPr>
      </w:pPr>
      <w:r>
        <w:rPr>
          <w:rStyle w:val="FootnoteReference"/>
        </w:rPr>
        <w:footnoteRef/>
      </w:r>
      <w:r>
        <w:tab/>
        <w:t>Υποψήφιες για ένταξη χώρες και, κατά περίπτωση, δυνάμει υποψήφιες για ένταξη χώρες των Δυτικών Βαλκανίων.</w:t>
      </w:r>
    </w:p>
  </w:footnote>
  <w:footnote w:id="12">
    <w:p>
      <w:pPr>
        <w:pStyle w:val="FootnoteText"/>
        <w:rPr>
          <w:sz w:val="18"/>
          <w:szCs w:val="18"/>
        </w:rPr>
      </w:pPr>
      <w:r>
        <w:rPr>
          <w:rStyle w:val="FootnoteReference"/>
        </w:rPr>
        <w:footnoteRef/>
      </w:r>
      <w:r>
        <w:tab/>
        <w:t>Σύμφωνα με την επίσημη ονοματολογία του προϋπολογισμού.</w:t>
      </w:r>
    </w:p>
  </w:footnote>
  <w:footnote w:id="13">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4">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μήκος οδών σε χλμ. που θα κατασκευαστούν ).</w:t>
      </w:r>
    </w:p>
  </w:footnote>
  <w:footnote w:id="15">
    <w:p>
      <w:pPr>
        <w:pStyle w:val="FootnoteText"/>
        <w:rPr>
          <w:szCs w:val="24"/>
        </w:rPr>
      </w:pPr>
      <w:r>
        <w:rPr>
          <w:rStyle w:val="FootnoteReference"/>
        </w:rPr>
        <w:footnoteRef/>
      </w:r>
      <w:r>
        <w:tab/>
        <w:t xml:space="preserve">Όπως περιγράφεται στο σημείο 1.4.2. «Ειδικοί στόχοι…» </w:t>
      </w:r>
    </w:p>
  </w:footnote>
  <w:footnote w:id="16">
    <w:p>
      <w:pPr>
        <w:pStyle w:val="FootnoteText"/>
        <w:rPr>
          <w:sz w:val="18"/>
          <w:szCs w:val="18"/>
        </w:rPr>
      </w:pPr>
      <w:r>
        <w:rPr>
          <w:rStyle w:val="FootnoteReference"/>
        </w:rPr>
        <w:footnoteRef/>
      </w:r>
      <w:r>
        <w:tab/>
      </w:r>
      <w:r>
        <w:rPr>
          <w:sz w:val="18"/>
        </w:rPr>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17">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8">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19">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20">
    <w:p>
      <w:pPr>
        <w:pStyle w:val="FootnoteText"/>
      </w:pPr>
      <w:r>
        <w:rPr>
          <w:rStyle w:val="FootnoteReference"/>
        </w:rPr>
        <w:footnoteRef/>
      </w:r>
      <w:r>
        <w:tab/>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21">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5"/>
  </w:num>
  <w:num w:numId="3">
    <w:abstractNumId w:val="0"/>
  </w:num>
  <w:num w:numId="4">
    <w:abstractNumId w:val="18"/>
  </w:num>
  <w:num w:numId="5">
    <w:abstractNumId w:val="7"/>
  </w:num>
  <w:num w:numId="6">
    <w:abstractNumId w:val="15"/>
  </w:num>
  <w:num w:numId="7">
    <w:abstractNumId w:val="14"/>
  </w:num>
  <w:num w:numId="8">
    <w:abstractNumId w:val="22"/>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F576C42-718C-427E-A56F-6041CD007730"/>
    <w:docVar w:name="LW_COVERPAGE_TYPE" w:val="1"/>
    <w:docVar w:name="LW_CROSSREFERENCE" w:val="&lt;UNUSED&gt;"/>
    <w:docVar w:name="LW_DocType" w:val="COM"/>
    <w:docVar w:name="LW_EMISSION" w:val="7.1.2020"/>
    <w:docVar w:name="LW_EMISSION_ISODATE" w:val="2020-01-07"/>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03"/>
    <w:docVar w:name="LW_REF.II.NEW.CP_YEAR" w:val="2020"/>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04?\u957?\u969?\u963?\u951?\u962?, \u954?\u945?\u953? \u964?\u951?\u957? \u960?\u961?\u959?\u963?\u969?\u961?\u953?\u957?\u942? \u949?\u966?\u945?\u961?\u956?\u959?\u947?\u942? \u964?\u951?\u962? \u963?\u965?\u956?\u966?\u969?\u957?\u943?\u945?\u962? \u963?\u973?\u956?\u960?\u961?\u945?\u958?\u951?\u962? \u963?\u964?\u959?\u957? \u964?\u959?\u956?\u941?\u945? \u964?\u951?\u962? \u946?\u953?\u974?\u963?\u953?\u956?\u951?\u962? \u945?\u955?\u953?\u949?\u943?\u945?\u962? \u954?\u945?\u953? \u964?\u959?\u965? \u960?\u961?\u969?\u964?\u959?\u954?\u972?\u955?\u955?\u959?\u965? \u949?\u966?\u945?\u961?\u956?\u959?\u947?\u942?\u962? \u964?\u951?\u962? (2020-2026) \u956?\u949?\u964?\u945?\u958?\u973? \u964?\u951?\u962? \u917?\u965?\u961?\u969?\u960?\u945?\u970?\u954?\u942?\u962? \u904?\u957?\u969?\u963?\u951?\u962? \u954?\u945?\u953? \u964?\u969?\u957? \u931?\u949?\u971?\u967?\u949?\u955?\u955?\u974?\u957?"/>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el/documents-publications/treaties-agreements/agreement/?id=2006084&amp;DocLanguage=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B644-C6E7-4FF0-86D1-ED8669C6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5662</Words>
  <Characters>34541</Characters>
  <Application>Microsoft Office Word</Application>
  <DocSecurity>0</DocSecurity>
  <Lines>1439</Lines>
  <Paragraphs>659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2019-11-29T15:33:00Z</cp:lastPrinted>
  <dcterms:created xsi:type="dcterms:W3CDTF">2020-01-03T15:04:00Z</dcterms:created>
  <dcterms:modified xsi:type="dcterms:W3CDTF">2020-01-07T08:36:00Z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