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99536FAF-D629-4226-9A16-6951C95AD0B4" style="width:450.75pt;height:366pt">
            <v:imagedata r:id="rId8" o:title=""/>
          </v:shape>
        </w:pict>
      </w:r>
    </w:p>
    <w:p>
      <w:pPr>
        <w:rPr>
          <w:noProof/>
        </w:rPr>
        <w:sectPr>
          <w:footerReference w:type="default" r:id="rId9"/>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EXPUNERE DE MOTIVE</w:t>
      </w:r>
    </w:p>
    <w:p>
      <w:pPr>
        <w:pStyle w:val="ManualHeading1"/>
        <w:rPr>
          <w:noProof/>
        </w:rPr>
      </w:pPr>
      <w:r>
        <w:rPr>
          <w:noProof/>
        </w:rPr>
        <w:t>1.</w:t>
      </w:r>
      <w:r>
        <w:rPr>
          <w:noProof/>
        </w:rPr>
        <w:tab/>
        <w:t>CONTEXTUL PROPUNERII</w:t>
      </w:r>
    </w:p>
    <w:p>
      <w:pPr>
        <w:pStyle w:val="ManualHeading2"/>
        <w:rPr>
          <w:rFonts w:eastAsia="Arial Unicode MS"/>
          <w:noProof/>
        </w:rPr>
      </w:pPr>
      <w:r>
        <w:rPr>
          <w:noProof/>
          <w:u w:color="000000"/>
          <w:bdr w:val="nil"/>
        </w:rPr>
        <w:t>•</w:t>
      </w:r>
      <w:r>
        <w:rPr>
          <w:noProof/>
          <w:u w:color="000000"/>
          <w:bdr w:val="nil"/>
        </w:rPr>
        <w:tab/>
      </w:r>
      <w:r>
        <w:rPr>
          <w:noProof/>
        </w:rPr>
        <w:t>Motivele și obiectivele propunerii</w:t>
      </w:r>
    </w:p>
    <w:p>
      <w:pPr>
        <w:pBdr>
          <w:top w:val="nil"/>
          <w:left w:val="nil"/>
          <w:bottom w:val="nil"/>
          <w:right w:val="nil"/>
          <w:between w:val="nil"/>
          <w:bar w:val="nil"/>
        </w:pBdr>
        <w:spacing w:before="0" w:after="240"/>
        <w:rPr>
          <w:noProof/>
        </w:rPr>
      </w:pPr>
      <w:r>
        <w:rPr>
          <w:noProof/>
        </w:rPr>
        <w:t>Pe baza directivelor de negociere relevante</w:t>
      </w:r>
      <w:r>
        <w:rPr>
          <w:rStyle w:val="FootnoteReference"/>
          <w:noProof/>
        </w:rPr>
        <w:footnoteReference w:id="1"/>
      </w:r>
      <w:r>
        <w:rPr>
          <w:noProof/>
        </w:rPr>
        <w:t xml:space="preserve">, Comisia a purtat negocieri cu Guvernul Republicii Seychelles (denumit în continuare „Seychelles”) în vederea încheierii, în numele Uniunii Europene, a unui nou acord de parteneriat în domeniul pescuitului sustenabil și a unui protocol de punere în aplicare a acestuia. După încheierea respectivelor negocieri, la 22 octombrie 2019, negociatorii au parafat un acord și un protocol (2020-2026). Noul acord abrogă și înlocuiește acordul existent; acesta acoperă o perioadă de șase ani de la data aplicării provizorii, stabilită la articolul 15, și anume data semnării de către părți, putând fi reînnoit prin acord tacit. Noul protocol acoperă o perioadă de șase ani de la data aplicării provizorii, stabilită la articolul 15, și anume data semnării de către ambele părți. </w:t>
      </w:r>
    </w:p>
    <w:p>
      <w:pPr>
        <w:rPr>
          <w:rFonts w:eastAsia="Calibri"/>
          <w:noProof/>
        </w:rPr>
      </w:pPr>
      <w:r>
        <w:rPr>
          <w:noProof/>
        </w:rPr>
        <w:t>Noul protocol prevede posibilități de pescuit pentru următoarele categorii:</w:t>
      </w:r>
    </w:p>
    <w:p>
      <w:pPr>
        <w:rPr>
          <w:rFonts w:eastAsia="Calibri"/>
          <w:noProof/>
        </w:rPr>
      </w:pPr>
      <w:r>
        <w:rPr>
          <w:noProof/>
        </w:rPr>
        <w:t>-</w:t>
      </w:r>
      <w:r>
        <w:rPr>
          <w:noProof/>
        </w:rPr>
        <w:tab/>
        <w:t>40 de nave de pescuit ton cu plasă-pungă;</w:t>
      </w:r>
    </w:p>
    <w:p>
      <w:pPr>
        <w:rPr>
          <w:rFonts w:eastAsia="Calibri"/>
          <w:noProof/>
        </w:rPr>
      </w:pPr>
      <w:r>
        <w:rPr>
          <w:noProof/>
        </w:rPr>
        <w:t>-</w:t>
      </w:r>
      <w:r>
        <w:rPr>
          <w:noProof/>
        </w:rPr>
        <w:tab/>
        <w:t>8 nave de pescuit cu paragate plutitoare;</w:t>
      </w:r>
    </w:p>
    <w:p>
      <w:pPr>
        <w:rPr>
          <w:rFonts w:eastAsia="Calibri"/>
          <w:noProof/>
        </w:rPr>
      </w:pPr>
      <w:r>
        <w:rPr>
          <w:noProof/>
        </w:rPr>
        <w:t>-</w:t>
      </w:r>
      <w:r>
        <w:rPr>
          <w:noProof/>
        </w:rPr>
        <w:tab/>
        <w:t>nave de sprijin în conformitate cu rezoluțiile relevante ale IOTC.</w:t>
      </w:r>
    </w:p>
    <w:p>
      <w:pPr>
        <w:pBdr>
          <w:top w:val="nil"/>
          <w:left w:val="nil"/>
          <w:bottom w:val="nil"/>
          <w:right w:val="nil"/>
          <w:between w:val="nil"/>
          <w:bar w:val="nil"/>
        </w:pBdr>
        <w:spacing w:before="0" w:after="240"/>
        <w:rPr>
          <w:noProof/>
        </w:rPr>
      </w:pPr>
      <w:r>
        <w:rPr>
          <w:noProof/>
        </w:rPr>
        <w:t>Trebuie să se stabilească metoda de repartizare a acestor posibilități de pescuit între statele membre.</w:t>
      </w:r>
    </w:p>
    <w:p>
      <w:pPr>
        <w:pStyle w:val="ManualHeading2"/>
        <w:rPr>
          <w:rFonts w:eastAsia="Arial Unicode MS"/>
          <w:noProof/>
          <w:color w:val="000000"/>
          <w:u w:color="000000"/>
          <w:bdr w:val="nil"/>
        </w:rPr>
      </w:pPr>
      <w:r>
        <w:rPr>
          <w:noProof/>
          <w:u w:color="000000"/>
          <w:bdr w:val="nil"/>
        </w:rPr>
        <w:t>•</w:t>
      </w:r>
      <w:r>
        <w:rPr>
          <w:noProof/>
          <w:u w:color="000000"/>
          <w:bdr w:val="nil"/>
        </w:rPr>
        <w:tab/>
      </w:r>
      <w:r>
        <w:rPr>
          <w:noProof/>
        </w:rPr>
        <w:t>Coerența cu dispozițiile deja existente în domeniul de politică vizat</w:t>
      </w:r>
    </w:p>
    <w:p>
      <w:pPr>
        <w:rPr>
          <w:rFonts w:eastAsia="Calibri"/>
          <w:noProof/>
        </w:rPr>
      </w:pPr>
      <w:r>
        <w:rPr>
          <w:noProof/>
        </w:rPr>
        <w:t>Obiectivul principal al noului acord este de a furniza un cadru actualizat, care să țină seama de prioritățile politicii comune reformate în domeniul pescuitului</w:t>
      </w:r>
      <w:r>
        <w:rPr>
          <w:rStyle w:val="FootnoteReference"/>
          <w:noProof/>
        </w:rPr>
        <w:footnoteReference w:id="2"/>
      </w:r>
      <w:r>
        <w:rPr>
          <w:noProof/>
        </w:rPr>
        <w:t xml:space="preserve"> și de dimensiunea externă a acesteia, în vederea continuării și consolidării unui parteneriat strategic în domeniul pescuitului între Uniunea Europeană și Republica Seychelles.</w:t>
      </w:r>
    </w:p>
    <w:p>
      <w:pPr>
        <w:rPr>
          <w:rFonts w:eastAsia="Calibri"/>
          <w:noProof/>
        </w:rPr>
      </w:pPr>
      <w:r>
        <w:rPr>
          <w:noProof/>
        </w:rPr>
        <w:t>Obiectivul protocolului este să ofere posibilități de pescuit pentru navele Uniunii Europene în zona de pescuit a Republicii Seychelles în conformitate cu cele mai bune avize științifice disponibile și cu rezoluțiile și recomandările Comisiei Tonului din Oceanul Indian (IOTC), în limitele surplusului disponibil. Comisia și-a bazat poziția, printre altele, pe rezultatele unei evaluări a acordului și a protocolului anterioare (2014-2020), precum și ale unei evaluări prospective privind necesitatea încheierii unui nou acord și a unui nou protocol. Ambele evaluări au fost realizate de experți externi. De asemenea, se urmărește obiectivul de a consolida cooperarea dintre Uniunea Europeană și Republica Seychelles în scopul promovării unei politici sustenabile în domeniul pescuitului și a exploatării responsabile a resurselor piscicole în zona de pescuit a Republicii Seychelles și în Oceanul Indian, în interesul ambelor părți. În plus, această cooperare va contribui, de asemenea, la promovarea unor condiții de muncă decente în ceea ce privește desfășurarea de activități de pescuit</w:t>
      </w:r>
    </w:p>
    <w:p>
      <w:pPr>
        <w:pStyle w:val="ManualHeading2"/>
        <w:rPr>
          <w:rFonts w:eastAsia="Arial Unicode MS"/>
          <w:noProof/>
        </w:rPr>
      </w:pPr>
      <w:r>
        <w:rPr>
          <w:noProof/>
          <w:u w:color="000000"/>
          <w:bdr w:val="nil"/>
        </w:rPr>
        <w:t>•</w:t>
      </w:r>
      <w:r>
        <w:rPr>
          <w:noProof/>
          <w:u w:color="000000"/>
          <w:bdr w:val="nil"/>
        </w:rPr>
        <w:tab/>
      </w:r>
      <w:r>
        <w:rPr>
          <w:noProof/>
        </w:rPr>
        <w:t>Coerența cu alte politici ale Uniunii</w:t>
      </w:r>
    </w:p>
    <w:p>
      <w:pPr>
        <w:spacing w:before="0" w:after="240"/>
        <w:rPr>
          <w:noProof/>
        </w:rPr>
      </w:pPr>
      <w:r>
        <w:rPr>
          <w:noProof/>
        </w:rPr>
        <w:t xml:space="preserve">Negocierea unui nou Acord de parteneriat în domeniul pescuitului încheiat cu Seychelles face parte din acțiunea externă a Uniunii față de țările din Africa, zona Caraibilor și Pacific (ACP) și ține seama în special de obiectivele Uniunii în ceea ce privește respectarea principiilor democratice și a drepturilor omului. </w:t>
      </w:r>
    </w:p>
    <w:p>
      <w:pPr>
        <w:pStyle w:val="ManualHeading1"/>
        <w:rPr>
          <w:noProof/>
        </w:rPr>
      </w:pPr>
      <w:r>
        <w:rPr>
          <w:noProof/>
        </w:rPr>
        <w:lastRenderedPageBreak/>
        <w:t>2.</w:t>
      </w:r>
      <w:r>
        <w:rPr>
          <w:noProof/>
        </w:rPr>
        <w:tab/>
        <w:t>TEMEI JURIDIC, SUBSIDIARITATE ȘI PROPORȚIONALITATE</w:t>
      </w:r>
    </w:p>
    <w:p>
      <w:pPr>
        <w:pStyle w:val="ManualHeading2"/>
        <w:rPr>
          <w:rFonts w:eastAsia="Arial Unicode MS"/>
          <w:noProof/>
          <w:u w:color="000000"/>
          <w:bdr w:val="nil"/>
        </w:rPr>
      </w:pPr>
      <w:r>
        <w:rPr>
          <w:noProof/>
          <w:u w:color="000000"/>
          <w:bdr w:val="nil"/>
        </w:rPr>
        <w:t>•</w:t>
      </w:r>
      <w:r>
        <w:rPr>
          <w:noProof/>
          <w:u w:color="000000"/>
          <w:bdr w:val="nil"/>
        </w:rPr>
        <w:tab/>
        <w:t>Temei juridic</w:t>
      </w:r>
    </w:p>
    <w:p>
      <w:pPr>
        <w:keepNext/>
        <w:rPr>
          <w:noProof/>
          <w:sz w:val="22"/>
        </w:rPr>
      </w:pPr>
      <w:r>
        <w:rPr>
          <w:noProof/>
        </w:rPr>
        <w:t>Temeiul juridic ales este articolul 43 alineatul (3) din Tratatul privind funcționarea Uniunii Europene, care prevede că Consiliul adoptă, la propunerea Comisiei, o serie de măsuri privind alocarea de posibilități de pescuit.</w:t>
      </w:r>
    </w:p>
    <w:p>
      <w:pPr>
        <w:pStyle w:val="ManualHeading2"/>
        <w:rPr>
          <w:rFonts w:eastAsia="Arial Unicode MS"/>
          <w:noProof/>
          <w:u w:color="000000"/>
          <w:bdr w:val="nil"/>
        </w:rPr>
      </w:pPr>
      <w:r>
        <w:rPr>
          <w:noProof/>
          <w:u w:color="000000"/>
          <w:bdr w:val="nil"/>
        </w:rPr>
        <w:t>•</w:t>
      </w:r>
      <w:r>
        <w:rPr>
          <w:noProof/>
          <w:u w:color="000000"/>
          <w:bdr w:val="nil"/>
        </w:rPr>
        <w:tab/>
        <w:t xml:space="preserve">Subsidiaritatea (pentru competența neexclusivă) </w:t>
      </w:r>
    </w:p>
    <w:p>
      <w:pPr>
        <w:spacing w:before="0" w:after="240"/>
        <w:rPr>
          <w:rFonts w:eastAsia="Arial Unicode MS"/>
          <w:noProof/>
        </w:rPr>
      </w:pPr>
      <w:r>
        <w:rPr>
          <w:noProof/>
        </w:rPr>
        <w:t xml:space="preserve">Propunerea intră în sfera competenței exclusive a Uniunii Europene. </w:t>
      </w:r>
    </w:p>
    <w:p>
      <w:pPr>
        <w:pStyle w:val="ManualHeading1"/>
        <w:rPr>
          <w:noProof/>
        </w:rPr>
      </w:pPr>
      <w:r>
        <w:rPr>
          <w:noProof/>
        </w:rPr>
        <w:t>3.</w:t>
      </w:r>
      <w:r>
        <w:rPr>
          <w:noProof/>
        </w:rPr>
        <w:tab/>
        <w:t xml:space="preserve">REZULTATELE EVALUĂRILOR </w:t>
      </w:r>
      <w:r>
        <w:rPr>
          <w:i/>
          <w:iCs/>
          <w:noProof/>
        </w:rPr>
        <w:t>EX POST</w:t>
      </w:r>
      <w:r>
        <w:rPr>
          <w:noProof/>
        </w:rPr>
        <w:t>, ALE CONSULTĂRILOR CU PĂRȚILE INTERESATE ȘI ALE EVALUĂRILOR IMPACTULUI</w:t>
      </w:r>
    </w:p>
    <w:p>
      <w:pPr>
        <w:pStyle w:val="ManualHeading2"/>
        <w:rPr>
          <w:rFonts w:eastAsia="Arial Unicode MS"/>
          <w:noProof/>
          <w:u w:color="000000"/>
          <w:bdr w:val="nil"/>
        </w:rPr>
      </w:pPr>
      <w:r>
        <w:rPr>
          <w:noProof/>
          <w:u w:color="000000"/>
          <w:bdr w:val="nil"/>
        </w:rPr>
        <w:t>•</w:t>
      </w:r>
      <w:r>
        <w:rPr>
          <w:noProof/>
          <w:u w:color="000000"/>
          <w:bdr w:val="nil"/>
        </w:rPr>
        <w:tab/>
        <w:t xml:space="preserve">Evaluările </w:t>
      </w:r>
      <w:r>
        <w:rPr>
          <w:i/>
          <w:iCs/>
          <w:noProof/>
          <w:u w:color="000000"/>
          <w:bdr w:val="nil"/>
        </w:rPr>
        <w:t>ex post</w:t>
      </w:r>
      <w:r>
        <w:rPr>
          <w:noProof/>
          <w:u w:color="000000"/>
          <w:bdr w:val="nil"/>
        </w:rPr>
        <w:t>/verificarea adecvării legislației existente</w:t>
      </w:r>
    </w:p>
    <w:p>
      <w:pPr>
        <w:pBdr>
          <w:top w:val="nil"/>
          <w:left w:val="nil"/>
          <w:bottom w:val="nil"/>
          <w:right w:val="nil"/>
          <w:between w:val="nil"/>
          <w:bar w:val="nil"/>
        </w:pBdr>
        <w:spacing w:before="0" w:after="240"/>
        <w:rPr>
          <w:noProof/>
        </w:rPr>
      </w:pPr>
      <w:r>
        <w:rPr>
          <w:noProof/>
        </w:rPr>
        <w:t xml:space="preserve">Părțile interesate au fost consultate în cadrul evaluărilor </w:t>
      </w:r>
      <w:r>
        <w:rPr>
          <w:i/>
          <w:iCs/>
          <w:noProof/>
        </w:rPr>
        <w:t>ex post</w:t>
      </w:r>
      <w:r>
        <w:rPr>
          <w:noProof/>
        </w:rPr>
        <w:t xml:space="preserve"> și </w:t>
      </w:r>
      <w:r>
        <w:rPr>
          <w:i/>
          <w:iCs/>
          <w:noProof/>
        </w:rPr>
        <w:t>ex ante</w:t>
      </w:r>
      <w:r>
        <w:rPr>
          <w:noProof/>
        </w:rPr>
        <w:t xml:space="preserve"> privind posibilitatea încheierii unui nou acord de parteneriat în domeniul pescuitului sustenabil și a unui protocol de punere în aplicare a acestuia între Uniune și Seychelles. Cu prilejul reuniunilor tehnice au fost consultați, de asemenea, experții statelor membre și ai industriei de resort. În urma acestor consultări, s-a ajuns la concluzia că încheierea unui acord de parteneriat în domeniul pescuitului sustenabil și a unui protocol de punere în aplicare a acestuia ar fi benefică pentru Uniune și Seychelles.</w:t>
      </w:r>
    </w:p>
    <w:p>
      <w:pPr>
        <w:pStyle w:val="ManualHeading2"/>
        <w:rPr>
          <w:rFonts w:eastAsia="Arial Unicode MS"/>
          <w:noProof/>
          <w:u w:color="000000"/>
          <w:bdr w:val="nil"/>
        </w:rPr>
      </w:pPr>
      <w:r>
        <w:rPr>
          <w:noProof/>
          <w:u w:color="000000"/>
          <w:bdr w:val="nil"/>
        </w:rPr>
        <w:t>•</w:t>
      </w:r>
      <w:r>
        <w:rPr>
          <w:noProof/>
          <w:u w:color="000000"/>
          <w:bdr w:val="nil"/>
        </w:rPr>
        <w:tab/>
        <w:t>Consultările cu părțile interesate</w:t>
      </w:r>
    </w:p>
    <w:p>
      <w:pPr>
        <w:pBdr>
          <w:top w:val="nil"/>
          <w:left w:val="nil"/>
          <w:bottom w:val="nil"/>
          <w:right w:val="nil"/>
          <w:between w:val="nil"/>
          <w:bar w:val="nil"/>
        </w:pBdr>
        <w:spacing w:before="0" w:after="240"/>
        <w:rPr>
          <w:rFonts w:eastAsia="Arial Unicode MS"/>
          <w:noProof/>
        </w:rPr>
      </w:pPr>
      <w:r>
        <w:rPr>
          <w:noProof/>
        </w:rPr>
        <w:t>În cadrul evaluării au fost consultate state membre, reprezentanți ai industriei, organizații internaționale ale societății civile, precum și administrația pescuitului și societatea civilă din Seychelles. De asemenea, au avut loc consultări în cadrul Consiliului consultativ pentru flota de lungă distanță, în special cu ocazia reuniunii sale din 27 martie 2019.</w:t>
      </w:r>
    </w:p>
    <w:p>
      <w:pPr>
        <w:pStyle w:val="ManualHeading2"/>
        <w:rPr>
          <w:rFonts w:eastAsia="Arial Unicode MS"/>
          <w:noProof/>
          <w:u w:color="000000"/>
          <w:bdr w:val="nil"/>
        </w:rPr>
      </w:pPr>
      <w:r>
        <w:rPr>
          <w:noProof/>
          <w:u w:color="000000"/>
          <w:bdr w:val="nil"/>
        </w:rPr>
        <w:t>•</w:t>
      </w:r>
      <w:r>
        <w:rPr>
          <w:noProof/>
          <w:u w:color="000000"/>
          <w:bdr w:val="nil"/>
        </w:rPr>
        <w:tab/>
        <w:t>Obținerea și utilizarea expertizei</w:t>
      </w:r>
    </w:p>
    <w:p>
      <w:pPr>
        <w:spacing w:before="0" w:after="240"/>
        <w:rPr>
          <w:noProof/>
        </w:rPr>
      </w:pPr>
      <w:r>
        <w:rPr>
          <w:noProof/>
        </w:rPr>
        <w:t xml:space="preserve">Comisia a apelat la un consultant independent pentru a efectua evaluările </w:t>
      </w:r>
      <w:r>
        <w:rPr>
          <w:i/>
          <w:iCs/>
          <w:noProof/>
        </w:rPr>
        <w:t>ex post</w:t>
      </w:r>
      <w:r>
        <w:rPr>
          <w:noProof/>
        </w:rPr>
        <w:t xml:space="preserve"> și </w:t>
      </w:r>
      <w:r>
        <w:rPr>
          <w:i/>
          <w:iCs/>
          <w:noProof/>
        </w:rPr>
        <w:t>ex ante</w:t>
      </w:r>
      <w:r>
        <w:rPr>
          <w:noProof/>
        </w:rPr>
        <w:t xml:space="preserve">, în conformitate cu dispozițiile articolului 31 alineatul (10) din Regulamentul privind politica comună în domeniul pescuitului. </w:t>
      </w:r>
    </w:p>
    <w:p>
      <w:pPr>
        <w:pStyle w:val="ManualHeading1"/>
        <w:rPr>
          <w:noProof/>
        </w:rPr>
      </w:pPr>
      <w:r>
        <w:rPr>
          <w:noProof/>
        </w:rPr>
        <w:t>4.</w:t>
      </w:r>
      <w:r>
        <w:rPr>
          <w:noProof/>
        </w:rPr>
        <w:tab/>
        <w:t>IMPLICAȚIILE BUGETARE</w:t>
      </w:r>
    </w:p>
    <w:p>
      <w:pPr>
        <w:spacing w:before="0" w:after="240"/>
        <w:rPr>
          <w:noProof/>
        </w:rPr>
      </w:pPr>
      <w:r>
        <w:rPr>
          <w:noProof/>
        </w:rPr>
        <w:t>Proiectul de regulament nu are implicații pentru bugetul Uniunii.</w:t>
      </w:r>
    </w:p>
    <w:p>
      <w:pPr>
        <w:pStyle w:val="ManualHeading1"/>
        <w:rPr>
          <w:noProof/>
        </w:rPr>
      </w:pPr>
      <w:r>
        <w:rPr>
          <w:noProof/>
        </w:rPr>
        <w:t>5.</w:t>
      </w:r>
      <w:r>
        <w:rPr>
          <w:noProof/>
        </w:rPr>
        <w:tab/>
        <w:t>ALTE ELEMENTE</w:t>
      </w:r>
    </w:p>
    <w:p>
      <w:pPr>
        <w:pStyle w:val="ManualHeading2"/>
        <w:rPr>
          <w:rFonts w:eastAsia="Arial Unicode MS"/>
          <w:noProof/>
          <w:u w:color="000000"/>
          <w:bdr w:val="nil"/>
        </w:rPr>
      </w:pPr>
      <w:r>
        <w:rPr>
          <w:noProof/>
          <w:u w:color="000000"/>
          <w:bdr w:val="nil"/>
        </w:rPr>
        <w:t>•</w:t>
      </w:r>
      <w:r>
        <w:rPr>
          <w:noProof/>
          <w:u w:color="000000"/>
          <w:bdr w:val="nil"/>
        </w:rPr>
        <w:tab/>
        <w:t>Planuri de punere în aplicare și măsuri de monitorizare, evaluare și raportare</w:t>
      </w:r>
    </w:p>
    <w:p>
      <w:pPr>
        <w:spacing w:before="0" w:after="240"/>
        <w:rPr>
          <w:noProof/>
        </w:rPr>
      </w:pPr>
      <w:r>
        <w:rPr>
          <w:noProof/>
        </w:rPr>
        <w:t xml:space="preserve">Prezenta procedură este demarată în paralel cu procedurile legate de decizia Consiliului privind semnarea, în numele Uniunii, și aplicarea provizorie a Acordului de parteneriat în domeniul pescuitului sustenabil și a protocolului de punere în aplicare a acestuia dintre Uniunea Europeană și Republica Seychelles, precum și cu decizia Consiliului privind încheierea acestora. Prezentul regulament se aplica în momentul în care activitățile de pescuit sunt posibile în temeiul acordului, adică la data aplicării provizorii a protocolului. </w:t>
      </w:r>
    </w:p>
    <w:p>
      <w:pPr>
        <w:rPr>
          <w:noProof/>
        </w:rPr>
        <w:sectPr>
          <w:footerReference w:type="default" r:id="rId10"/>
          <w:footerReference w:type="first" r:id="rId11"/>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2020/0001 (NLE)</w:t>
      </w:r>
    </w:p>
    <w:p>
      <w:pPr>
        <w:pStyle w:val="Statut"/>
        <w:rPr>
          <w:noProof/>
        </w:rPr>
      </w:pPr>
      <w:r>
        <w:rPr>
          <w:noProof/>
        </w:rPr>
        <w:t>Propunere de</w:t>
      </w:r>
    </w:p>
    <w:p>
      <w:pPr>
        <w:pStyle w:val="Typedudocument"/>
        <w:rPr>
          <w:noProof/>
        </w:rPr>
      </w:pPr>
      <w:r>
        <w:rPr>
          <w:noProof/>
        </w:rPr>
        <w:t>REGULAMENT AL CONSILIULUI</w:t>
      </w:r>
    </w:p>
    <w:p>
      <w:pPr>
        <w:pStyle w:val="Titreobjet"/>
        <w:rPr>
          <w:noProof/>
        </w:rPr>
      </w:pPr>
      <w:r>
        <w:rPr>
          <w:noProof/>
        </w:rPr>
        <w:t>privind repartizarea posibilităților de pescuit în temeiul Protocolului privind punerea în aplicare a Acordului de parteneriat în domeniul pescuitului durabil între Uniunea Europeană și Republica Seychelles</w:t>
      </w:r>
    </w:p>
    <w:p>
      <w:pPr>
        <w:pStyle w:val="Institutionquiagit"/>
        <w:rPr>
          <w:noProof/>
        </w:rPr>
      </w:pPr>
      <w:r>
        <w:rPr>
          <w:noProof/>
        </w:rPr>
        <w:t>CONSILIUL UNIUNII EUROPENE,</w:t>
      </w:r>
    </w:p>
    <w:p>
      <w:pPr>
        <w:rPr>
          <w:noProof/>
        </w:rPr>
      </w:pPr>
      <w:r>
        <w:rPr>
          <w:noProof/>
        </w:rPr>
        <w:t>având în vedere Tratatul privind funcționarea Uniunii Europene, în special articolul 43 alineatul (3),</w:t>
      </w:r>
    </w:p>
    <w:p>
      <w:pPr>
        <w:rPr>
          <w:noProof/>
        </w:rPr>
      </w:pPr>
      <w:r>
        <w:rPr>
          <w:noProof/>
        </w:rPr>
        <w:t>având în vedere propunerea Comisiei Europene,</w:t>
      </w:r>
    </w:p>
    <w:p>
      <w:pPr>
        <w:rPr>
          <w:noProof/>
        </w:rPr>
      </w:pPr>
      <w:r>
        <w:rPr>
          <w:noProof/>
        </w:rPr>
        <w:t>întrucât:</w:t>
      </w:r>
    </w:p>
    <w:p>
      <w:pPr>
        <w:pStyle w:val="ManualConsidrant"/>
        <w:rPr>
          <w:noProof/>
        </w:rPr>
      </w:pPr>
      <w:r>
        <w:t>(1)</w:t>
      </w:r>
      <w:r>
        <w:tab/>
      </w:r>
      <w:r>
        <w:rPr>
          <w:noProof/>
        </w:rPr>
        <w:t>Comisia a negociat, în numele Uniunii Europene, un nou acord de parteneriat în domeniul pescuitului sustenabil între Uniunea Europeană și Republica Seychelles (denumit în continuare „acordul de parteneriat”), precum și un nou protocol de punere în aplicare la acordul de parteneriat (denumit în continuare „protocolul”).</w:t>
      </w:r>
    </w:p>
    <w:p>
      <w:pPr>
        <w:pStyle w:val="ManualConsidrant"/>
        <w:rPr>
          <w:noProof/>
        </w:rPr>
      </w:pPr>
      <w:r>
        <w:t>(2)</w:t>
      </w:r>
      <w:r>
        <w:tab/>
      </w:r>
      <w:r>
        <w:rPr>
          <w:noProof/>
        </w:rPr>
        <w:t>Acordul de parteneriat și protocolul au fost parafate la 22 octombrie 2019, la încheierea negocierilor respective.</w:t>
      </w:r>
    </w:p>
    <w:p>
      <w:pPr>
        <w:pStyle w:val="ManualConsidrant"/>
        <w:rPr>
          <w:noProof/>
        </w:rPr>
      </w:pPr>
      <w:r>
        <w:t>(3)</w:t>
      </w:r>
      <w:r>
        <w:tab/>
      </w:r>
      <w:r>
        <w:rPr>
          <w:noProof/>
        </w:rPr>
        <w:t>Acordul de parteneriat abrogă actualul Acord de parteneriat în domeniul pescuitului (APP) între Uniunea Europeană și Republica Seychelles, care a intrat în vigoare la 2 noiembrie 2007.</w:t>
      </w:r>
    </w:p>
    <w:p>
      <w:pPr>
        <w:pStyle w:val="ManualConsidrant"/>
        <w:rPr>
          <w:noProof/>
        </w:rPr>
      </w:pPr>
      <w:r>
        <w:t>(4)</w:t>
      </w:r>
      <w:r>
        <w:tab/>
      </w:r>
      <w:r>
        <w:rPr>
          <w:noProof/>
        </w:rPr>
        <w:t>În conformitate cu Decizia (UE) 2019/... a Consiliului</w:t>
      </w:r>
      <w:r>
        <w:rPr>
          <w:rStyle w:val="FootnoteReference"/>
          <w:noProof/>
        </w:rPr>
        <w:footnoteReference w:id="3"/>
      </w:r>
      <w:r>
        <w:rPr>
          <w:noProof/>
        </w:rPr>
        <w:t xml:space="preserve">, noul acord de parteneriat și protocolul la acesta au fost semnate la [a se introduce data semnării], sub rezerva încheierii lor la o dată ulterioară.  </w:t>
      </w:r>
    </w:p>
    <w:p>
      <w:pPr>
        <w:pStyle w:val="ManualConsidrant"/>
        <w:rPr>
          <w:noProof/>
        </w:rPr>
      </w:pPr>
      <w:r>
        <w:t>(5)</w:t>
      </w:r>
      <w:r>
        <w:tab/>
      </w:r>
      <w:r>
        <w:rPr>
          <w:noProof/>
        </w:rPr>
        <w:t>Posibilitățile de pescuit prevăzute de protocol ar trebui să fie repartizate între statele membre pentru întreaga perioadă de aplicare a protocolului.</w:t>
      </w:r>
    </w:p>
    <w:p>
      <w:pPr>
        <w:pStyle w:val="ManualConsidrant"/>
        <w:rPr>
          <w:noProof/>
        </w:rPr>
      </w:pPr>
      <w:r>
        <w:t>(6)</w:t>
      </w:r>
      <w:r>
        <w:tab/>
      </w:r>
      <w:r>
        <w:rPr>
          <w:noProof/>
        </w:rPr>
        <w:t xml:space="preserve">Caracterul urgent al acestor măsuri este legat de importanța economică a activităților de pescuit ale Uniunii în zona de pescuit a Seychelles și de necesitatea de a reduce pe cât posibil întreruperea unor astfel de activități. </w:t>
      </w:r>
      <w:r>
        <w:rPr>
          <w:i/>
          <w:noProof/>
        </w:rPr>
        <w:t xml:space="preserve"> </w:t>
      </w:r>
    </w:p>
    <w:p>
      <w:pPr>
        <w:pStyle w:val="ManualConsidrant"/>
        <w:rPr>
          <w:noProof/>
        </w:rPr>
      </w:pPr>
      <w:r>
        <w:t>(7)</w:t>
      </w:r>
      <w:r>
        <w:tab/>
      </w:r>
      <w:r>
        <w:rPr>
          <w:noProof/>
        </w:rPr>
        <w:t>Protocolul se va aplica cu titlu provizoriu de la data semnării sale, pentru a se asigura continuarea activităților de pescuit de către navele Uniunii. Prin urmare, prezentul regulament ar trebui să se aplice de la aceeași dată,</w:t>
      </w:r>
    </w:p>
    <w:p>
      <w:pPr>
        <w:pStyle w:val="Formuledadoption"/>
        <w:rPr>
          <w:noProof/>
        </w:rPr>
      </w:pPr>
      <w:r>
        <w:rPr>
          <w:noProof/>
        </w:rPr>
        <w:t>ADOPTĂ PREZENTUL REGULAMENT:</w:t>
      </w:r>
    </w:p>
    <w:p>
      <w:pPr>
        <w:pStyle w:val="Titrearticle"/>
        <w:rPr>
          <w:noProof/>
        </w:rPr>
      </w:pPr>
      <w:r>
        <w:rPr>
          <w:noProof/>
        </w:rPr>
        <w:t>Articolul 1</w:t>
      </w:r>
    </w:p>
    <w:p>
      <w:pPr>
        <w:rPr>
          <w:noProof/>
        </w:rPr>
      </w:pPr>
      <w:r>
        <w:rPr>
          <w:noProof/>
        </w:rPr>
        <w:t xml:space="preserve">Posibilitățile de pescuit stabilite în temeiul protocolului privind punerea în aplicare a Acordului de parteneriat în domeniul pescuitului dintre Uniunea Europeană și Republica </w:t>
      </w:r>
      <w:r>
        <w:rPr>
          <w:noProof/>
        </w:rPr>
        <w:lastRenderedPageBreak/>
        <w:t>Seychelles (denumit în continuare „protocolul”) se alocă între statele membre după cum urmează:</w:t>
      </w:r>
    </w:p>
    <w:p>
      <w:pPr>
        <w:pStyle w:val="Point0"/>
        <w:rPr>
          <w:noProof/>
        </w:rPr>
      </w:pPr>
      <w:r>
        <w:t>(a)</w:t>
      </w:r>
      <w:r>
        <w:tab/>
      </w:r>
      <w:r>
        <w:rPr>
          <w:noProof/>
        </w:rPr>
        <w:t>nave de pescuit ton cu plasă-pungă:</w:t>
      </w:r>
    </w:p>
    <w:p>
      <w:pPr>
        <w:ind w:left="130" w:firstLine="720"/>
        <w:rPr>
          <w:noProof/>
        </w:rPr>
      </w:pPr>
      <w:r>
        <w:rPr>
          <w:noProof/>
        </w:rPr>
        <w:t>Spania:</w:t>
      </w:r>
      <w:r>
        <w:rPr>
          <w:noProof/>
        </w:rPr>
        <w:tab/>
      </w:r>
      <w:r>
        <w:rPr>
          <w:noProof/>
        </w:rPr>
        <w:tab/>
        <w:t>[22]</w:t>
      </w:r>
      <w:r>
        <w:rPr>
          <w:noProof/>
        </w:rPr>
        <w:tab/>
        <w:t>nave</w:t>
      </w:r>
    </w:p>
    <w:p>
      <w:pPr>
        <w:tabs>
          <w:tab w:val="left" w:pos="2160"/>
        </w:tabs>
        <w:rPr>
          <w:noProof/>
        </w:rPr>
      </w:pPr>
      <w:r>
        <w:rPr>
          <w:noProof/>
        </w:rPr>
        <w:t xml:space="preserve">             Franța:</w:t>
      </w:r>
      <w:r>
        <w:rPr>
          <w:noProof/>
        </w:rPr>
        <w:tab/>
      </w:r>
      <w:r>
        <w:rPr>
          <w:noProof/>
        </w:rPr>
        <w:tab/>
        <w:t>[16]</w:t>
      </w:r>
      <w:r>
        <w:rPr>
          <w:noProof/>
        </w:rPr>
        <w:tab/>
        <w:t>nave</w:t>
      </w:r>
    </w:p>
    <w:p>
      <w:pPr>
        <w:tabs>
          <w:tab w:val="left" w:pos="2160"/>
        </w:tabs>
        <w:rPr>
          <w:noProof/>
        </w:rPr>
      </w:pPr>
      <w:r>
        <w:rPr>
          <w:noProof/>
        </w:rPr>
        <w:t xml:space="preserve">             Italia: </w:t>
      </w:r>
      <w:r>
        <w:rPr>
          <w:noProof/>
        </w:rPr>
        <w:tab/>
      </w:r>
      <w:r>
        <w:rPr>
          <w:noProof/>
        </w:rPr>
        <w:tab/>
        <w:t>[2]</w:t>
      </w:r>
      <w:r>
        <w:rPr>
          <w:noProof/>
        </w:rPr>
        <w:tab/>
        <w:t>nave</w:t>
      </w:r>
    </w:p>
    <w:p>
      <w:pPr>
        <w:pStyle w:val="Point0"/>
        <w:rPr>
          <w:noProof/>
        </w:rPr>
      </w:pPr>
      <w:r>
        <w:t>(b)</w:t>
      </w:r>
      <w:r>
        <w:tab/>
      </w:r>
      <w:r>
        <w:rPr>
          <w:noProof/>
        </w:rPr>
        <w:t>nave cu paragate plutitoare:</w:t>
      </w:r>
    </w:p>
    <w:p>
      <w:pPr>
        <w:ind w:left="130" w:firstLine="720"/>
        <w:rPr>
          <w:noProof/>
        </w:rPr>
      </w:pPr>
      <w:r>
        <w:rPr>
          <w:noProof/>
        </w:rPr>
        <w:t>Spania:</w:t>
      </w:r>
      <w:r>
        <w:rPr>
          <w:noProof/>
        </w:rPr>
        <w:tab/>
      </w:r>
      <w:r>
        <w:rPr>
          <w:noProof/>
        </w:rPr>
        <w:tab/>
        <w:t>[2]</w:t>
      </w:r>
      <w:r>
        <w:rPr>
          <w:noProof/>
        </w:rPr>
        <w:tab/>
        <w:t>nave</w:t>
      </w:r>
    </w:p>
    <w:p>
      <w:pPr>
        <w:tabs>
          <w:tab w:val="left" w:pos="2160"/>
        </w:tabs>
        <w:rPr>
          <w:noProof/>
        </w:rPr>
      </w:pPr>
      <w:r>
        <w:rPr>
          <w:noProof/>
        </w:rPr>
        <w:t xml:space="preserve">             Franța:</w:t>
      </w:r>
      <w:r>
        <w:rPr>
          <w:noProof/>
        </w:rPr>
        <w:tab/>
      </w:r>
      <w:r>
        <w:rPr>
          <w:noProof/>
        </w:rPr>
        <w:tab/>
        <w:t>[4]</w:t>
      </w:r>
      <w:r>
        <w:rPr>
          <w:noProof/>
        </w:rPr>
        <w:tab/>
        <w:t>nave</w:t>
      </w:r>
    </w:p>
    <w:p>
      <w:pPr>
        <w:ind w:left="130" w:firstLine="720"/>
        <w:rPr>
          <w:noProof/>
        </w:rPr>
      </w:pPr>
      <w:r>
        <w:rPr>
          <w:noProof/>
        </w:rPr>
        <w:t>Portugalia:</w:t>
      </w:r>
      <w:r>
        <w:rPr>
          <w:noProof/>
        </w:rPr>
        <w:tab/>
      </w:r>
      <w:r>
        <w:rPr>
          <w:noProof/>
        </w:rPr>
        <w:tab/>
        <w:t>[2]</w:t>
      </w:r>
      <w:r>
        <w:rPr>
          <w:noProof/>
        </w:rPr>
        <w:tab/>
        <w:t>nave</w:t>
      </w:r>
    </w:p>
    <w:p>
      <w:pPr>
        <w:pStyle w:val="Titrearticle"/>
        <w:rPr>
          <w:noProof/>
        </w:rPr>
      </w:pPr>
      <w:r>
        <w:rPr>
          <w:noProof/>
        </w:rPr>
        <w:t>Articolul 2</w:t>
      </w:r>
    </w:p>
    <w:p>
      <w:pPr>
        <w:rPr>
          <w:noProof/>
        </w:rPr>
      </w:pPr>
      <w:r>
        <w:rPr>
          <w:noProof/>
        </w:rPr>
        <w:t xml:space="preserve">Prezentul regulament intră în vigoare în ziua următoare datei publicării în </w:t>
      </w:r>
      <w:r>
        <w:rPr>
          <w:i/>
          <w:noProof/>
        </w:rPr>
        <w:t>Jurnalul Oficial al Uniunii Europene</w:t>
      </w:r>
      <w:r>
        <w:rPr>
          <w:noProof/>
        </w:rPr>
        <w:t>.</w:t>
      </w:r>
    </w:p>
    <w:p>
      <w:pPr>
        <w:rPr>
          <w:noProof/>
        </w:rPr>
      </w:pPr>
      <w:r>
        <w:rPr>
          <w:noProof/>
        </w:rPr>
        <w:t xml:space="preserve">Se aplică de la data semnării protocolului. </w:t>
      </w:r>
    </w:p>
    <w:p>
      <w:pPr>
        <w:pStyle w:val="Applicationdirecte"/>
        <w:rPr>
          <w:noProof/>
        </w:rPr>
      </w:pPr>
      <w:r>
        <w:rPr>
          <w:noProof/>
        </w:rPr>
        <w:t>Prezentul regulament este obligatoriu în toate elementele sale și se aplică direct în toate statele membre.</w:t>
      </w:r>
    </w:p>
    <w:p>
      <w:pPr>
        <w:pStyle w:val="Fait"/>
        <w:rPr>
          <w:noProof/>
        </w:rPr>
      </w:pPr>
      <w:r>
        <w:t>Adoptat la Bruxelles,</w:t>
      </w:r>
    </w:p>
    <w:p>
      <w:pPr>
        <w:pStyle w:val="Institutionquisigne"/>
        <w:rPr>
          <w:noProof/>
        </w:rPr>
      </w:pPr>
      <w:r>
        <w:rPr>
          <w:noProof/>
        </w:rPr>
        <w:tab/>
        <w:t>Pentru Consiliu</w:t>
      </w:r>
    </w:p>
    <w:p>
      <w:pPr>
        <w:pStyle w:val="Personnequisigne"/>
        <w:rPr>
          <w:noProof/>
        </w:rPr>
      </w:pPr>
      <w:r>
        <w:rPr>
          <w:noProof/>
        </w:rPr>
        <w:tab/>
        <w:t>Președintele</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RO</w:t>
    </w:r>
    <w:r>
      <w:rPr>
        <w:rFonts w:ascii="Arial" w:hAnsi="Arial" w:cs="Arial"/>
        <w:b/>
        <w:sz w:val="48"/>
      </w:rPr>
      <w:tab/>
    </w:r>
    <w:r>
      <w:rPr>
        <w:rFonts w:ascii="Arial" w:hAnsi="Arial" w:cs="Arial"/>
        <w:b/>
        <w:sz w:val="48"/>
      </w:rPr>
      <w:tab/>
    </w:r>
    <w:r>
      <w:tab/>
    </w:r>
    <w:r>
      <w:rPr>
        <w:rFonts w:ascii="Arial" w:hAnsi="Arial" w:cs="Arial"/>
        <w:b/>
        <w:sz w:val="48"/>
      </w:rPr>
      <w:t>RO</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RO</w:t>
    </w:r>
    <w:r>
      <w:rPr>
        <w:rFonts w:ascii="Arial" w:hAnsi="Arial" w:cs="Arial"/>
        <w:b/>
        <w:sz w:val="48"/>
      </w:rPr>
      <w:tab/>
    </w:r>
    <w:r>
      <w:fldChar w:fldCharType="begin"/>
    </w:r>
    <w:r>
      <w:instrText xml:space="preserve"> PAGE  \* MERGEFORMAT </w:instrText>
    </w:r>
    <w:r>
      <w:fldChar w:fldCharType="separate"/>
    </w:r>
    <w:r>
      <w:rPr>
        <w:noProof/>
      </w:rPr>
      <w:t>4</w:t>
    </w:r>
    <w:r>
      <w:fldChar w:fldCharType="end"/>
    </w:r>
    <w:r>
      <w:tab/>
    </w:r>
    <w:r>
      <w:tab/>
    </w:r>
    <w:r>
      <w:rPr>
        <w:rFonts w:ascii="Arial" w:hAnsi="Arial" w:cs="Arial"/>
        <w:b/>
        <w:sz w:val="48"/>
      </w:rPr>
      <w:t>RO</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Adoptate cu ocazia Consiliului Agricultură și Pescuit din 15 iulie 2019.</w:t>
      </w:r>
    </w:p>
  </w:footnote>
  <w:footnote w:id="2">
    <w:p>
      <w:pPr>
        <w:pStyle w:val="FootnoteText"/>
      </w:pPr>
      <w:r>
        <w:rPr>
          <w:rStyle w:val="FootnoteReference"/>
        </w:rPr>
        <w:footnoteRef/>
      </w:r>
      <w:r>
        <w:tab/>
        <w:t>JO 354, 28.12.2013, p.22.</w:t>
      </w:r>
    </w:p>
  </w:footnote>
  <w:footnote w:id="3">
    <w:p>
      <w:pPr>
        <w:pStyle w:val="FootnoteText"/>
      </w:pPr>
      <w:r>
        <w:rPr>
          <w:rStyle w:val="FootnoteReference"/>
        </w:rPr>
        <w:footnoteRef/>
      </w:r>
      <w:r>
        <w:tab/>
        <w:t>Decizia (UE) 2019/... a Consiliului din ... 2019 privind ... (JO C, , p. ).</w:t>
      </w:r>
    </w:p>
    <w:p>
      <w:pPr>
        <w:pStyle w:val="FootnoteText"/>
        <w:ind w:left="0" w:firstLine="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B50C401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1E3070D6"/>
    <w:lvl w:ilvl="0">
      <w:start w:val="1"/>
      <w:numFmt w:val="decimal"/>
      <w:pStyle w:val="ListNumber3"/>
      <w:lvlText w:val="%1."/>
      <w:lvlJc w:val="left"/>
      <w:pPr>
        <w:tabs>
          <w:tab w:val="num" w:pos="926"/>
        </w:tabs>
        <w:ind w:left="926" w:hanging="360"/>
      </w:pPr>
    </w:lvl>
  </w:abstractNum>
  <w:abstractNum w:abstractNumId="2">
    <w:nsid w:val="FFFFFF7F"/>
    <w:multiLevelType w:val="singleLevel"/>
    <w:tmpl w:val="456E2274"/>
    <w:lvl w:ilvl="0">
      <w:start w:val="1"/>
      <w:numFmt w:val="decimal"/>
      <w:pStyle w:val="ListNumber2"/>
      <w:lvlText w:val="%1."/>
      <w:lvlJc w:val="left"/>
      <w:pPr>
        <w:tabs>
          <w:tab w:val="num" w:pos="643"/>
        </w:tabs>
        <w:ind w:left="643" w:hanging="360"/>
      </w:pPr>
    </w:lvl>
  </w:abstractNum>
  <w:abstractNum w:abstractNumId="3">
    <w:nsid w:val="FFFFFF81"/>
    <w:multiLevelType w:val="singleLevel"/>
    <w:tmpl w:val="510233D6"/>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79E85C24"/>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9E1AE45A"/>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A89865CA"/>
    <w:lvl w:ilvl="0">
      <w:start w:val="1"/>
      <w:numFmt w:val="decimal"/>
      <w:pStyle w:val="ListNumber"/>
      <w:lvlText w:val="%1."/>
      <w:lvlJc w:val="left"/>
      <w:pPr>
        <w:tabs>
          <w:tab w:val="num" w:pos="360"/>
        </w:tabs>
        <w:ind w:left="360" w:hanging="360"/>
      </w:pPr>
    </w:lvl>
  </w:abstractNum>
  <w:abstractNum w:abstractNumId="7">
    <w:nsid w:val="FFFFFF89"/>
    <w:multiLevelType w:val="singleLevel"/>
    <w:tmpl w:val="927C056E"/>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1"/>
    <w:lvlOverride w:ilvl="0">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
  </w:num>
  <w:num w:numId="10">
    <w:abstractNumId w:val="0"/>
  </w:num>
  <w:num w:numId="11">
    <w:abstractNumId w:val="18"/>
  </w:num>
  <w:num w:numId="12">
    <w:abstractNumId w:val="12"/>
  </w:num>
  <w:num w:numId="13">
    <w:abstractNumId w:val="20"/>
  </w:num>
  <w:num w:numId="14">
    <w:abstractNumId w:val="11"/>
  </w:num>
  <w:num w:numId="15">
    <w:abstractNumId w:val="13"/>
  </w:num>
  <w:num w:numId="16">
    <w:abstractNumId w:val="9"/>
  </w:num>
  <w:num w:numId="17">
    <w:abstractNumId w:val="19"/>
  </w:num>
  <w:num w:numId="18">
    <w:abstractNumId w:val="8"/>
  </w:num>
  <w:num w:numId="19">
    <w:abstractNumId w:val="14"/>
  </w:num>
  <w:num w:numId="20">
    <w:abstractNumId w:val="16"/>
  </w:num>
  <w:num w:numId="21">
    <w:abstractNumId w:val="17"/>
  </w:num>
  <w:num w:numId="22">
    <w:abstractNumId w:val="10"/>
  </w:num>
  <w:num w:numId="23">
    <w:abstractNumId w:val="15"/>
  </w:num>
  <w:num w:numId="24">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6"/>
  <w:hideSpellingErrors/>
  <w:hideGrammaticalErrors/>
  <w:attachedTemplate r:id="rId1"/>
  <w:revisionView w:markup="0"/>
  <w:defaultTabStop w:val="720"/>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01-07 09:28:04"/>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3"/>
    <w:docVar w:name="DQCResult_ModifiedMarkers" w:val="0;0"/>
    <w:docVar w:name="DQCResult_ModifiedNumbering" w:val="0;0"/>
    <w:docVar w:name="DQCResult_Objects" w:val="0;0"/>
    <w:docVar w:name="DQCResult_Sections" w:val="0;0"/>
    <w:docVar w:name="DQCResult_StructureCheck" w:val="0;0"/>
    <w:docVar w:name="DQCResult_SuperfluousWhitespace" w:val="0;12"/>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99536FAF-D629-4226-9A16-6951C95AD0B4"/>
    <w:docVar w:name="LW_COVERPAGE_TYPE" w:val="1"/>
    <w:docVar w:name="LW_CROSSREFERENCE" w:val="&lt;UNUSED&gt;"/>
    <w:docVar w:name="LW_DocType" w:val="COM"/>
    <w:docVar w:name="LW_EMISSION" w:val="7.1.2020"/>
    <w:docVar w:name="LW_EMISSION_ISODATE" w:val="2020-01-07"/>
    <w:docVar w:name="LW_EMISSION_LOCATION" w:val="BRX"/>
    <w:docVar w:name="LW_EMISSION_PREFIX" w:val="Bruxelles, "/>
    <w:docVar w:name="LW_EMISSION_SUFFIX" w:val=" "/>
    <w:docVar w:name="LW_ID_DOCMODEL" w:val="SJ-016"/>
    <w:docVar w:name="LW_ID_DOCSIGNATURE" w:val="SJ-016"/>
    <w:docVar w:name="LW_ID_DOCSTRUCTURE" w:val="COM/PL/ORG"/>
    <w:docVar w:name="LW_ID_DOCTYPE" w:val="SJ-016"/>
    <w:docVar w:name="LW_ID_EXP.MOTIFS.NEW" w:val="EM_PL_"/>
    <w:docVar w:name="LW_ID_STATUT" w:val="SJ-016"/>
    <w:docVar w:name="LW_INTERETEEE.CP" w:val="&lt;UNUSED&gt;"/>
    <w:docVar w:name="LW_LANGUE" w:val="RO"/>
    <w:docVar w:name="LW_LEVEL_OF_SENSITIVITY" w:val="Standard treatment"/>
    <w:docVar w:name="LW_NOM.INST" w:val="COMISIA EUROPEAN\u258?"/>
    <w:docVar w:name="LW_NOM.INST_JOINTDOC" w:val="&lt;EMPTY&gt;"/>
    <w:docVar w:name="LW_PART_NBR" w:val="1"/>
    <w:docVar w:name="LW_PART_NBR_TOTAL" w:val="1"/>
    <w:docVar w:name="LW_REF.II.NEW.CP" w:val="NLE"/>
    <w:docVar w:name="LW_REF.II.NEW.CP_NUMBER" w:val="0001"/>
    <w:docVar w:name="LW_REF.II.NEW.CP_YEAR" w:val="2020"/>
    <w:docVar w:name="LW_REF.INST.NEW" w:val="COM"/>
    <w:docVar w:name="LW_REF.INST.NEW_ADOPTED" w:val="final"/>
    <w:docVar w:name="LW_REF.INST.NEW_TEXT" w:val="(2020) 1"/>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Propunere de"/>
    <w:docVar w:name="LW_SUPERTITRE" w:val="&lt;UNUSED&gt;"/>
    <w:docVar w:name="LW_TITRE.OBJ.CP" w:val="privind repartizarea posibilit\u259?\u539?ilor de pescuit în temeiul Protocolului privind punerea în aplicare a Acordului de parteneriat în domeniul pescuitului durabil între Uniunea European\u259? \u537?i Republica Seychelles"/>
    <w:docVar w:name="LW_TYPE.DOC.CP" w:val="REGULAMENT AL CONSILIULUI"/>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ro-RO"/>
    </w:rPr>
  </w:style>
  <w:style w:type="paragraph" w:styleId="Heading1">
    <w:name w:val="heading 1"/>
    <w:basedOn w:val="Normal"/>
    <w:next w:val="Text1"/>
    <w:link w:val="Heading1Char"/>
    <w:uiPriority w:val="9"/>
    <w:qFormat/>
    <w:pPr>
      <w:keepNext/>
      <w:numPr>
        <w:numId w:val="1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ro-RO"/>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ro-RO"/>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ro-RO"/>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ro-RO"/>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ro-RO"/>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1"/>
      </w:numPr>
    </w:pPr>
  </w:style>
  <w:style w:type="paragraph" w:customStyle="1" w:styleId="Tiret1">
    <w:name w:val="Tiret 1"/>
    <w:basedOn w:val="Point1"/>
    <w:pPr>
      <w:numPr>
        <w:numId w:val="12"/>
      </w:numPr>
    </w:pPr>
  </w:style>
  <w:style w:type="paragraph" w:customStyle="1" w:styleId="Tiret2">
    <w:name w:val="Tiret 2"/>
    <w:basedOn w:val="Point2"/>
    <w:pPr>
      <w:numPr>
        <w:numId w:val="13"/>
      </w:numPr>
    </w:pPr>
  </w:style>
  <w:style w:type="paragraph" w:customStyle="1" w:styleId="Tiret3">
    <w:name w:val="Tiret 3"/>
    <w:basedOn w:val="Point3"/>
    <w:pPr>
      <w:numPr>
        <w:numId w:val="14"/>
      </w:numPr>
    </w:pPr>
  </w:style>
  <w:style w:type="paragraph" w:customStyle="1" w:styleId="Tiret4">
    <w:name w:val="Tiret 4"/>
    <w:basedOn w:val="Point4"/>
    <w:pPr>
      <w:numPr>
        <w:numId w:val="1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6"/>
      </w:numPr>
    </w:pPr>
  </w:style>
  <w:style w:type="paragraph" w:customStyle="1" w:styleId="NumPar2">
    <w:name w:val="NumPar 2"/>
    <w:basedOn w:val="Normal"/>
    <w:next w:val="Text1"/>
    <w:pPr>
      <w:numPr>
        <w:ilvl w:val="1"/>
        <w:numId w:val="16"/>
      </w:numPr>
    </w:pPr>
  </w:style>
  <w:style w:type="paragraph" w:customStyle="1" w:styleId="NumPar3">
    <w:name w:val="NumPar 3"/>
    <w:basedOn w:val="Normal"/>
    <w:next w:val="Text1"/>
    <w:pPr>
      <w:numPr>
        <w:ilvl w:val="2"/>
        <w:numId w:val="16"/>
      </w:numPr>
    </w:pPr>
  </w:style>
  <w:style w:type="paragraph" w:customStyle="1" w:styleId="NumPar4">
    <w:name w:val="NumPar 4"/>
    <w:basedOn w:val="Normal"/>
    <w:next w:val="Text1"/>
    <w:pPr>
      <w:numPr>
        <w:ilvl w:val="3"/>
        <w:numId w:val="1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8"/>
      </w:numPr>
    </w:pPr>
  </w:style>
  <w:style w:type="paragraph" w:customStyle="1" w:styleId="Point1number">
    <w:name w:val="Point 1 (number)"/>
    <w:basedOn w:val="Normal"/>
    <w:pPr>
      <w:numPr>
        <w:ilvl w:val="2"/>
        <w:numId w:val="18"/>
      </w:numPr>
    </w:pPr>
  </w:style>
  <w:style w:type="paragraph" w:customStyle="1" w:styleId="Point2number">
    <w:name w:val="Point 2 (number)"/>
    <w:basedOn w:val="Normal"/>
    <w:pPr>
      <w:numPr>
        <w:ilvl w:val="4"/>
        <w:numId w:val="18"/>
      </w:numPr>
    </w:pPr>
  </w:style>
  <w:style w:type="paragraph" w:customStyle="1" w:styleId="Point3number">
    <w:name w:val="Point 3 (number)"/>
    <w:basedOn w:val="Normal"/>
    <w:pPr>
      <w:numPr>
        <w:ilvl w:val="6"/>
        <w:numId w:val="18"/>
      </w:numPr>
    </w:pPr>
  </w:style>
  <w:style w:type="paragraph" w:customStyle="1" w:styleId="Point0letter">
    <w:name w:val="Point 0 (letter)"/>
    <w:basedOn w:val="Normal"/>
    <w:pPr>
      <w:numPr>
        <w:ilvl w:val="1"/>
        <w:numId w:val="18"/>
      </w:numPr>
    </w:pPr>
  </w:style>
  <w:style w:type="paragraph" w:customStyle="1" w:styleId="Point1letter">
    <w:name w:val="Point 1 (letter)"/>
    <w:basedOn w:val="Normal"/>
    <w:pPr>
      <w:numPr>
        <w:ilvl w:val="3"/>
        <w:numId w:val="18"/>
      </w:numPr>
    </w:pPr>
  </w:style>
  <w:style w:type="paragraph" w:customStyle="1" w:styleId="Point2letter">
    <w:name w:val="Point 2 (letter)"/>
    <w:basedOn w:val="Normal"/>
    <w:pPr>
      <w:numPr>
        <w:ilvl w:val="5"/>
        <w:numId w:val="18"/>
      </w:numPr>
    </w:pPr>
  </w:style>
  <w:style w:type="paragraph" w:customStyle="1" w:styleId="Point3letter">
    <w:name w:val="Point 3 (letter)"/>
    <w:basedOn w:val="Normal"/>
    <w:pPr>
      <w:numPr>
        <w:ilvl w:val="7"/>
        <w:numId w:val="18"/>
      </w:numPr>
    </w:pPr>
  </w:style>
  <w:style w:type="paragraph" w:customStyle="1" w:styleId="Point4letter">
    <w:name w:val="Point 4 (letter)"/>
    <w:basedOn w:val="Normal"/>
    <w:pPr>
      <w:numPr>
        <w:ilvl w:val="8"/>
        <w:numId w:val="18"/>
      </w:numPr>
    </w:pPr>
  </w:style>
  <w:style w:type="paragraph" w:customStyle="1" w:styleId="Bullet0">
    <w:name w:val="Bullet 0"/>
    <w:basedOn w:val="Normal"/>
    <w:pPr>
      <w:numPr>
        <w:numId w:val="19"/>
      </w:numPr>
    </w:pPr>
  </w:style>
  <w:style w:type="paragraph" w:customStyle="1" w:styleId="Bullet1">
    <w:name w:val="Bullet 1"/>
    <w:basedOn w:val="Normal"/>
    <w:pPr>
      <w:numPr>
        <w:numId w:val="20"/>
      </w:numPr>
    </w:pPr>
  </w:style>
  <w:style w:type="paragraph" w:customStyle="1" w:styleId="Bullet2">
    <w:name w:val="Bullet 2"/>
    <w:basedOn w:val="Normal"/>
    <w:pPr>
      <w:numPr>
        <w:numId w:val="21"/>
      </w:numPr>
    </w:pPr>
  </w:style>
  <w:style w:type="paragraph" w:customStyle="1" w:styleId="Bullet3">
    <w:name w:val="Bullet 3"/>
    <w:basedOn w:val="Normal"/>
    <w:pPr>
      <w:numPr>
        <w:numId w:val="22"/>
      </w:numPr>
    </w:pPr>
  </w:style>
  <w:style w:type="paragraph" w:customStyle="1" w:styleId="Bullet4">
    <w:name w:val="Bullet 4"/>
    <w:basedOn w:val="Normal"/>
    <w:pPr>
      <w:numPr>
        <w:numId w:val="2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ro-RO"/>
    </w:rPr>
  </w:style>
  <w:style w:type="paragraph" w:styleId="Heading1">
    <w:name w:val="heading 1"/>
    <w:basedOn w:val="Normal"/>
    <w:next w:val="Text1"/>
    <w:link w:val="Heading1Char"/>
    <w:uiPriority w:val="9"/>
    <w:qFormat/>
    <w:pPr>
      <w:keepNext/>
      <w:numPr>
        <w:numId w:val="1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ro-RO"/>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ro-RO"/>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ro-RO"/>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ro-RO"/>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ro-RO"/>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1"/>
      </w:numPr>
    </w:pPr>
  </w:style>
  <w:style w:type="paragraph" w:customStyle="1" w:styleId="Tiret1">
    <w:name w:val="Tiret 1"/>
    <w:basedOn w:val="Point1"/>
    <w:pPr>
      <w:numPr>
        <w:numId w:val="12"/>
      </w:numPr>
    </w:pPr>
  </w:style>
  <w:style w:type="paragraph" w:customStyle="1" w:styleId="Tiret2">
    <w:name w:val="Tiret 2"/>
    <w:basedOn w:val="Point2"/>
    <w:pPr>
      <w:numPr>
        <w:numId w:val="13"/>
      </w:numPr>
    </w:pPr>
  </w:style>
  <w:style w:type="paragraph" w:customStyle="1" w:styleId="Tiret3">
    <w:name w:val="Tiret 3"/>
    <w:basedOn w:val="Point3"/>
    <w:pPr>
      <w:numPr>
        <w:numId w:val="14"/>
      </w:numPr>
    </w:pPr>
  </w:style>
  <w:style w:type="paragraph" w:customStyle="1" w:styleId="Tiret4">
    <w:name w:val="Tiret 4"/>
    <w:basedOn w:val="Point4"/>
    <w:pPr>
      <w:numPr>
        <w:numId w:val="1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6"/>
      </w:numPr>
    </w:pPr>
  </w:style>
  <w:style w:type="paragraph" w:customStyle="1" w:styleId="NumPar2">
    <w:name w:val="NumPar 2"/>
    <w:basedOn w:val="Normal"/>
    <w:next w:val="Text1"/>
    <w:pPr>
      <w:numPr>
        <w:ilvl w:val="1"/>
        <w:numId w:val="16"/>
      </w:numPr>
    </w:pPr>
  </w:style>
  <w:style w:type="paragraph" w:customStyle="1" w:styleId="NumPar3">
    <w:name w:val="NumPar 3"/>
    <w:basedOn w:val="Normal"/>
    <w:next w:val="Text1"/>
    <w:pPr>
      <w:numPr>
        <w:ilvl w:val="2"/>
        <w:numId w:val="16"/>
      </w:numPr>
    </w:pPr>
  </w:style>
  <w:style w:type="paragraph" w:customStyle="1" w:styleId="NumPar4">
    <w:name w:val="NumPar 4"/>
    <w:basedOn w:val="Normal"/>
    <w:next w:val="Text1"/>
    <w:pPr>
      <w:numPr>
        <w:ilvl w:val="3"/>
        <w:numId w:val="1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8"/>
      </w:numPr>
    </w:pPr>
  </w:style>
  <w:style w:type="paragraph" w:customStyle="1" w:styleId="Point1number">
    <w:name w:val="Point 1 (number)"/>
    <w:basedOn w:val="Normal"/>
    <w:pPr>
      <w:numPr>
        <w:ilvl w:val="2"/>
        <w:numId w:val="18"/>
      </w:numPr>
    </w:pPr>
  </w:style>
  <w:style w:type="paragraph" w:customStyle="1" w:styleId="Point2number">
    <w:name w:val="Point 2 (number)"/>
    <w:basedOn w:val="Normal"/>
    <w:pPr>
      <w:numPr>
        <w:ilvl w:val="4"/>
        <w:numId w:val="18"/>
      </w:numPr>
    </w:pPr>
  </w:style>
  <w:style w:type="paragraph" w:customStyle="1" w:styleId="Point3number">
    <w:name w:val="Point 3 (number)"/>
    <w:basedOn w:val="Normal"/>
    <w:pPr>
      <w:numPr>
        <w:ilvl w:val="6"/>
        <w:numId w:val="18"/>
      </w:numPr>
    </w:pPr>
  </w:style>
  <w:style w:type="paragraph" w:customStyle="1" w:styleId="Point0letter">
    <w:name w:val="Point 0 (letter)"/>
    <w:basedOn w:val="Normal"/>
    <w:pPr>
      <w:numPr>
        <w:ilvl w:val="1"/>
        <w:numId w:val="18"/>
      </w:numPr>
    </w:pPr>
  </w:style>
  <w:style w:type="paragraph" w:customStyle="1" w:styleId="Point1letter">
    <w:name w:val="Point 1 (letter)"/>
    <w:basedOn w:val="Normal"/>
    <w:pPr>
      <w:numPr>
        <w:ilvl w:val="3"/>
        <w:numId w:val="18"/>
      </w:numPr>
    </w:pPr>
  </w:style>
  <w:style w:type="paragraph" w:customStyle="1" w:styleId="Point2letter">
    <w:name w:val="Point 2 (letter)"/>
    <w:basedOn w:val="Normal"/>
    <w:pPr>
      <w:numPr>
        <w:ilvl w:val="5"/>
        <w:numId w:val="18"/>
      </w:numPr>
    </w:pPr>
  </w:style>
  <w:style w:type="paragraph" w:customStyle="1" w:styleId="Point3letter">
    <w:name w:val="Point 3 (letter)"/>
    <w:basedOn w:val="Normal"/>
    <w:pPr>
      <w:numPr>
        <w:ilvl w:val="7"/>
        <w:numId w:val="18"/>
      </w:numPr>
    </w:pPr>
  </w:style>
  <w:style w:type="paragraph" w:customStyle="1" w:styleId="Point4letter">
    <w:name w:val="Point 4 (letter)"/>
    <w:basedOn w:val="Normal"/>
    <w:pPr>
      <w:numPr>
        <w:ilvl w:val="8"/>
        <w:numId w:val="18"/>
      </w:numPr>
    </w:pPr>
  </w:style>
  <w:style w:type="paragraph" w:customStyle="1" w:styleId="Bullet0">
    <w:name w:val="Bullet 0"/>
    <w:basedOn w:val="Normal"/>
    <w:pPr>
      <w:numPr>
        <w:numId w:val="19"/>
      </w:numPr>
    </w:pPr>
  </w:style>
  <w:style w:type="paragraph" w:customStyle="1" w:styleId="Bullet1">
    <w:name w:val="Bullet 1"/>
    <w:basedOn w:val="Normal"/>
    <w:pPr>
      <w:numPr>
        <w:numId w:val="20"/>
      </w:numPr>
    </w:pPr>
  </w:style>
  <w:style w:type="paragraph" w:customStyle="1" w:styleId="Bullet2">
    <w:name w:val="Bullet 2"/>
    <w:basedOn w:val="Normal"/>
    <w:pPr>
      <w:numPr>
        <w:numId w:val="21"/>
      </w:numPr>
    </w:pPr>
  </w:style>
  <w:style w:type="paragraph" w:customStyle="1" w:styleId="Bullet3">
    <w:name w:val="Bullet 3"/>
    <w:basedOn w:val="Normal"/>
    <w:pPr>
      <w:numPr>
        <w:numId w:val="22"/>
      </w:numPr>
    </w:pPr>
  </w:style>
  <w:style w:type="paragraph" w:customStyle="1" w:styleId="Bullet4">
    <w:name w:val="Bullet 4"/>
    <w:basedOn w:val="Normal"/>
    <w:pPr>
      <w:numPr>
        <w:numId w:val="2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COM.dotm</Template>
  <TotalTime>3</TotalTime>
  <Pages>5</Pages>
  <Words>1215</Words>
  <Characters>7246</Characters>
  <Application>Microsoft Office Word</Application>
  <DocSecurity>0</DocSecurity>
  <Lines>134</Lines>
  <Paragraphs>74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WES PDFC Administrator</cp:lastModifiedBy>
  <cp:revision>19</cp:revision>
  <cp:lastPrinted>2019-11-22T17:18:00Z</cp:lastPrinted>
  <dcterms:created xsi:type="dcterms:W3CDTF">2019-12-19T20:57:00Z</dcterms:created>
  <dcterms:modified xsi:type="dcterms:W3CDTF">2020-01-07T08:28:00Z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7.0.8.0</vt:lpwstr>
  </property>
  <property fmtid="{D5CDD505-2E9C-101B-9397-08002B2CF9AE}" pid="4" name="Last edited using">
    <vt:lpwstr>LW 7.0.1, Build 20190916</vt:lpwstr>
  </property>
  <property fmtid="{D5CDD505-2E9C-101B-9397-08002B2CF9AE}" pid="5" name="Created using">
    <vt:lpwstr>LW 7.0, Build 20190717</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SJ-016</vt:lpwstr>
  </property>
  <property fmtid="{D5CDD505-2E9C-101B-9397-08002B2CF9AE}" pid="10" name="_DocHome">
    <vt:i4>-2061013799</vt:i4>
  </property>
  <property fmtid="{D5CDD505-2E9C-101B-9397-08002B2CF9AE}" pid="11" name="DQCStatus">
    <vt:lpwstr>Green (DQC version 03)</vt:lpwstr>
  </property>
</Properties>
</file>